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E09DA55">
      <w:pPr>
        <w:keepNext w:val="0"/>
        <w:keepLines w:val="0"/>
        <w:pageBreakBefore w:val="0"/>
        <w:kinsoku/>
        <w:wordWrap/>
        <w:overflowPunct/>
        <w:topLinePunct w:val="0"/>
        <w:bidi w:val="0"/>
        <w:spacing w:line="560" w:lineRule="exact"/>
        <w:ind w:firstLine="1044" w:firstLineChars="200"/>
        <w:jc w:val="center"/>
        <w:outlineLvl w:val="9"/>
        <w:rPr>
          <w:rFonts w:hint="eastAsia" w:ascii="仿宋" w:hAnsi="仿宋" w:eastAsia="仿宋" w:cs="仿宋"/>
          <w:b/>
          <w:bCs/>
          <w:color w:val="auto"/>
          <w:sz w:val="52"/>
          <w:szCs w:val="52"/>
          <w:highlight w:val="none"/>
          <w:lang w:eastAsia="zh-CN"/>
        </w:rPr>
      </w:pPr>
    </w:p>
    <w:p w14:paraId="2B2D2F58">
      <w:pPr>
        <w:keepNext w:val="0"/>
        <w:keepLines w:val="0"/>
        <w:pageBreakBefore w:val="0"/>
        <w:kinsoku/>
        <w:wordWrap/>
        <w:overflowPunct/>
        <w:topLinePunct w:val="0"/>
        <w:bidi w:val="0"/>
        <w:spacing w:line="560" w:lineRule="exact"/>
        <w:ind w:firstLine="1044" w:firstLineChars="200"/>
        <w:jc w:val="center"/>
        <w:outlineLvl w:val="9"/>
        <w:rPr>
          <w:rFonts w:hint="eastAsia" w:ascii="仿宋" w:hAnsi="仿宋" w:eastAsia="仿宋" w:cs="仿宋"/>
          <w:b/>
          <w:bCs/>
          <w:color w:val="auto"/>
          <w:sz w:val="52"/>
          <w:szCs w:val="52"/>
          <w:highlight w:val="none"/>
          <w:lang w:eastAsia="zh-CN"/>
        </w:rPr>
      </w:pPr>
    </w:p>
    <w:p w14:paraId="51626DA4">
      <w:pPr>
        <w:pStyle w:val="2"/>
        <w:rPr>
          <w:rFonts w:hint="eastAsia" w:ascii="仿宋" w:hAnsi="仿宋" w:eastAsia="仿宋" w:cs="仿宋"/>
          <w:b/>
          <w:bCs/>
          <w:color w:val="auto"/>
          <w:sz w:val="52"/>
          <w:szCs w:val="52"/>
          <w:highlight w:val="none"/>
          <w:lang w:eastAsia="zh-CN"/>
        </w:rPr>
      </w:pPr>
    </w:p>
    <w:p w14:paraId="509946B0">
      <w:pPr>
        <w:rPr>
          <w:rFonts w:hint="eastAsia"/>
          <w:color w:val="auto"/>
          <w:lang w:eastAsia="zh-CN"/>
        </w:rPr>
      </w:pPr>
    </w:p>
    <w:p w14:paraId="45D41D72">
      <w:pPr>
        <w:keepNext w:val="0"/>
        <w:keepLines w:val="0"/>
        <w:pageBreakBefore w:val="0"/>
        <w:kinsoku/>
        <w:wordWrap/>
        <w:overflowPunct/>
        <w:topLinePunct w:val="0"/>
        <w:bidi w:val="0"/>
        <w:spacing w:line="560" w:lineRule="exact"/>
        <w:jc w:val="center"/>
        <w:outlineLvl w:val="9"/>
        <w:rPr>
          <w:rFonts w:hint="eastAsia" w:ascii="仿宋" w:hAnsi="仿宋" w:eastAsia="仿宋" w:cs="仿宋"/>
          <w:b/>
          <w:bCs/>
          <w:color w:val="auto"/>
          <w:sz w:val="52"/>
          <w:szCs w:val="52"/>
          <w:highlight w:val="none"/>
          <w:lang w:val="en-US" w:eastAsia="zh-CN"/>
        </w:rPr>
      </w:pPr>
      <w:r>
        <w:rPr>
          <w:rFonts w:hint="eastAsia" w:ascii="仿宋" w:hAnsi="仿宋" w:eastAsia="仿宋" w:cs="仿宋"/>
          <w:b/>
          <w:bCs/>
          <w:color w:val="auto"/>
          <w:sz w:val="52"/>
          <w:szCs w:val="52"/>
          <w:highlight w:val="none"/>
          <w:lang w:val="en-US" w:eastAsia="zh-CN"/>
        </w:rPr>
        <w:t>卡表学习手册</w:t>
      </w:r>
    </w:p>
    <w:p w14:paraId="52CBD1F6">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3A86998C">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3BD8DA36">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60AF1973">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04E912B1">
      <w:pPr>
        <w:keepNext w:val="0"/>
        <w:keepLines w:val="0"/>
        <w:pageBreakBefore w:val="0"/>
        <w:tabs>
          <w:tab w:val="left" w:pos="373"/>
        </w:tabs>
        <w:kinsoku/>
        <w:wordWrap/>
        <w:overflowPunct/>
        <w:topLinePunct w:val="0"/>
        <w:bidi w:val="0"/>
        <w:spacing w:line="560" w:lineRule="exact"/>
        <w:ind w:firstLine="883" w:firstLineChars="200"/>
        <w:jc w:val="left"/>
        <w:outlineLvl w:val="9"/>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ab/>
      </w:r>
    </w:p>
    <w:p w14:paraId="2A70DF72">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4EFCEDC7">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40F99A7C">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1605EFD6">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612B0B19">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40D7A5C5">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24A3A333">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02989602">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0E846F37">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6BC82966">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22E7055C">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53C2F964">
      <w:pPr>
        <w:keepNext w:val="0"/>
        <w:keepLines w:val="0"/>
        <w:pageBreakBefore w:val="0"/>
        <w:kinsoku/>
        <w:wordWrap/>
        <w:overflowPunct/>
        <w:topLinePunct w:val="0"/>
        <w:bidi w:val="0"/>
        <w:spacing w:line="560" w:lineRule="exact"/>
        <w:jc w:val="center"/>
        <w:outlineLvl w:val="9"/>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梁家煤矿</w:t>
      </w:r>
    </w:p>
    <w:p w14:paraId="177A89A6">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14:paraId="1C4FAD81">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sectPr>
          <w:pgSz w:w="11906" w:h="16838"/>
          <w:pgMar w:top="1440" w:right="1800" w:bottom="1440" w:left="1800" w:header="851" w:footer="992" w:gutter="0"/>
          <w:pgNumType w:fmt="decimal"/>
          <w:cols w:space="425" w:num="1"/>
          <w:docGrid w:type="lines" w:linePitch="312" w:charSpace="0"/>
        </w:sectPr>
      </w:pPr>
    </w:p>
    <w:p w14:paraId="149107F2">
      <w:pPr>
        <w:pStyle w:val="9"/>
        <w:keepNext w:val="0"/>
        <w:keepLines w:val="0"/>
        <w:pageBreakBefore w:val="0"/>
        <w:widowControl w:val="0"/>
        <w:tabs>
          <w:tab w:val="right" w:leader="dot" w:pos="8306"/>
        </w:tabs>
        <w:kinsoku/>
        <w:wordWrap/>
        <w:overflowPunct/>
        <w:topLinePunct w:val="0"/>
        <w:autoSpaceDE/>
        <w:autoSpaceDN/>
        <w:bidi w:val="0"/>
        <w:adjustRightInd/>
        <w:snapToGrid/>
        <w:jc w:val="center"/>
        <w:textAlignment w:val="auto"/>
        <w:outlineLvl w:val="0"/>
        <w:rPr>
          <w:rFonts w:hint="eastAsia" w:ascii="仿宋" w:hAnsi="仿宋" w:eastAsia="仿宋" w:cs="仿宋"/>
          <w:b/>
          <w:bCs/>
          <w:color w:val="auto"/>
          <w:sz w:val="40"/>
          <w:szCs w:val="40"/>
          <w:highlight w:val="none"/>
          <w:lang w:val="en-US" w:eastAsia="zh-CN"/>
        </w:rPr>
      </w:pPr>
      <w:bookmarkStart w:id="0" w:name="_Toc23244"/>
      <w:bookmarkStart w:id="1" w:name="_Toc28525"/>
      <w:bookmarkStart w:id="2" w:name="_Toc25994"/>
      <w:bookmarkStart w:id="3" w:name="_Toc27044"/>
      <w:r>
        <w:rPr>
          <w:rFonts w:hint="eastAsia" w:ascii="仿宋" w:hAnsi="仿宋" w:eastAsia="仿宋" w:cs="仿宋"/>
          <w:b/>
          <w:bCs/>
          <w:color w:val="auto"/>
          <w:sz w:val="40"/>
          <w:szCs w:val="40"/>
          <w:highlight w:val="none"/>
          <w:lang w:val="en-US" w:eastAsia="zh-CN"/>
        </w:rPr>
        <w:t>目   录</w:t>
      </w:r>
      <w:bookmarkEnd w:id="0"/>
    </w:p>
    <w:p w14:paraId="058F7A8A">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
          <w:bCs/>
          <w:color w:val="auto"/>
          <w:sz w:val="28"/>
          <w:szCs w:val="28"/>
          <w:highlight w:val="none"/>
          <w:lang w:val="en-US" w:eastAsia="zh-CN"/>
        </w:rPr>
        <w:fldChar w:fldCharType="begin"/>
      </w:r>
      <w:r>
        <w:rPr>
          <w:rFonts w:hint="eastAsia" w:ascii="仿宋" w:hAnsi="仿宋" w:eastAsia="仿宋" w:cs="仿宋"/>
          <w:b/>
          <w:bCs/>
          <w:color w:val="auto"/>
          <w:sz w:val="28"/>
          <w:szCs w:val="28"/>
          <w:highlight w:val="none"/>
          <w:lang w:val="en-US" w:eastAsia="zh-CN"/>
        </w:rPr>
        <w:instrText xml:space="preserve">TOC \o "1-2" \h \u </w:instrText>
      </w:r>
      <w:r>
        <w:rPr>
          <w:rFonts w:hint="eastAsia" w:ascii="仿宋" w:hAnsi="仿宋" w:eastAsia="仿宋" w:cs="仿宋"/>
          <w:b/>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_Toc21187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采煤专业学习手册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_Toc21187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06F1849">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_Toc23420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rPr>
        <w:t>采煤机司机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_Toc23420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FC78220">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_Toc8424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乳化液泵站司机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_Toc8424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17</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71101853">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_Toc23948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rPr>
        <w:t>输送机司机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_Toc23948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94E9AF6">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_Toc15825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维修</w:t>
      </w:r>
      <w:r>
        <w:rPr>
          <w:rFonts w:hint="eastAsia" w:ascii="仿宋" w:hAnsi="仿宋" w:eastAsia="仿宋" w:cs="仿宋"/>
          <w:color w:val="auto"/>
          <w:sz w:val="28"/>
          <w:szCs w:val="28"/>
          <w:highlight w:val="none"/>
        </w:rPr>
        <w:t>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_Toc15825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CACB40A">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_Toc25505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回柱绞车司机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_Toc25505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57</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0A816AE2">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_Toc17095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液压</w:t>
      </w:r>
      <w:r>
        <w:rPr>
          <w:rFonts w:hint="eastAsia" w:ascii="仿宋" w:hAnsi="仿宋" w:eastAsia="仿宋" w:cs="仿宋"/>
          <w:color w:val="auto"/>
          <w:sz w:val="28"/>
          <w:szCs w:val="28"/>
          <w:highlight w:val="none"/>
        </w:rPr>
        <w:t>支架工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_Toc17095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74</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63B37A9">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_Toc1605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支护工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_Toc1605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88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342FAC67">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_Toc24809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掘进专业学习手册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_Toc24809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102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3BA5AE79">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_Toc18902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注浆工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_Toc18902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120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1281A298">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_Toc11247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掘进支护工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_Toc11247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136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4D6F2342">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_Toc22711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回柱绞车司机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_Toc22711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158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0ED1707">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_Toc7187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装载机司机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_Toc7187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175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0CF749C">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_Toc27666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综掘机司机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_Toc27666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192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42F7BD0">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_Toc2122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维修</w:t>
      </w:r>
      <w:r>
        <w:rPr>
          <w:rFonts w:hint="eastAsia" w:ascii="仿宋" w:hAnsi="仿宋" w:eastAsia="仿宋" w:cs="仿宋"/>
          <w:color w:val="auto"/>
          <w:sz w:val="28"/>
          <w:szCs w:val="28"/>
          <w:highlight w:val="none"/>
        </w:rPr>
        <w:t>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_Toc2122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212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01BDC52B">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_Toc16309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机电专业学习手册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_Toc16309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231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48E8C8E7">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_Toc9005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安全监测监控（集控员）</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_Toc9005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231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40713952">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_Toc4557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矿灯充电工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_Toc4557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241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EA705AF">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_Toc6210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副井主提升机司机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_Toc6210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250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D7835E4">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_Toc30097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机械维修工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_Toc30097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267</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4DBD34A4">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_Toc5261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水泵工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_Toc5261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281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7218218">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_Toc14355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大型设备维修钳工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_Toc14355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292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D6C6007">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_Toc7300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井下电钳工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_Toc7300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305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0FD86A4">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_Toc20693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机电维修工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_Toc20693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320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49D78C90">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_Toc25319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电钳工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_Toc25319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336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125DD900">
      <w:pPr>
        <w:pStyle w:val="10"/>
        <w:tabs>
          <w:tab w:val="right" w:leader="dot" w:pos="8306"/>
        </w:tabs>
        <w:rPr>
          <w:rFonts w:hint="eastAsia" w:ascii="仿宋" w:hAnsi="仿宋" w:eastAsia="仿宋" w:cs="仿宋"/>
          <w:bCs/>
          <w:color w:val="auto"/>
          <w:sz w:val="28"/>
          <w:szCs w:val="28"/>
          <w:highlight w:val="none"/>
          <w:lang w:val="en-US" w:eastAsia="zh-CN"/>
        </w:rPr>
        <w:sectPr>
          <w:footerReference r:id="rId3" w:type="default"/>
          <w:pgSz w:w="11906" w:h="16838"/>
          <w:pgMar w:top="1440" w:right="1800" w:bottom="1440" w:left="1800" w:header="851" w:footer="992" w:gutter="0"/>
          <w:pgNumType w:start="1"/>
          <w:cols w:space="425" w:num="1"/>
          <w:docGrid w:type="lines" w:linePitch="312" w:charSpace="0"/>
        </w:sectPr>
      </w:pPr>
    </w:p>
    <w:p w14:paraId="60E6452D">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_Toc25559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胶带输送机司机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_Toc25559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354</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BE419CB">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_Toc12036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主井提升机司机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_Toc12036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372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1273EE6">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_Toc18739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主通风机司机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_Toc18739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390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C44AB1D">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_Toc5744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机械安装工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_Toc5744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404</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1A4AD7DF">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_Toc28297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煤矿井下电气作业工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_Toc28297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420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5FCC0B23">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_Toc11585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运输专业学习手册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_Toc11585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436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CE14443">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_Toc18623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rPr>
        <w:t>电机车司机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_Toc18623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436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353F5E5D">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_Toc10563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rPr>
        <w:t>架空乘人装置司机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_Toc10563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453</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6311E8B">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_Toc235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eastAsia="zh-CN"/>
        </w:rPr>
        <w:t>立井</w:t>
      </w:r>
      <w:r>
        <w:rPr>
          <w:rFonts w:hint="eastAsia" w:ascii="仿宋" w:hAnsi="仿宋" w:eastAsia="仿宋" w:cs="仿宋"/>
          <w:color w:val="auto"/>
          <w:sz w:val="28"/>
          <w:szCs w:val="28"/>
        </w:rPr>
        <w:t>信号把钩工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_Toc235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468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16D25E1B">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_Toc6090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kern w:val="0"/>
          <w:sz w:val="28"/>
          <w:szCs w:val="28"/>
          <w:lang w:eastAsia="zh-CN"/>
        </w:rPr>
        <w:t>提升机</w:t>
      </w:r>
      <w:r>
        <w:rPr>
          <w:rFonts w:hint="eastAsia" w:ascii="仿宋" w:hAnsi="仿宋" w:eastAsia="仿宋" w:cs="仿宋"/>
          <w:color w:val="auto"/>
          <w:kern w:val="0"/>
          <w:sz w:val="28"/>
          <w:szCs w:val="28"/>
        </w:rPr>
        <w:t>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_Toc6090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482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0174BA0">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_Toc7516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rPr>
        <w:t>斜巷信号把钩工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_Toc7516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496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38E2031">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_Toc772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lang w:eastAsia="zh-CN"/>
        </w:rPr>
        <w:t>窄轨轨道工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_Toc772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511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718A6F1C">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_Toc12320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地测防治水专业学习手册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_Toc12320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525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65E97CF">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_Toc2817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eastAsia="zh-CN"/>
        </w:rPr>
        <w:t>测量工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_Toc2817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525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00CA4DFE">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_Toc7796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井下探放水工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_Toc7796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537</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120D87C2">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_Toc22468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通防专业学习手册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_Toc22468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549</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ECB7AD9">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_Toc28933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测尘工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_Toc28933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549</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2D21469">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_Toc13599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测风工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_Toc13599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563</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BD5DC41">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_Toc23277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通风设施工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_Toc23277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578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2BA25B88">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_Toc28197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瓦斯检查工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_Toc28197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592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0932F2A7">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_Toc21957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注氮机</w:t>
      </w:r>
      <w:r>
        <w:rPr>
          <w:rFonts w:hint="eastAsia" w:ascii="仿宋" w:hAnsi="仿宋" w:eastAsia="仿宋" w:cs="仿宋"/>
          <w:color w:val="auto"/>
          <w:sz w:val="28"/>
          <w:szCs w:val="28"/>
          <w:highlight w:val="none"/>
        </w:rPr>
        <w:t>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_Toc21957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606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65CEDA98">
      <w:pPr>
        <w:pStyle w:val="10"/>
        <w:tabs>
          <w:tab w:val="right" w:leader="dot" w:pos="8306"/>
        </w:tabs>
        <w:rPr>
          <w:color w:val="auto"/>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_Toc28024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注浆工（地面）</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_Toc28024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618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14:paraId="7629C3CF">
      <w:pPr>
        <w:keepNext w:val="0"/>
        <w:keepLines w:val="0"/>
        <w:pageBreakBefore w:val="0"/>
        <w:widowControl w:val="0"/>
        <w:kinsoku/>
        <w:wordWrap/>
        <w:overflowPunct/>
        <w:topLinePunct w:val="0"/>
        <w:autoSpaceDE/>
        <w:autoSpaceDN/>
        <w:bidi w:val="0"/>
        <w:adjustRightInd/>
        <w:snapToGrid/>
        <w:spacing w:line="500" w:lineRule="exact"/>
        <w:jc w:val="both"/>
        <w:textAlignment w:val="center"/>
        <w:outlineLvl w:val="9"/>
        <w:rPr>
          <w:rFonts w:hint="eastAsia" w:ascii="仿宋" w:hAnsi="仿宋" w:eastAsia="仿宋" w:cs="仿宋"/>
          <w:bCs/>
          <w:color w:val="auto"/>
          <w:szCs w:val="36"/>
          <w:highlight w:val="none"/>
          <w:lang w:val="en-US" w:eastAsia="zh-CN"/>
        </w:rPr>
      </w:pPr>
      <w:r>
        <w:rPr>
          <w:rFonts w:hint="eastAsia" w:ascii="仿宋" w:hAnsi="仿宋" w:eastAsia="仿宋" w:cs="仿宋"/>
          <w:bCs/>
          <w:color w:val="auto"/>
          <w:szCs w:val="28"/>
          <w:highlight w:val="none"/>
          <w:lang w:val="en-US" w:eastAsia="zh-CN"/>
        </w:rPr>
        <w:fldChar w:fldCharType="end"/>
      </w:r>
    </w:p>
    <w:p w14:paraId="5213170C">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6"/>
          <w:szCs w:val="36"/>
          <w:highlight w:val="none"/>
          <w:lang w:val="en-US" w:eastAsia="zh-CN"/>
        </w:rPr>
        <w:sectPr>
          <w:footerReference r:id="rId4" w:type="default"/>
          <w:pgSz w:w="11906" w:h="16838"/>
          <w:pgMar w:top="1440" w:right="1800" w:bottom="1440" w:left="1800" w:header="851" w:footer="992" w:gutter="0"/>
          <w:pgNumType w:start="1"/>
          <w:cols w:space="425" w:num="1"/>
          <w:docGrid w:type="lines" w:linePitch="312" w:charSpace="0"/>
        </w:sectPr>
      </w:pPr>
      <w:bookmarkStart w:id="4" w:name="_Toc21187"/>
    </w:p>
    <w:p w14:paraId="4CC9F1B6">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采煤专业学习手册</w:t>
      </w:r>
      <w:bookmarkEnd w:id="1"/>
      <w:bookmarkEnd w:id="2"/>
      <w:bookmarkEnd w:id="4"/>
    </w:p>
    <w:p w14:paraId="6F4AC694">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bCs/>
          <w:color w:val="auto"/>
          <w:sz w:val="36"/>
          <w:szCs w:val="36"/>
          <w:highlight w:val="none"/>
          <w:lang w:val="en-US" w:eastAsia="zh-CN"/>
        </w:rPr>
      </w:pPr>
      <w:bookmarkStart w:id="5" w:name="_Toc23420"/>
      <w:bookmarkStart w:id="6" w:name="_Toc1634"/>
      <w:bookmarkStart w:id="7" w:name="_Toc14277"/>
      <w:r>
        <w:rPr>
          <w:rFonts w:hint="eastAsia" w:ascii="仿宋" w:hAnsi="仿宋" w:eastAsia="仿宋" w:cs="仿宋"/>
          <w:b/>
          <w:color w:val="auto"/>
          <w:sz w:val="36"/>
          <w:szCs w:val="36"/>
          <w:highlight w:val="none"/>
        </w:rPr>
        <w:t>采煤机司机</w:t>
      </w:r>
      <w:bookmarkEnd w:id="5"/>
      <w:bookmarkEnd w:id="6"/>
      <w:bookmarkEnd w:id="7"/>
    </w:p>
    <w:tbl>
      <w:tblPr>
        <w:tblStyle w:val="12"/>
        <w:tblW w:w="8512" w:type="dxa"/>
        <w:tblInd w:w="0" w:type="dxa"/>
        <w:tblLayout w:type="fixed"/>
        <w:tblCellMar>
          <w:top w:w="0" w:type="dxa"/>
          <w:left w:w="108" w:type="dxa"/>
          <w:bottom w:w="0" w:type="dxa"/>
          <w:right w:w="108" w:type="dxa"/>
        </w:tblCellMar>
      </w:tblPr>
      <w:tblGrid>
        <w:gridCol w:w="785"/>
        <w:gridCol w:w="2921"/>
        <w:gridCol w:w="655"/>
        <w:gridCol w:w="4151"/>
      </w:tblGrid>
      <w:tr w14:paraId="38F769D5">
        <w:tblPrEx>
          <w:tblCellMar>
            <w:top w:w="0" w:type="dxa"/>
            <w:left w:w="108" w:type="dxa"/>
            <w:bottom w:w="0" w:type="dxa"/>
            <w:right w:w="108" w:type="dxa"/>
          </w:tblCellMar>
        </w:tblPrEx>
        <w:trPr>
          <w:trHeight w:val="647" w:hRule="atLeast"/>
        </w:trPr>
        <w:tc>
          <w:tcPr>
            <w:tcW w:w="8512" w:type="dxa"/>
            <w:gridSpan w:val="4"/>
            <w:tcBorders>
              <w:top w:val="single" w:color="auto" w:sz="4" w:space="0"/>
              <w:left w:val="single" w:color="auto" w:sz="4" w:space="0"/>
              <w:bottom w:val="single" w:color="auto" w:sz="4" w:space="0"/>
              <w:right w:val="single" w:color="auto" w:sz="4" w:space="0"/>
            </w:tcBorders>
            <w:vAlign w:val="center"/>
          </w:tcPr>
          <w:p w14:paraId="241E2A11">
            <w:pPr>
              <w:keepNext w:val="0"/>
              <w:keepLines w:val="0"/>
              <w:pageBreakBefore w:val="0"/>
              <w:widowControl/>
              <w:kinsoku/>
              <w:wordWrap/>
              <w:overflowPunct/>
              <w:topLinePunct w:val="0"/>
              <w:autoSpaceDE/>
              <w:autoSpaceDN/>
              <w:bidi w:val="0"/>
              <w:adjustRightInd/>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采煤机司机岗位风险告知卡</w:t>
            </w:r>
          </w:p>
        </w:tc>
      </w:tr>
      <w:tr w14:paraId="38208C72">
        <w:tblPrEx>
          <w:tblCellMar>
            <w:top w:w="0" w:type="dxa"/>
            <w:left w:w="108" w:type="dxa"/>
            <w:bottom w:w="0" w:type="dxa"/>
            <w:right w:w="108" w:type="dxa"/>
          </w:tblCellMar>
        </w:tblPrEx>
        <w:trPr>
          <w:trHeight w:val="1284" w:hRule="atLeast"/>
        </w:trPr>
        <w:tc>
          <w:tcPr>
            <w:tcW w:w="785" w:type="dxa"/>
            <w:tcBorders>
              <w:top w:val="nil"/>
              <w:left w:val="single" w:color="auto" w:sz="4" w:space="0"/>
              <w:bottom w:val="single" w:color="auto" w:sz="4" w:space="0"/>
              <w:right w:val="single" w:color="auto" w:sz="4" w:space="0"/>
            </w:tcBorders>
            <w:vAlign w:val="center"/>
          </w:tcPr>
          <w:p w14:paraId="0D3819B4">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2921" w:type="dxa"/>
            <w:tcBorders>
              <w:top w:val="nil"/>
              <w:left w:val="nil"/>
              <w:bottom w:val="single" w:color="auto" w:sz="4" w:space="0"/>
              <w:right w:val="single" w:color="auto" w:sz="4" w:space="0"/>
            </w:tcBorders>
            <w:vAlign w:val="center"/>
          </w:tcPr>
          <w:p w14:paraId="6AC3A4CE">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冒顶（片帮）、煤尘、瓦斯、机电、运输、物体打击、职业病危害</w:t>
            </w:r>
          </w:p>
        </w:tc>
        <w:tc>
          <w:tcPr>
            <w:tcW w:w="655" w:type="dxa"/>
            <w:tcBorders>
              <w:top w:val="nil"/>
              <w:left w:val="nil"/>
              <w:bottom w:val="single" w:color="auto" w:sz="4" w:space="0"/>
              <w:right w:val="single" w:color="auto" w:sz="4" w:space="0"/>
            </w:tcBorders>
            <w:vAlign w:val="center"/>
          </w:tcPr>
          <w:p w14:paraId="0619D476">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事故报告</w:t>
            </w:r>
          </w:p>
        </w:tc>
        <w:tc>
          <w:tcPr>
            <w:tcW w:w="4151" w:type="dxa"/>
            <w:tcBorders>
              <w:top w:val="nil"/>
              <w:left w:val="nil"/>
              <w:bottom w:val="single" w:color="auto" w:sz="4" w:space="0"/>
              <w:right w:val="single" w:color="auto" w:sz="4" w:space="0"/>
            </w:tcBorders>
            <w:vAlign w:val="center"/>
          </w:tcPr>
          <w:p w14:paraId="1D9F8902">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14:paraId="4846C227">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0385</w:t>
            </w:r>
          </w:p>
          <w:p w14:paraId="4332CA1A">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5B86B339">
        <w:tblPrEx>
          <w:tblCellMar>
            <w:top w:w="0" w:type="dxa"/>
            <w:left w:w="108" w:type="dxa"/>
            <w:bottom w:w="0" w:type="dxa"/>
            <w:right w:w="108" w:type="dxa"/>
          </w:tblCellMar>
        </w:tblPrEx>
        <w:trPr>
          <w:trHeight w:val="328"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12BFDF53">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806" w:type="dxa"/>
            <w:gridSpan w:val="2"/>
            <w:tcBorders>
              <w:top w:val="single" w:color="auto" w:sz="4" w:space="0"/>
              <w:left w:val="nil"/>
              <w:bottom w:val="single" w:color="auto" w:sz="4" w:space="0"/>
              <w:right w:val="single" w:color="auto" w:sz="4" w:space="0"/>
            </w:tcBorders>
            <w:vAlign w:val="center"/>
          </w:tcPr>
          <w:p w14:paraId="3E5E817C">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14:paraId="6519FBF2">
        <w:tblPrEx>
          <w:tblCellMar>
            <w:top w:w="0" w:type="dxa"/>
            <w:left w:w="108" w:type="dxa"/>
            <w:bottom w:w="0" w:type="dxa"/>
            <w:right w:w="108" w:type="dxa"/>
          </w:tblCellMar>
        </w:tblPrEx>
        <w:trPr>
          <w:trHeight w:val="1431"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3F776421">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1.未持证上岗；未佩戴个体防护；空顶作业；通风不良，造成瓦斯积聚；喷雾无法正常使用，粉尘积聚</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14:paraId="1974F19E">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1.持证上岗；佩戴好安全帽、口罩、耳塞；检查好顶帮支护情况，确保顶帮支护合格后方可上岗作业；保持采煤工作面正常通风，瓦斯浓度达到1%时，立即停机处理；开机前检查喷雾完好情况</w:t>
            </w:r>
            <w:r>
              <w:rPr>
                <w:rFonts w:hint="eastAsia" w:ascii="仿宋" w:hAnsi="仿宋" w:eastAsia="仿宋" w:cs="仿宋"/>
                <w:color w:val="auto"/>
                <w:kern w:val="0"/>
                <w:sz w:val="21"/>
                <w:szCs w:val="21"/>
                <w:highlight w:val="none"/>
                <w:lang w:eastAsia="zh-CN"/>
              </w:rPr>
              <w:t>。</w:t>
            </w:r>
          </w:p>
        </w:tc>
      </w:tr>
      <w:tr w14:paraId="119525AE">
        <w:tblPrEx>
          <w:tblCellMar>
            <w:top w:w="0" w:type="dxa"/>
            <w:left w:w="108" w:type="dxa"/>
            <w:bottom w:w="0" w:type="dxa"/>
            <w:right w:w="108" w:type="dxa"/>
          </w:tblCellMar>
        </w:tblPrEx>
        <w:trPr>
          <w:trHeight w:val="1603"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2B6D77C8">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2.人员站位不当；后退路不畅通；滚筒周围有人员及障碍物</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14:paraId="47123A5A">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2.采煤机运行时，采煤机司机必须在架间进行操作；将人行道内材料清理干净，保证人行道畅通；开机前必须检查滚筒前3m内有无人员及障碍物，发现有人及障碍物时严禁开机，将人员及障碍物清理后方可开机</w:t>
            </w:r>
            <w:r>
              <w:rPr>
                <w:rFonts w:hint="eastAsia" w:ascii="仿宋" w:hAnsi="仿宋" w:eastAsia="仿宋" w:cs="仿宋"/>
                <w:color w:val="auto"/>
                <w:kern w:val="0"/>
                <w:sz w:val="21"/>
                <w:szCs w:val="21"/>
                <w:highlight w:val="none"/>
                <w:lang w:eastAsia="zh-CN"/>
              </w:rPr>
              <w:t>。</w:t>
            </w:r>
          </w:p>
        </w:tc>
      </w:tr>
      <w:tr w14:paraId="147141D4">
        <w:tblPrEx>
          <w:tblCellMar>
            <w:top w:w="0" w:type="dxa"/>
            <w:left w:w="108" w:type="dxa"/>
            <w:bottom w:w="0" w:type="dxa"/>
            <w:right w:w="108" w:type="dxa"/>
          </w:tblCellMar>
        </w:tblPrEx>
        <w:trPr>
          <w:trHeight w:val="1728"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15AB5371">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3.采煤机异响未停机处理；异物未处理继续截割的；滚筒割顶梁；截割时未开启内外喷雾的</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14:paraId="41CAC49C">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采煤机出现异响时立即停机查找原因，处理完成后再生产；采煤机滚筒缠绕异物时，必须将采煤机和输送机停电闭锁，滚筒离合器打开，将异物取出；前后司机做好配合，控制采高，防止割顶梁；截割时必须开启内外喷雾，确保降尘效果</w:t>
            </w:r>
            <w:r>
              <w:rPr>
                <w:rFonts w:hint="eastAsia" w:ascii="仿宋" w:hAnsi="仿宋" w:eastAsia="仿宋" w:cs="仿宋"/>
                <w:color w:val="auto"/>
                <w:kern w:val="0"/>
                <w:sz w:val="21"/>
                <w:szCs w:val="21"/>
                <w:highlight w:val="none"/>
                <w:lang w:eastAsia="zh-CN"/>
              </w:rPr>
              <w:t>。</w:t>
            </w:r>
          </w:p>
        </w:tc>
      </w:tr>
      <w:tr w14:paraId="61A2426E">
        <w:tblPrEx>
          <w:tblCellMar>
            <w:top w:w="0" w:type="dxa"/>
            <w:left w:w="108" w:type="dxa"/>
            <w:bottom w:w="0" w:type="dxa"/>
            <w:right w:w="108" w:type="dxa"/>
          </w:tblCellMar>
        </w:tblPrEx>
        <w:trPr>
          <w:trHeight w:val="1353"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3B81C4DC">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4.停机未停电闭锁、滚筒未落地、操作按钮未复位</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14:paraId="0884EB1B">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eastAsia="zh-CN"/>
              </w:rPr>
              <w:t>按下牵停按钮</w:t>
            </w:r>
            <w:r>
              <w:rPr>
                <w:rFonts w:hint="eastAsia" w:ascii="仿宋" w:hAnsi="仿宋" w:eastAsia="仿宋" w:cs="仿宋"/>
                <w:color w:val="auto"/>
                <w:kern w:val="0"/>
                <w:sz w:val="21"/>
                <w:szCs w:val="21"/>
                <w:highlight w:val="none"/>
              </w:rPr>
              <w:t>，停止牵引采煤机；将滚筒放到底板上；正常停机时，不得采用紧急停机方法停止采煤机，将采煤机机身操作按钮复位，断开磁力启动器的隔离开关，切断电源。</w:t>
            </w:r>
          </w:p>
        </w:tc>
      </w:tr>
      <w:tr w14:paraId="0A6FA1C9">
        <w:tblPrEx>
          <w:tblCellMar>
            <w:top w:w="0" w:type="dxa"/>
            <w:left w:w="108" w:type="dxa"/>
            <w:bottom w:w="0" w:type="dxa"/>
            <w:right w:w="108" w:type="dxa"/>
          </w:tblCellMar>
        </w:tblPrEx>
        <w:trPr>
          <w:trHeight w:val="647" w:hRule="atLeast"/>
        </w:trPr>
        <w:tc>
          <w:tcPr>
            <w:tcW w:w="3706" w:type="dxa"/>
            <w:gridSpan w:val="2"/>
            <w:tcBorders>
              <w:top w:val="single" w:color="auto" w:sz="4" w:space="0"/>
              <w:left w:val="single" w:color="auto" w:sz="4" w:space="0"/>
              <w:bottom w:val="single" w:color="auto" w:sz="4" w:space="0"/>
              <w:right w:val="single" w:color="000000" w:sz="4" w:space="0"/>
            </w:tcBorders>
            <w:vAlign w:val="center"/>
          </w:tcPr>
          <w:p w14:paraId="6FAF3C81">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5.信号器不完好，信号不清，无法发出警示；未佩戴防尘口罩和耳塞</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000000" w:sz="4" w:space="0"/>
            </w:tcBorders>
            <w:vAlign w:val="center"/>
          </w:tcPr>
          <w:p w14:paraId="616CE6FB">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5.开机前检查信号是否完好，信号不清不得开机；佩戴好防护手套、耳塞等劳保用品</w:t>
            </w:r>
            <w:r>
              <w:rPr>
                <w:rFonts w:hint="eastAsia" w:ascii="仿宋" w:hAnsi="仿宋" w:eastAsia="仿宋" w:cs="仿宋"/>
                <w:color w:val="auto"/>
                <w:kern w:val="0"/>
                <w:sz w:val="21"/>
                <w:szCs w:val="21"/>
                <w:highlight w:val="none"/>
                <w:lang w:eastAsia="zh-CN"/>
              </w:rPr>
              <w:t>。</w:t>
            </w:r>
          </w:p>
        </w:tc>
      </w:tr>
      <w:tr w14:paraId="7D4AA0E3">
        <w:tblPrEx>
          <w:tblCellMar>
            <w:top w:w="0" w:type="dxa"/>
            <w:left w:w="108" w:type="dxa"/>
            <w:bottom w:w="0" w:type="dxa"/>
            <w:right w:w="108" w:type="dxa"/>
          </w:tblCellMar>
        </w:tblPrEx>
        <w:trPr>
          <w:trHeight w:val="922" w:hRule="atLeast"/>
        </w:trPr>
        <w:tc>
          <w:tcPr>
            <w:tcW w:w="785" w:type="dxa"/>
            <w:tcBorders>
              <w:top w:val="nil"/>
              <w:left w:val="single" w:color="auto" w:sz="4" w:space="0"/>
              <w:bottom w:val="single" w:color="auto" w:sz="4" w:space="0"/>
              <w:right w:val="single" w:color="auto" w:sz="4" w:space="0"/>
            </w:tcBorders>
            <w:vAlign w:val="center"/>
          </w:tcPr>
          <w:p w14:paraId="570D53B5">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7C6F4E61">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27" w:type="dxa"/>
            <w:gridSpan w:val="3"/>
            <w:tcBorders>
              <w:top w:val="single" w:color="auto" w:sz="4" w:space="0"/>
              <w:left w:val="nil"/>
              <w:bottom w:val="single" w:color="auto" w:sz="4" w:space="0"/>
              <w:right w:val="single" w:color="auto" w:sz="4" w:space="0"/>
            </w:tcBorders>
            <w:vAlign w:val="center"/>
          </w:tcPr>
          <w:p w14:paraId="69F33395">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5CEDF946">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51956968">
        <w:tblPrEx>
          <w:tblCellMar>
            <w:top w:w="0" w:type="dxa"/>
            <w:left w:w="108" w:type="dxa"/>
            <w:bottom w:w="0" w:type="dxa"/>
            <w:right w:w="108" w:type="dxa"/>
          </w:tblCellMar>
        </w:tblPrEx>
        <w:trPr>
          <w:trHeight w:val="1522" w:hRule="atLeast"/>
        </w:trPr>
        <w:tc>
          <w:tcPr>
            <w:tcW w:w="785" w:type="dxa"/>
            <w:tcBorders>
              <w:top w:val="nil"/>
              <w:left w:val="single" w:color="auto" w:sz="4" w:space="0"/>
              <w:bottom w:val="single" w:color="auto" w:sz="4" w:space="0"/>
              <w:right w:val="single" w:color="auto" w:sz="4" w:space="0"/>
            </w:tcBorders>
            <w:vAlign w:val="center"/>
          </w:tcPr>
          <w:p w14:paraId="69DEBF5E">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施</w:t>
            </w:r>
          </w:p>
        </w:tc>
        <w:tc>
          <w:tcPr>
            <w:tcW w:w="7727" w:type="dxa"/>
            <w:gridSpan w:val="3"/>
            <w:tcBorders>
              <w:top w:val="single" w:color="auto" w:sz="4" w:space="0"/>
              <w:left w:val="nil"/>
              <w:bottom w:val="single" w:color="auto" w:sz="4" w:space="0"/>
              <w:right w:val="single" w:color="auto" w:sz="4" w:space="0"/>
            </w:tcBorders>
            <w:vAlign w:val="center"/>
          </w:tcPr>
          <w:p w14:paraId="615235EE">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1.发生事故后、要立即按照“及时汇报、积极抢救、安全撤离、妥善避灾”原则进行自救互救；2.尽量与调度室保持联系，将现场情况准确汇报</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3.抢救伤员时要遵循“三先三后”的原则</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4.撤离时沿着避灾路线逃生，必要时进入避难硐室等待救援。</w:t>
            </w:r>
          </w:p>
        </w:tc>
      </w:tr>
    </w:tbl>
    <w:p w14:paraId="270F4DDA">
      <w:pPr>
        <w:pStyle w:val="2"/>
        <w:keepNext w:val="0"/>
        <w:keepLines w:val="0"/>
        <w:pageBreakBefore w:val="0"/>
        <w:kinsoku/>
        <w:wordWrap/>
        <w:overflowPunct/>
        <w:topLinePunct w:val="0"/>
        <w:autoSpaceDE/>
        <w:autoSpaceDN/>
        <w:bidi w:val="0"/>
        <w:adjustRightInd/>
        <w:ind w:left="0" w:leftChars="0" w:firstLine="0" w:firstLineChars="0"/>
        <w:outlineLvl w:val="9"/>
        <w:rPr>
          <w:rFonts w:hint="eastAsia" w:eastAsia="宋体"/>
          <w:color w:val="auto"/>
          <w:lang w:val="en-US" w:eastAsia="zh-CN"/>
        </w:rPr>
      </w:pPr>
    </w:p>
    <w:tbl>
      <w:tblPr>
        <w:tblStyle w:val="12"/>
        <w:tblW w:w="8500" w:type="dxa"/>
        <w:tblInd w:w="0" w:type="dxa"/>
        <w:tblLayout w:type="fixed"/>
        <w:tblCellMar>
          <w:top w:w="0" w:type="dxa"/>
          <w:left w:w="108" w:type="dxa"/>
          <w:bottom w:w="0" w:type="dxa"/>
          <w:right w:w="108" w:type="dxa"/>
        </w:tblCellMar>
      </w:tblPr>
      <w:tblGrid>
        <w:gridCol w:w="4436"/>
        <w:gridCol w:w="4064"/>
      </w:tblGrid>
      <w:tr w14:paraId="58FFE4EA">
        <w:tblPrEx>
          <w:tblCellMar>
            <w:top w:w="0" w:type="dxa"/>
            <w:left w:w="108" w:type="dxa"/>
            <w:bottom w:w="0" w:type="dxa"/>
            <w:right w:w="108" w:type="dxa"/>
          </w:tblCellMar>
        </w:tblPrEx>
        <w:trPr>
          <w:trHeight w:val="747" w:hRule="atLeast"/>
        </w:trPr>
        <w:tc>
          <w:tcPr>
            <w:tcW w:w="8500" w:type="dxa"/>
            <w:gridSpan w:val="2"/>
            <w:tcBorders>
              <w:top w:val="single" w:color="auto" w:sz="4" w:space="0"/>
              <w:left w:val="single" w:color="auto" w:sz="4" w:space="0"/>
              <w:bottom w:val="nil"/>
              <w:right w:val="single" w:color="000000" w:sz="4" w:space="0"/>
            </w:tcBorders>
            <w:vAlign w:val="center"/>
          </w:tcPr>
          <w:p w14:paraId="51C96C58">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采煤机司机安全提示卡</w:t>
            </w:r>
          </w:p>
        </w:tc>
      </w:tr>
      <w:tr w14:paraId="6EDA476C">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14:paraId="7E4807C0">
            <w:pPr>
              <w:keepNext w:val="0"/>
              <w:keepLines w:val="0"/>
              <w:pageBreakBefore w:val="0"/>
              <w:widowControl/>
              <w:kinsoku/>
              <w:wordWrap/>
              <w:overflowPunct/>
              <w:topLinePunct w:val="0"/>
              <w:autoSpaceDE/>
              <w:autoSpaceDN/>
              <w:bidi w:val="0"/>
              <w:adjustRightInd/>
              <w:spacing w:line="240" w:lineRule="auto"/>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开机前检查</w:t>
            </w:r>
          </w:p>
        </w:tc>
        <w:tc>
          <w:tcPr>
            <w:tcW w:w="4064" w:type="dxa"/>
            <w:tcBorders>
              <w:top w:val="single" w:color="auto" w:sz="4" w:space="0"/>
              <w:left w:val="nil"/>
              <w:bottom w:val="single" w:color="auto" w:sz="4" w:space="0"/>
              <w:right w:val="single" w:color="auto" w:sz="4" w:space="0"/>
            </w:tcBorders>
            <w:vAlign w:val="center"/>
          </w:tcPr>
          <w:p w14:paraId="55548386">
            <w:pPr>
              <w:keepNext w:val="0"/>
              <w:keepLines w:val="0"/>
              <w:pageBreakBefore w:val="0"/>
              <w:widowControl/>
              <w:kinsoku/>
              <w:wordWrap/>
              <w:overflowPunct/>
              <w:topLinePunct w:val="0"/>
              <w:autoSpaceDE/>
              <w:autoSpaceDN/>
              <w:bidi w:val="0"/>
              <w:adjustRightInd/>
              <w:spacing w:line="240" w:lineRule="auto"/>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停机后确认</w:t>
            </w:r>
          </w:p>
        </w:tc>
      </w:tr>
      <w:tr w14:paraId="3B155DCD">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14:paraId="2137F70E">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1.顶帮</w:t>
            </w:r>
          </w:p>
        </w:tc>
        <w:tc>
          <w:tcPr>
            <w:tcW w:w="4064" w:type="dxa"/>
            <w:tcBorders>
              <w:top w:val="single" w:color="auto" w:sz="4" w:space="0"/>
              <w:left w:val="nil"/>
              <w:bottom w:val="single" w:color="auto" w:sz="4" w:space="0"/>
              <w:right w:val="single" w:color="auto" w:sz="4" w:space="0"/>
            </w:tcBorders>
            <w:vAlign w:val="center"/>
          </w:tcPr>
          <w:p w14:paraId="6E86B9C6">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1.停机位置</w:t>
            </w:r>
          </w:p>
        </w:tc>
      </w:tr>
      <w:tr w14:paraId="4B81349E">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14:paraId="0C17DFB9">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2.瓦斯</w:t>
            </w:r>
          </w:p>
        </w:tc>
        <w:tc>
          <w:tcPr>
            <w:tcW w:w="4064" w:type="dxa"/>
            <w:tcBorders>
              <w:top w:val="single" w:color="auto" w:sz="4" w:space="0"/>
              <w:left w:val="nil"/>
              <w:bottom w:val="single" w:color="auto" w:sz="4" w:space="0"/>
              <w:right w:val="single" w:color="auto" w:sz="4" w:space="0"/>
            </w:tcBorders>
            <w:vAlign w:val="center"/>
          </w:tcPr>
          <w:p w14:paraId="2A6E8065">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★2.牵停按钮</w:t>
            </w:r>
          </w:p>
        </w:tc>
      </w:tr>
      <w:tr w14:paraId="050D7684">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14:paraId="0A2E73E4">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3.信号</w:t>
            </w:r>
          </w:p>
        </w:tc>
        <w:tc>
          <w:tcPr>
            <w:tcW w:w="4064" w:type="dxa"/>
            <w:tcBorders>
              <w:top w:val="single" w:color="auto" w:sz="4" w:space="0"/>
              <w:left w:val="nil"/>
              <w:bottom w:val="single" w:color="auto" w:sz="4" w:space="0"/>
              <w:right w:val="single" w:color="auto" w:sz="4" w:space="0"/>
            </w:tcBorders>
            <w:vAlign w:val="center"/>
          </w:tcPr>
          <w:p w14:paraId="1CA4ED1A">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★3.滚筒</w:t>
            </w:r>
          </w:p>
        </w:tc>
      </w:tr>
      <w:tr w14:paraId="7773FB5D">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14:paraId="5D82BDAD">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★4.站位</w:t>
            </w:r>
          </w:p>
        </w:tc>
        <w:tc>
          <w:tcPr>
            <w:tcW w:w="4064" w:type="dxa"/>
            <w:tcBorders>
              <w:top w:val="single" w:color="auto" w:sz="4" w:space="0"/>
              <w:left w:val="nil"/>
              <w:bottom w:val="single" w:color="auto" w:sz="4" w:space="0"/>
              <w:right w:val="single" w:color="auto" w:sz="4" w:space="0"/>
            </w:tcBorders>
            <w:vAlign w:val="center"/>
          </w:tcPr>
          <w:p w14:paraId="46F00A76">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4.停电闭锁</w:t>
            </w:r>
          </w:p>
        </w:tc>
      </w:tr>
      <w:tr w14:paraId="2079C82F">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14:paraId="72A6C1AC">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5.口罩</w:t>
            </w:r>
          </w:p>
        </w:tc>
        <w:tc>
          <w:tcPr>
            <w:tcW w:w="4064" w:type="dxa"/>
            <w:tcBorders>
              <w:top w:val="single" w:color="auto" w:sz="4" w:space="0"/>
              <w:left w:val="nil"/>
              <w:bottom w:val="single" w:color="auto" w:sz="4" w:space="0"/>
              <w:right w:val="single" w:color="auto" w:sz="4" w:space="0"/>
            </w:tcBorders>
            <w:vAlign w:val="center"/>
          </w:tcPr>
          <w:p w14:paraId="7DAD852F">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5.进水截止阀</w:t>
            </w:r>
          </w:p>
        </w:tc>
      </w:tr>
      <w:tr w14:paraId="04E76800">
        <w:tblPrEx>
          <w:tblCellMar>
            <w:top w:w="0" w:type="dxa"/>
            <w:left w:w="108" w:type="dxa"/>
            <w:bottom w:w="0" w:type="dxa"/>
            <w:right w:w="108" w:type="dxa"/>
          </w:tblCellMar>
        </w:tblPrEx>
        <w:trPr>
          <w:trHeight w:val="629" w:hRule="exact"/>
        </w:trPr>
        <w:tc>
          <w:tcPr>
            <w:tcW w:w="4436" w:type="dxa"/>
            <w:tcBorders>
              <w:top w:val="single" w:color="auto" w:sz="4" w:space="0"/>
              <w:left w:val="single" w:color="auto" w:sz="4" w:space="0"/>
              <w:bottom w:val="single" w:color="auto" w:sz="4" w:space="0"/>
              <w:right w:val="single" w:color="auto" w:sz="4" w:space="0"/>
            </w:tcBorders>
            <w:vAlign w:val="center"/>
          </w:tcPr>
          <w:p w14:paraId="4281F5DE">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★6.滚筒附近5米范围内人员及障碍物</w:t>
            </w:r>
          </w:p>
        </w:tc>
        <w:tc>
          <w:tcPr>
            <w:tcW w:w="4064" w:type="dxa"/>
            <w:tcBorders>
              <w:top w:val="single" w:color="auto" w:sz="4" w:space="0"/>
              <w:left w:val="nil"/>
              <w:bottom w:val="single" w:color="auto" w:sz="4" w:space="0"/>
              <w:right w:val="single" w:color="auto" w:sz="4" w:space="0"/>
            </w:tcBorders>
            <w:vAlign w:val="bottom"/>
          </w:tcPr>
          <w:p w14:paraId="3E6E335C">
            <w:pPr>
              <w:keepNext w:val="0"/>
              <w:keepLines w:val="0"/>
              <w:pageBreakBefore w:val="0"/>
              <w:widowControl/>
              <w:kinsoku/>
              <w:wordWrap/>
              <w:overflowPunct/>
              <w:topLinePunct w:val="0"/>
              <w:autoSpaceDE/>
              <w:autoSpaceDN/>
              <w:bidi w:val="0"/>
              <w:adjustRightInd/>
              <w:spacing w:line="240" w:lineRule="auto"/>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w:t>
            </w:r>
          </w:p>
        </w:tc>
      </w:tr>
      <w:tr w14:paraId="10DAC13B">
        <w:tblPrEx>
          <w:tblCellMar>
            <w:top w:w="0" w:type="dxa"/>
            <w:left w:w="108" w:type="dxa"/>
            <w:bottom w:w="0" w:type="dxa"/>
            <w:right w:w="108" w:type="dxa"/>
          </w:tblCellMar>
        </w:tblPrEx>
        <w:trPr>
          <w:trHeight w:val="850" w:hRule="exact"/>
        </w:trPr>
        <w:tc>
          <w:tcPr>
            <w:tcW w:w="8500" w:type="dxa"/>
            <w:gridSpan w:val="2"/>
            <w:tcBorders>
              <w:top w:val="single" w:color="auto" w:sz="4" w:space="0"/>
              <w:left w:val="single" w:color="auto" w:sz="4" w:space="0"/>
              <w:bottom w:val="single" w:color="auto" w:sz="4" w:space="0"/>
              <w:right w:val="single" w:color="auto" w:sz="4" w:space="0"/>
            </w:tcBorders>
            <w:vAlign w:val="center"/>
          </w:tcPr>
          <w:p w14:paraId="0FE6D187">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注：第一次按开机前检查内容逐项检查并确认，存在问题整改后再确认；中间再次操作只检查带“★”部分；割煤全部结束后按停机后确认内容逐项检查并确认。 </w:t>
            </w:r>
          </w:p>
        </w:tc>
      </w:tr>
    </w:tbl>
    <w:p w14:paraId="274D45EB">
      <w:pPr>
        <w:keepNext w:val="0"/>
        <w:keepLines w:val="0"/>
        <w:pageBreakBefore w:val="0"/>
        <w:kinsoku/>
        <w:wordWrap/>
        <w:overflowPunct/>
        <w:topLinePunct w:val="0"/>
        <w:autoSpaceDE/>
        <w:autoSpaceDN/>
        <w:bidi w:val="0"/>
        <w:adjustRightInd/>
        <w:outlineLvl w:val="9"/>
        <w:rPr>
          <w:color w:val="auto"/>
        </w:rPr>
      </w:pPr>
    </w:p>
    <w:tbl>
      <w:tblPr>
        <w:tblStyle w:val="12"/>
        <w:tblW w:w="8480" w:type="dxa"/>
        <w:tblInd w:w="0" w:type="dxa"/>
        <w:tblLayout w:type="fixed"/>
        <w:tblCellMar>
          <w:top w:w="0" w:type="dxa"/>
          <w:left w:w="108" w:type="dxa"/>
          <w:bottom w:w="0" w:type="dxa"/>
          <w:right w:w="108" w:type="dxa"/>
        </w:tblCellMar>
      </w:tblPr>
      <w:tblGrid>
        <w:gridCol w:w="8480"/>
      </w:tblGrid>
      <w:tr w14:paraId="01772CCD">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000000" w:sz="4" w:space="0"/>
            </w:tcBorders>
            <w:vAlign w:val="center"/>
          </w:tcPr>
          <w:p w14:paraId="3C4B2D56">
            <w:pPr>
              <w:keepNext w:val="0"/>
              <w:keepLines w:val="0"/>
              <w:pageBreakBefore w:val="0"/>
              <w:widowControl/>
              <w:kinsoku/>
              <w:wordWrap/>
              <w:overflowPunct/>
              <w:topLinePunct w:val="0"/>
              <w:autoSpaceDE/>
              <w:autoSpaceDN/>
              <w:bidi w:val="0"/>
              <w:adjustRightInd/>
              <w:spacing w:line="500" w:lineRule="exact"/>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采煤机单元检查表</w:t>
            </w:r>
          </w:p>
        </w:tc>
      </w:tr>
      <w:tr w14:paraId="0B6D8D43">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14:paraId="5A610D64">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1.左滚筒无带载、截齿，左摇臂油量、密封</w:t>
            </w:r>
          </w:p>
        </w:tc>
      </w:tr>
      <w:tr w14:paraId="4BF0166F">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14:paraId="7BEA7750">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2.左侧滑靴、齿轨、齿轮啮合 </w:t>
            </w:r>
          </w:p>
        </w:tc>
      </w:tr>
      <w:tr w14:paraId="57ED5351">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14:paraId="6BF4D47B">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3.机身连接 </w:t>
            </w:r>
          </w:p>
        </w:tc>
      </w:tr>
      <w:tr w14:paraId="48AAACF8">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14:paraId="0BFC4370">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4.液压油位</w:t>
            </w:r>
          </w:p>
        </w:tc>
      </w:tr>
      <w:tr w14:paraId="37BBE322">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14:paraId="54641BF4">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5.水管、冷却水、喷雾、拖缆装置与电缆</w:t>
            </w:r>
          </w:p>
        </w:tc>
      </w:tr>
      <w:tr w14:paraId="0B1603FA">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14:paraId="013CB170">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6.操作按钮、急停</w:t>
            </w:r>
          </w:p>
        </w:tc>
      </w:tr>
      <w:tr w14:paraId="776EE080">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14:paraId="23146881">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7.右侧滑靴、齿轨、齿轮啮合  </w:t>
            </w:r>
          </w:p>
        </w:tc>
      </w:tr>
      <w:tr w14:paraId="00A42DB6">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14:paraId="7B907BDA">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8.右滚筒无带载、截齿，右摇臂油量、密封</w:t>
            </w:r>
          </w:p>
        </w:tc>
      </w:tr>
      <w:tr w14:paraId="2540B067">
        <w:tblPrEx>
          <w:tblCellMar>
            <w:top w:w="0" w:type="dxa"/>
            <w:left w:w="108" w:type="dxa"/>
            <w:bottom w:w="0" w:type="dxa"/>
            <w:right w:w="108" w:type="dxa"/>
          </w:tblCellMar>
        </w:tblPrEx>
        <w:trPr>
          <w:trHeight w:val="535" w:hRule="exact"/>
        </w:trPr>
        <w:tc>
          <w:tcPr>
            <w:tcW w:w="8480" w:type="dxa"/>
            <w:tcBorders>
              <w:top w:val="nil"/>
              <w:left w:val="single" w:color="auto" w:sz="4" w:space="0"/>
              <w:bottom w:val="single" w:color="auto" w:sz="4" w:space="0"/>
              <w:right w:val="single" w:color="000000" w:sz="4" w:space="0"/>
            </w:tcBorders>
            <w:vAlign w:val="center"/>
          </w:tcPr>
          <w:p w14:paraId="4239D95A">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接班后单元检查表检查前，先进行停电闭锁确认.</w:t>
            </w:r>
          </w:p>
        </w:tc>
      </w:tr>
    </w:tbl>
    <w:p w14:paraId="33B8F792">
      <w:pPr>
        <w:keepNext w:val="0"/>
        <w:keepLines w:val="0"/>
        <w:pageBreakBefore w:val="0"/>
        <w:kinsoku/>
        <w:wordWrap/>
        <w:overflowPunct/>
        <w:topLinePunct w:val="0"/>
        <w:autoSpaceDE/>
        <w:autoSpaceDN/>
        <w:bidi w:val="0"/>
        <w:adjustRightInd/>
        <w:outlineLvl w:val="9"/>
        <w:rPr>
          <w:color w:val="auto"/>
        </w:rPr>
      </w:pPr>
    </w:p>
    <w:tbl>
      <w:tblPr>
        <w:tblStyle w:val="12"/>
        <w:tblW w:w="8540" w:type="dxa"/>
        <w:jc w:val="center"/>
        <w:tblLayout w:type="fixed"/>
        <w:tblCellMar>
          <w:top w:w="0" w:type="dxa"/>
          <w:left w:w="108" w:type="dxa"/>
          <w:bottom w:w="0" w:type="dxa"/>
          <w:right w:w="108" w:type="dxa"/>
        </w:tblCellMar>
      </w:tblPr>
      <w:tblGrid>
        <w:gridCol w:w="1615"/>
        <w:gridCol w:w="2196"/>
        <w:gridCol w:w="4729"/>
      </w:tblGrid>
      <w:tr w14:paraId="6391DF23">
        <w:tblPrEx>
          <w:tblCellMar>
            <w:top w:w="0" w:type="dxa"/>
            <w:left w:w="108" w:type="dxa"/>
            <w:bottom w:w="0" w:type="dxa"/>
            <w:right w:w="108" w:type="dxa"/>
          </w:tblCellMar>
        </w:tblPrEx>
        <w:trPr>
          <w:trHeight w:val="90" w:hRule="atLeast"/>
          <w:jc w:val="center"/>
        </w:trPr>
        <w:tc>
          <w:tcPr>
            <w:tcW w:w="8540" w:type="dxa"/>
            <w:gridSpan w:val="3"/>
            <w:tcBorders>
              <w:top w:val="single" w:color="000000" w:sz="4" w:space="0"/>
              <w:left w:val="single" w:color="000000" w:sz="4" w:space="0"/>
              <w:bottom w:val="single" w:color="000000" w:sz="4" w:space="0"/>
              <w:right w:val="single" w:color="000000" w:sz="4" w:space="0"/>
            </w:tcBorders>
            <w:vAlign w:val="center"/>
          </w:tcPr>
          <w:p w14:paraId="4C6EF5D9">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8"/>
                <w:szCs w:val="28"/>
                <w:highlight w:val="none"/>
                <w:u w:val="none"/>
              </w:rPr>
            </w:pPr>
            <w:r>
              <w:rPr>
                <w:rFonts w:hint="eastAsia" w:ascii="仿宋" w:hAnsi="仿宋" w:eastAsia="仿宋" w:cs="仿宋"/>
                <w:b/>
                <w:bCs/>
                <w:color w:val="auto"/>
                <w:kern w:val="0"/>
                <w:sz w:val="21"/>
                <w:szCs w:val="21"/>
                <w:highlight w:val="none"/>
                <w:lang w:val="en-US" w:eastAsia="zh-CN"/>
              </w:rPr>
              <w:t>采煤机司机操作过程注意事项</w:t>
            </w:r>
          </w:p>
        </w:tc>
      </w:tr>
      <w:tr w14:paraId="2C1662C1">
        <w:tblPrEx>
          <w:tblCellMar>
            <w:top w:w="0" w:type="dxa"/>
            <w:left w:w="108" w:type="dxa"/>
            <w:bottom w:w="0" w:type="dxa"/>
            <w:right w:w="108" w:type="dxa"/>
          </w:tblCellMar>
        </w:tblPrEx>
        <w:trPr>
          <w:trHeight w:val="90" w:hRule="atLeast"/>
          <w:jc w:val="center"/>
        </w:trPr>
        <w:tc>
          <w:tcPr>
            <w:tcW w:w="1615" w:type="dxa"/>
            <w:tcBorders>
              <w:top w:val="single" w:color="000000" w:sz="4" w:space="0"/>
              <w:left w:val="single" w:color="000000" w:sz="4" w:space="0"/>
              <w:bottom w:val="single" w:color="000000" w:sz="4" w:space="0"/>
              <w:right w:val="single" w:color="000000" w:sz="4" w:space="0"/>
            </w:tcBorders>
            <w:vAlign w:val="center"/>
          </w:tcPr>
          <w:p w14:paraId="4FEA24BC">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2196" w:type="dxa"/>
            <w:tcBorders>
              <w:top w:val="single" w:color="000000" w:sz="4" w:space="0"/>
              <w:left w:val="single" w:color="000000" w:sz="4" w:space="0"/>
              <w:bottom w:val="single" w:color="000000" w:sz="4" w:space="0"/>
              <w:right w:val="single" w:color="000000" w:sz="4" w:space="0"/>
            </w:tcBorders>
            <w:vAlign w:val="center"/>
          </w:tcPr>
          <w:p w14:paraId="1E24664E">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4729" w:type="dxa"/>
            <w:tcBorders>
              <w:top w:val="single" w:color="000000" w:sz="4" w:space="0"/>
              <w:left w:val="single" w:color="000000" w:sz="4" w:space="0"/>
              <w:bottom w:val="single" w:color="000000" w:sz="4" w:space="0"/>
              <w:right w:val="single" w:color="000000" w:sz="4" w:space="0"/>
            </w:tcBorders>
            <w:vAlign w:val="center"/>
          </w:tcPr>
          <w:p w14:paraId="1AC012BB">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14:paraId="7A16122A">
        <w:tblPrEx>
          <w:tblCellMar>
            <w:top w:w="0" w:type="dxa"/>
            <w:left w:w="108" w:type="dxa"/>
            <w:bottom w:w="0" w:type="dxa"/>
            <w:right w:w="108" w:type="dxa"/>
          </w:tblCellMar>
        </w:tblPrEx>
        <w:trPr>
          <w:trHeight w:val="90" w:hRule="atLeast"/>
          <w:jc w:val="center"/>
        </w:trPr>
        <w:tc>
          <w:tcPr>
            <w:tcW w:w="1615" w:type="dxa"/>
            <w:vMerge w:val="restart"/>
            <w:tcBorders>
              <w:top w:val="single" w:color="000000" w:sz="4" w:space="0"/>
              <w:left w:val="single" w:color="000000" w:sz="4" w:space="0"/>
              <w:bottom w:val="single" w:color="000000" w:sz="4" w:space="0"/>
              <w:right w:val="single" w:color="000000" w:sz="4" w:space="0"/>
            </w:tcBorders>
            <w:vAlign w:val="center"/>
          </w:tcPr>
          <w:p w14:paraId="32A27AE9">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截割</w:t>
            </w:r>
          </w:p>
        </w:tc>
        <w:tc>
          <w:tcPr>
            <w:tcW w:w="2196" w:type="dxa"/>
            <w:tcBorders>
              <w:top w:val="single" w:color="000000" w:sz="4" w:space="0"/>
              <w:left w:val="single" w:color="000000" w:sz="4" w:space="0"/>
              <w:bottom w:val="single" w:color="000000" w:sz="4" w:space="0"/>
              <w:right w:val="single" w:color="000000" w:sz="4" w:space="0"/>
            </w:tcBorders>
            <w:vAlign w:val="center"/>
          </w:tcPr>
          <w:p w14:paraId="2EC38AE1">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4729" w:type="dxa"/>
            <w:tcBorders>
              <w:top w:val="single" w:color="000000" w:sz="4" w:space="0"/>
              <w:left w:val="single" w:color="000000" w:sz="4" w:space="0"/>
              <w:bottom w:val="single" w:color="000000" w:sz="4" w:space="0"/>
              <w:right w:val="single" w:color="000000" w:sz="4" w:space="0"/>
            </w:tcBorders>
            <w:vAlign w:val="center"/>
          </w:tcPr>
          <w:p w14:paraId="63AA0E1A">
            <w:pPr>
              <w:keepNext w:val="0"/>
              <w:keepLines w:val="0"/>
              <w:pageBreakBefore w:val="0"/>
              <w:widowControl/>
              <w:suppressLineNumbers w:val="0"/>
              <w:kinsoku/>
              <w:wordWrap/>
              <w:overflowPunct/>
              <w:topLinePunct w:val="0"/>
              <w:autoSpaceDE/>
              <w:autoSpaceDN/>
              <w:bidi w:val="0"/>
              <w:adjustRightInd/>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检查顶帮完好，前探位置、溜子弯曲、移架距离；煤机前后5米无人员</w:t>
            </w:r>
          </w:p>
        </w:tc>
      </w:tr>
      <w:tr w14:paraId="47B08887">
        <w:tblPrEx>
          <w:tblCellMar>
            <w:top w:w="0" w:type="dxa"/>
            <w:left w:w="108" w:type="dxa"/>
            <w:bottom w:w="0" w:type="dxa"/>
            <w:right w:w="108" w:type="dxa"/>
          </w:tblCellMar>
        </w:tblPrEx>
        <w:trPr>
          <w:trHeight w:val="90" w:hRule="atLeast"/>
          <w:jc w:val="center"/>
        </w:trPr>
        <w:tc>
          <w:tcPr>
            <w:tcW w:w="1615" w:type="dxa"/>
            <w:vMerge w:val="continue"/>
            <w:tcBorders>
              <w:top w:val="single" w:color="000000" w:sz="4" w:space="0"/>
              <w:left w:val="single" w:color="000000" w:sz="4" w:space="0"/>
              <w:bottom w:val="single" w:color="000000" w:sz="4" w:space="0"/>
              <w:right w:val="single" w:color="000000" w:sz="4" w:space="0"/>
            </w:tcBorders>
            <w:vAlign w:val="center"/>
          </w:tcPr>
          <w:p w14:paraId="1960D90A">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96" w:type="dxa"/>
            <w:tcBorders>
              <w:top w:val="single" w:color="000000" w:sz="4" w:space="0"/>
              <w:left w:val="single" w:color="000000" w:sz="4" w:space="0"/>
              <w:bottom w:val="single" w:color="000000" w:sz="4" w:space="0"/>
              <w:right w:val="single" w:color="000000" w:sz="4" w:space="0"/>
            </w:tcBorders>
            <w:vAlign w:val="center"/>
          </w:tcPr>
          <w:p w14:paraId="44F78990">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听异响、信号</w:t>
            </w:r>
          </w:p>
        </w:tc>
        <w:tc>
          <w:tcPr>
            <w:tcW w:w="4729" w:type="dxa"/>
            <w:tcBorders>
              <w:top w:val="single" w:color="000000" w:sz="4" w:space="0"/>
              <w:left w:val="single" w:color="000000" w:sz="4" w:space="0"/>
              <w:bottom w:val="single" w:color="000000" w:sz="4" w:space="0"/>
              <w:right w:val="single" w:color="000000" w:sz="4" w:space="0"/>
            </w:tcBorders>
            <w:vAlign w:val="center"/>
          </w:tcPr>
          <w:p w14:paraId="23B22163">
            <w:pPr>
              <w:keepNext w:val="0"/>
              <w:keepLines w:val="0"/>
              <w:pageBreakBefore w:val="0"/>
              <w:widowControl/>
              <w:suppressLineNumbers w:val="0"/>
              <w:kinsoku/>
              <w:wordWrap/>
              <w:overflowPunct/>
              <w:topLinePunct w:val="0"/>
              <w:autoSpaceDE/>
              <w:autoSpaceDN/>
              <w:bidi w:val="0"/>
              <w:adjustRightInd/>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输送机、煤机异常声音；信号提醒</w:t>
            </w:r>
          </w:p>
        </w:tc>
      </w:tr>
      <w:tr w14:paraId="57A8B350">
        <w:tblPrEx>
          <w:tblCellMar>
            <w:top w:w="0" w:type="dxa"/>
            <w:left w:w="108" w:type="dxa"/>
            <w:bottom w:w="0" w:type="dxa"/>
            <w:right w:w="108" w:type="dxa"/>
          </w:tblCellMar>
        </w:tblPrEx>
        <w:trPr>
          <w:trHeight w:val="90" w:hRule="atLeast"/>
          <w:jc w:val="center"/>
        </w:trPr>
        <w:tc>
          <w:tcPr>
            <w:tcW w:w="1615" w:type="dxa"/>
            <w:vMerge w:val="continue"/>
            <w:tcBorders>
              <w:top w:val="single" w:color="000000" w:sz="4" w:space="0"/>
              <w:left w:val="single" w:color="000000" w:sz="4" w:space="0"/>
              <w:bottom w:val="single" w:color="000000" w:sz="4" w:space="0"/>
              <w:right w:val="single" w:color="000000" w:sz="4" w:space="0"/>
            </w:tcBorders>
            <w:vAlign w:val="center"/>
          </w:tcPr>
          <w:p w14:paraId="067E4DA5">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96" w:type="dxa"/>
            <w:tcBorders>
              <w:top w:val="single" w:color="000000" w:sz="4" w:space="0"/>
              <w:left w:val="single" w:color="000000" w:sz="4" w:space="0"/>
              <w:bottom w:val="single" w:color="000000" w:sz="4" w:space="0"/>
              <w:right w:val="single" w:color="000000" w:sz="4" w:space="0"/>
            </w:tcBorders>
            <w:vAlign w:val="center"/>
          </w:tcPr>
          <w:p w14:paraId="1DCC54F9">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4729" w:type="dxa"/>
            <w:tcBorders>
              <w:top w:val="single" w:color="000000" w:sz="4" w:space="0"/>
              <w:left w:val="single" w:color="000000" w:sz="4" w:space="0"/>
              <w:bottom w:val="single" w:color="000000" w:sz="4" w:space="0"/>
              <w:right w:val="single" w:color="000000" w:sz="4" w:space="0"/>
            </w:tcBorders>
            <w:vAlign w:val="center"/>
          </w:tcPr>
          <w:p w14:paraId="17F81E6F">
            <w:pPr>
              <w:keepNext w:val="0"/>
              <w:keepLines w:val="0"/>
              <w:pageBreakBefore w:val="0"/>
              <w:widowControl/>
              <w:suppressLineNumbers w:val="0"/>
              <w:kinsoku/>
              <w:wordWrap/>
              <w:overflowPunct/>
              <w:topLinePunct w:val="0"/>
              <w:autoSpaceDE/>
              <w:autoSpaceDN/>
              <w:bidi w:val="0"/>
              <w:adjustRightInd/>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主副司机配合，端部斜切进刀，控制煤机速度、异物停机（处理）</w:t>
            </w:r>
          </w:p>
        </w:tc>
      </w:tr>
      <w:tr w14:paraId="4050C8F3">
        <w:tblPrEx>
          <w:tblCellMar>
            <w:top w:w="0" w:type="dxa"/>
            <w:left w:w="108" w:type="dxa"/>
            <w:bottom w:w="0" w:type="dxa"/>
            <w:right w:w="108" w:type="dxa"/>
          </w:tblCellMar>
        </w:tblPrEx>
        <w:trPr>
          <w:trHeight w:val="90" w:hRule="atLeast"/>
          <w:jc w:val="center"/>
        </w:trPr>
        <w:tc>
          <w:tcPr>
            <w:tcW w:w="1615" w:type="dxa"/>
            <w:vMerge w:val="continue"/>
            <w:tcBorders>
              <w:top w:val="single" w:color="000000" w:sz="4" w:space="0"/>
              <w:left w:val="single" w:color="000000" w:sz="4" w:space="0"/>
              <w:bottom w:val="single" w:color="000000" w:sz="4" w:space="0"/>
              <w:right w:val="single" w:color="000000" w:sz="4" w:space="0"/>
            </w:tcBorders>
            <w:vAlign w:val="center"/>
          </w:tcPr>
          <w:p w14:paraId="4D341701">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96" w:type="dxa"/>
            <w:tcBorders>
              <w:top w:val="single" w:color="000000" w:sz="4" w:space="0"/>
              <w:left w:val="single" w:color="000000" w:sz="4" w:space="0"/>
              <w:bottom w:val="single" w:color="000000" w:sz="4" w:space="0"/>
              <w:right w:val="single" w:color="000000" w:sz="4" w:space="0"/>
            </w:tcBorders>
            <w:vAlign w:val="center"/>
          </w:tcPr>
          <w:p w14:paraId="12FDF120">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站好位</w:t>
            </w:r>
          </w:p>
        </w:tc>
        <w:tc>
          <w:tcPr>
            <w:tcW w:w="4729" w:type="dxa"/>
            <w:tcBorders>
              <w:top w:val="single" w:color="000000" w:sz="4" w:space="0"/>
              <w:left w:val="single" w:color="000000" w:sz="4" w:space="0"/>
              <w:bottom w:val="single" w:color="000000" w:sz="4" w:space="0"/>
              <w:right w:val="single" w:color="000000" w:sz="4" w:space="0"/>
            </w:tcBorders>
            <w:vAlign w:val="center"/>
          </w:tcPr>
          <w:p w14:paraId="5438D2F4">
            <w:pPr>
              <w:keepNext w:val="0"/>
              <w:keepLines w:val="0"/>
              <w:pageBreakBefore w:val="0"/>
              <w:widowControl/>
              <w:suppressLineNumbers w:val="0"/>
              <w:kinsoku/>
              <w:wordWrap/>
              <w:overflowPunct/>
              <w:topLinePunct w:val="0"/>
              <w:autoSpaceDE/>
              <w:autoSpaceDN/>
              <w:bidi w:val="0"/>
              <w:adjustRightInd/>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站在支架架空内</w:t>
            </w:r>
          </w:p>
        </w:tc>
      </w:tr>
    </w:tbl>
    <w:p w14:paraId="598EB78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8" w:name="_Toc12999"/>
      <w:r>
        <w:rPr>
          <w:rFonts w:hint="eastAsia" w:ascii="仿宋" w:hAnsi="仿宋" w:eastAsia="仿宋" w:cs="仿宋"/>
          <w:b/>
          <w:color w:val="auto"/>
          <w:sz w:val="28"/>
          <w:szCs w:val="28"/>
          <w:highlight w:val="none"/>
        </w:rPr>
        <w:t>一、一般规定</w:t>
      </w:r>
      <w:bookmarkEnd w:id="8"/>
    </w:p>
    <w:p w14:paraId="034A89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14:paraId="227FE8D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14:paraId="112EEB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14:paraId="3AE8B8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14:paraId="0EB4E5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14:paraId="5A39BA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14:paraId="26C857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14:paraId="237886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14:paraId="5CC9E5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14:paraId="7FA813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14:paraId="27E898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14:paraId="2FF349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14:paraId="1F294F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14:paraId="570BD21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14:paraId="189069B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14:paraId="5E3AD1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14:paraId="3F126F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（十七）在高度大于2米以上高空作业时，必须拴好安全带。</w:t>
      </w:r>
    </w:p>
    <w:p w14:paraId="058FF22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9" w:name="_Toc12408"/>
      <w:r>
        <w:rPr>
          <w:rFonts w:hint="eastAsia" w:ascii="仿宋" w:hAnsi="仿宋" w:eastAsia="仿宋" w:cs="仿宋"/>
          <w:b/>
          <w:bCs w:val="0"/>
          <w:color w:val="auto"/>
          <w:sz w:val="28"/>
          <w:szCs w:val="28"/>
          <w:highlight w:val="none"/>
        </w:rPr>
        <w:t>二、薄弱人物排查治理办法</w:t>
      </w:r>
      <w:bookmarkEnd w:id="9"/>
    </w:p>
    <w:p w14:paraId="1AAC24E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73FBB5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68B6A2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231CE0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7D52D3D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70247B9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3F18BA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38CF3D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05D245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6D5877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57057B4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4AD2ED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5161B5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2A06C59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78B3D3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150291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65F895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6A5F5D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165D36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45A0D1E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659C31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27C49E0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235687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742A83D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2BC176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42DECE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3A18F5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200107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4237CD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76850DB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4162509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09B5C0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72FB40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6544AE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59D776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70CEFA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143F45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3A6CF1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1C20F2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6B2C70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7635D0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403B2C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33578B9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00B926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5D4225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24E49E6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2584DD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5B62368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0" w:name="_Toc27321"/>
      <w:r>
        <w:rPr>
          <w:rFonts w:hint="eastAsia" w:ascii="仿宋" w:hAnsi="仿宋" w:eastAsia="仿宋" w:cs="仿宋"/>
          <w:b/>
          <w:color w:val="auto"/>
          <w:sz w:val="28"/>
          <w:szCs w:val="28"/>
          <w:highlight w:val="none"/>
        </w:rPr>
        <w:t>三、安全风险辨识与管控措施</w:t>
      </w:r>
      <w:bookmarkEnd w:id="3"/>
      <w:bookmarkEnd w:id="10"/>
    </w:p>
    <w:p w14:paraId="3EB121C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14:paraId="567C3F4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工作面两端头采空区有时存在未及时垮落情况，留有漏风通道，采空区遗煤氧化蓄热，存在自然发火风险。</w:t>
      </w:r>
    </w:p>
    <w:p w14:paraId="59D67C5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管控措施：回采过程中不得任意留设顶底煤，落实工作面回采率考核，减少架后遗煤</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合理调配工作面风量，进回风隅角处常设挡风帘，减少采空区漏风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每天采取对采空区进行注氮、两端头喷洒阻化剂等预防性措施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根据作业规程要求，工作面两端头及时采用退锚措施，确保两端头采空区顶板垮落，悬顶面积超过规定及时采取措施强制放顶或施工隔离墙封堵两端头采空区，减少漏风通道。</w:t>
      </w:r>
    </w:p>
    <w:p w14:paraId="0948AB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工作面临近老空积水区，受采动、矿压等影响，可能存在老空出水风险。</w:t>
      </w:r>
    </w:p>
    <w:p w14:paraId="563D46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管控措施：按照预计最大涌水量安设排水系统，并保证排水系统畅通完善，巷道积水及时排出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按要求进行涌水量观测</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普及井下职工防治水知识，了解突水征兆，熟悉逃生路线和避灾方法。</w:t>
      </w:r>
    </w:p>
    <w:p w14:paraId="26FE69CA">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经鉴定我矿煤尘具有爆炸危险性，煤尘管理不到位可能引发煤尘爆炸风险。</w:t>
      </w:r>
    </w:p>
    <w:p w14:paraId="4587D6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现场严格落实采煤工作面综合防尘管理措施，确保割煤机内外喷雾完好，压力满足要求，定期冲刷巷道积尘，减少采空区浮煤；各转载点、进回风巷防尘设施按要求安装、使用；加强煤尘浓度检测，浓度超标时立即采取措施降尘</w:t>
      </w:r>
      <w:r>
        <w:rPr>
          <w:rFonts w:hint="eastAsia" w:ascii="仿宋" w:hAnsi="仿宋" w:eastAsia="仿宋" w:cs="仿宋"/>
          <w:color w:val="auto"/>
          <w:sz w:val="28"/>
          <w:szCs w:val="28"/>
          <w:highlight w:val="none"/>
          <w:lang w:eastAsia="zh-CN"/>
        </w:rPr>
        <w:t>。</w:t>
      </w:r>
    </w:p>
    <w:p w14:paraId="39190AD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）专用</w:t>
      </w:r>
      <w:r>
        <w:rPr>
          <w:rFonts w:hint="eastAsia" w:ascii="仿宋" w:hAnsi="仿宋" w:eastAsia="仿宋" w:cs="仿宋"/>
          <w:b/>
          <w:bCs/>
          <w:color w:val="auto"/>
          <w:sz w:val="28"/>
          <w:szCs w:val="28"/>
          <w:highlight w:val="none"/>
          <w:lang w:val="en-US" w:eastAsia="zh-CN"/>
        </w:rPr>
        <w:t>部分</w:t>
      </w:r>
    </w:p>
    <w:p w14:paraId="184EF0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1.开机前：</w:t>
      </w:r>
    </w:p>
    <w:p w14:paraId="5F1695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风险描述：开机前检查煤机时，工作面顶板破碎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73B193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情况；在割煤、移架等过程中应清除危岩、排除隐患</w:t>
      </w:r>
      <w:r>
        <w:rPr>
          <w:rFonts w:hint="eastAsia" w:ascii="仿宋" w:hAnsi="仿宋" w:eastAsia="仿宋" w:cs="仿宋"/>
          <w:color w:val="auto"/>
          <w:sz w:val="28"/>
          <w:szCs w:val="28"/>
          <w:highlight w:val="none"/>
          <w:lang w:eastAsia="zh-CN"/>
        </w:rPr>
        <w:t>；保证</w:t>
      </w:r>
      <w:r>
        <w:rPr>
          <w:rFonts w:hint="eastAsia" w:ascii="仿宋" w:hAnsi="仿宋" w:eastAsia="仿宋" w:cs="仿宋"/>
          <w:color w:val="auto"/>
          <w:sz w:val="28"/>
          <w:szCs w:val="28"/>
          <w:highlight w:val="none"/>
          <w:lang w:val="en-US" w:eastAsia="zh-CN"/>
        </w:rPr>
        <w:t>支架</w:t>
      </w:r>
      <w:r>
        <w:rPr>
          <w:rFonts w:hint="eastAsia" w:ascii="仿宋" w:hAnsi="仿宋" w:eastAsia="仿宋" w:cs="仿宋"/>
          <w:color w:val="auto"/>
          <w:sz w:val="28"/>
          <w:szCs w:val="28"/>
          <w:highlight w:val="none"/>
          <w:lang w:eastAsia="zh-CN"/>
        </w:rPr>
        <w:t>初撑力，做好工作面支架及两顺槽单元支架初撑力观测，保证初撑力符合规定。</w:t>
      </w:r>
    </w:p>
    <w:p w14:paraId="6554F5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风险描述：开机前不发出开机信号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未配齐劳保用品，存在伤人风险</w:t>
      </w:r>
      <w:r>
        <w:rPr>
          <w:rFonts w:hint="eastAsia" w:ascii="仿宋" w:hAnsi="仿宋" w:eastAsia="仿宋" w:cs="仿宋"/>
          <w:color w:val="auto"/>
          <w:sz w:val="28"/>
          <w:szCs w:val="28"/>
          <w:highlight w:val="none"/>
          <w:lang w:eastAsia="zh-CN"/>
        </w:rPr>
        <w:t>。</w:t>
      </w:r>
    </w:p>
    <w:p w14:paraId="438D66D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管控措施：开机前，煤机司机必须发出开机信号，上下滚筒5米范围内严禁有人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严格按照规定佩戴劳保用品</w:t>
      </w:r>
      <w:r>
        <w:rPr>
          <w:rFonts w:hint="eastAsia" w:ascii="仿宋" w:hAnsi="仿宋" w:eastAsia="仿宋" w:cs="仿宋"/>
          <w:color w:val="auto"/>
          <w:sz w:val="28"/>
          <w:szCs w:val="28"/>
          <w:highlight w:val="none"/>
          <w:lang w:eastAsia="zh-CN"/>
        </w:rPr>
        <w:t>。</w:t>
      </w:r>
    </w:p>
    <w:p w14:paraId="767F63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风险描述：滚筒缠续异物不及时停机处理</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14:paraId="109B9F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管控措施：采焊机</w:t>
      </w:r>
      <w:r>
        <w:rPr>
          <w:rFonts w:hint="eastAsia" w:ascii="仿宋" w:hAnsi="仿宋" w:eastAsia="仿宋" w:cs="仿宋"/>
          <w:color w:val="auto"/>
          <w:sz w:val="28"/>
          <w:szCs w:val="28"/>
          <w:highlight w:val="none"/>
          <w:lang w:val="en-US" w:eastAsia="zh-CN"/>
        </w:rPr>
        <w:t>滚筒</w:t>
      </w:r>
      <w:r>
        <w:rPr>
          <w:rFonts w:hint="eastAsia" w:ascii="仿宋" w:hAnsi="仿宋" w:eastAsia="仿宋" w:cs="仿宋"/>
          <w:color w:val="auto"/>
          <w:sz w:val="28"/>
          <w:szCs w:val="28"/>
          <w:highlight w:val="none"/>
        </w:rPr>
        <w:t>缠绕异物时，必须将</w:t>
      </w:r>
      <w:r>
        <w:rPr>
          <w:rFonts w:hint="eastAsia" w:ascii="仿宋" w:hAnsi="仿宋" w:eastAsia="仿宋" w:cs="仿宋"/>
          <w:color w:val="auto"/>
          <w:sz w:val="28"/>
          <w:szCs w:val="28"/>
          <w:highlight w:val="none"/>
          <w:lang w:val="en-US" w:eastAsia="zh-CN"/>
        </w:rPr>
        <w:t>采煤</w:t>
      </w:r>
      <w:r>
        <w:rPr>
          <w:rFonts w:hint="eastAsia" w:ascii="仿宋" w:hAnsi="仿宋" w:eastAsia="仿宋" w:cs="仿宋"/>
          <w:color w:val="auto"/>
          <w:sz w:val="28"/>
          <w:szCs w:val="28"/>
          <w:highlight w:val="none"/>
        </w:rPr>
        <w:t>机和输送机停电闭锁，滚简离合器打开</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将异物及时清理</w:t>
      </w:r>
      <w:r>
        <w:rPr>
          <w:rFonts w:hint="eastAsia" w:ascii="仿宋" w:hAnsi="仿宋" w:eastAsia="仿宋" w:cs="仿宋"/>
          <w:color w:val="auto"/>
          <w:sz w:val="28"/>
          <w:szCs w:val="28"/>
          <w:highlight w:val="none"/>
          <w:lang w:eastAsia="zh-CN"/>
        </w:rPr>
        <w:t>。</w:t>
      </w:r>
    </w:p>
    <w:p w14:paraId="4FA4FD5F">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w:t>
      </w:r>
    </w:p>
    <w:p w14:paraId="059C3A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风险描述：开机前检查煤机时，工作面顶板破碎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592B27F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情况；在割煤、移架等过程中应清除危岩、排除隐患</w:t>
      </w:r>
      <w:r>
        <w:rPr>
          <w:rFonts w:hint="eastAsia" w:ascii="仿宋" w:hAnsi="仿宋" w:eastAsia="仿宋" w:cs="仿宋"/>
          <w:color w:val="auto"/>
          <w:sz w:val="28"/>
          <w:szCs w:val="28"/>
          <w:highlight w:val="none"/>
          <w:lang w:eastAsia="zh-CN"/>
        </w:rPr>
        <w:t>；保证</w:t>
      </w:r>
      <w:r>
        <w:rPr>
          <w:rFonts w:hint="eastAsia" w:ascii="仿宋" w:hAnsi="仿宋" w:eastAsia="仿宋" w:cs="仿宋"/>
          <w:color w:val="auto"/>
          <w:sz w:val="28"/>
          <w:szCs w:val="28"/>
          <w:highlight w:val="none"/>
          <w:lang w:val="en-US" w:eastAsia="zh-CN"/>
        </w:rPr>
        <w:t>支架</w:t>
      </w:r>
      <w:r>
        <w:rPr>
          <w:rFonts w:hint="eastAsia" w:ascii="仿宋" w:hAnsi="仿宋" w:eastAsia="仿宋" w:cs="仿宋"/>
          <w:color w:val="auto"/>
          <w:sz w:val="28"/>
          <w:szCs w:val="28"/>
          <w:highlight w:val="none"/>
          <w:lang w:eastAsia="zh-CN"/>
        </w:rPr>
        <w:t>初撑力，做好工作面支架及两顺槽单元支架初撑力观测，保证初撑力符合规定。</w:t>
      </w:r>
    </w:p>
    <w:p w14:paraId="68ED8AE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机电设备不完好，有异常存在伤人风险</w:t>
      </w:r>
      <w:r>
        <w:rPr>
          <w:rFonts w:hint="eastAsia" w:ascii="仿宋" w:hAnsi="仿宋" w:eastAsia="仿宋" w:cs="仿宋"/>
          <w:color w:val="auto"/>
          <w:sz w:val="28"/>
          <w:szCs w:val="28"/>
          <w:highlight w:val="none"/>
          <w:lang w:eastAsia="zh-CN"/>
        </w:rPr>
        <w:t>。</w:t>
      </w:r>
    </w:p>
    <w:p w14:paraId="02E79B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管控措施：煤机司机</w:t>
      </w:r>
      <w:r>
        <w:rPr>
          <w:rFonts w:hint="eastAsia" w:ascii="仿宋" w:hAnsi="仿宋" w:eastAsia="仿宋" w:cs="仿宋"/>
          <w:color w:val="auto"/>
          <w:sz w:val="28"/>
          <w:szCs w:val="28"/>
          <w:highlight w:val="none"/>
          <w:lang w:val="en-US" w:eastAsia="zh-CN"/>
        </w:rPr>
        <w:t>严格控制采高和煤机速度，随时观察机电完好情况，发现异常立即停电闭锁紧急处理。</w:t>
      </w:r>
    </w:p>
    <w:p w14:paraId="58C0C48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煤机司机站位不正确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14:paraId="49FBBA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管控措施：上</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下滚筒5米范围内严禁有人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严格按照规定佩戴劳保用品</w:t>
      </w:r>
      <w:r>
        <w:rPr>
          <w:rFonts w:hint="eastAsia" w:ascii="仿宋" w:hAnsi="仿宋" w:eastAsia="仿宋" w:cs="仿宋"/>
          <w:color w:val="auto"/>
          <w:sz w:val="28"/>
          <w:szCs w:val="28"/>
          <w:highlight w:val="none"/>
          <w:lang w:eastAsia="zh-CN"/>
        </w:rPr>
        <w:t>。</w:t>
      </w:r>
    </w:p>
    <w:p w14:paraId="3F80AC2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3.停机后：</w:t>
      </w:r>
    </w:p>
    <w:p w14:paraId="1A0409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采煤机放置</w:t>
      </w:r>
      <w:r>
        <w:rPr>
          <w:rFonts w:hint="eastAsia" w:ascii="仿宋" w:hAnsi="仿宋" w:eastAsia="仿宋" w:cs="仿宋"/>
          <w:color w:val="auto"/>
          <w:sz w:val="28"/>
          <w:szCs w:val="28"/>
          <w:highlight w:val="none"/>
        </w:rPr>
        <w:t>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11A99B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割煤后，将采煤机放置顶板完好的地方，支架打开护帮板，</w:t>
      </w:r>
      <w:r>
        <w:rPr>
          <w:rFonts w:hint="eastAsia" w:ascii="仿宋" w:hAnsi="仿宋" w:eastAsia="仿宋" w:cs="仿宋"/>
          <w:color w:val="auto"/>
          <w:sz w:val="28"/>
          <w:szCs w:val="28"/>
          <w:highlight w:val="none"/>
          <w:lang w:eastAsia="zh-CN"/>
        </w:rPr>
        <w:t>保证</w:t>
      </w:r>
      <w:r>
        <w:rPr>
          <w:rFonts w:hint="eastAsia" w:ascii="仿宋" w:hAnsi="仿宋" w:eastAsia="仿宋" w:cs="仿宋"/>
          <w:color w:val="auto"/>
          <w:sz w:val="28"/>
          <w:szCs w:val="28"/>
          <w:highlight w:val="none"/>
          <w:lang w:val="en-US" w:eastAsia="zh-CN"/>
        </w:rPr>
        <w:t>支架</w:t>
      </w:r>
      <w:r>
        <w:rPr>
          <w:rFonts w:hint="eastAsia" w:ascii="仿宋" w:hAnsi="仿宋" w:eastAsia="仿宋" w:cs="仿宋"/>
          <w:color w:val="auto"/>
          <w:sz w:val="28"/>
          <w:szCs w:val="28"/>
          <w:highlight w:val="none"/>
          <w:lang w:eastAsia="zh-CN"/>
        </w:rPr>
        <w:t>初撑力</w:t>
      </w:r>
      <w:r>
        <w:rPr>
          <w:rFonts w:hint="eastAsia" w:ascii="仿宋" w:hAnsi="仿宋" w:eastAsia="仿宋" w:cs="仿宋"/>
          <w:color w:val="auto"/>
          <w:sz w:val="28"/>
          <w:szCs w:val="28"/>
          <w:highlight w:val="none"/>
          <w:lang w:val="en-US" w:eastAsia="zh-CN"/>
        </w:rPr>
        <w:t>符合规定。</w:t>
      </w:r>
    </w:p>
    <w:p w14:paraId="3619B3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停机后，机电设备未停电闭锁，滚筒未落地，存在检修伤人风险</w:t>
      </w:r>
      <w:r>
        <w:rPr>
          <w:rFonts w:hint="eastAsia" w:ascii="仿宋" w:hAnsi="仿宋" w:eastAsia="仿宋" w:cs="仿宋"/>
          <w:color w:val="auto"/>
          <w:sz w:val="28"/>
          <w:szCs w:val="28"/>
          <w:highlight w:val="none"/>
          <w:lang w:eastAsia="zh-CN"/>
        </w:rPr>
        <w:t>。</w:t>
      </w:r>
    </w:p>
    <w:p w14:paraId="04FEC2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管控措施：采煤机停机时，必须停电闭锁，并摘除隔离手把和离合器手把</w:t>
      </w:r>
      <w:r>
        <w:rPr>
          <w:rFonts w:hint="eastAsia" w:ascii="仿宋" w:hAnsi="仿宋" w:eastAsia="仿宋" w:cs="仿宋"/>
          <w:color w:val="auto"/>
          <w:sz w:val="28"/>
          <w:szCs w:val="28"/>
          <w:highlight w:val="none"/>
          <w:lang w:eastAsia="zh-CN"/>
        </w:rPr>
        <w:t>。</w:t>
      </w:r>
    </w:p>
    <w:p w14:paraId="343128B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1" w:name="_Toc11814"/>
      <w:bookmarkStart w:id="12" w:name="_Toc17270"/>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开机前检查</w:t>
      </w:r>
      <w:bookmarkEnd w:id="11"/>
      <w:bookmarkEnd w:id="12"/>
    </w:p>
    <w:p w14:paraId="051BB9B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8"/>
          <w:szCs w:val="28"/>
          <w:highlight w:val="none"/>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rPr>
        <w:t>顶帮：</w:t>
      </w:r>
      <w:r>
        <w:rPr>
          <w:rFonts w:hint="eastAsia" w:ascii="仿宋" w:hAnsi="仿宋" w:eastAsia="仿宋" w:cs="仿宋"/>
          <w:color w:val="auto"/>
          <w:sz w:val="28"/>
          <w:szCs w:val="28"/>
          <w:highlight w:val="none"/>
        </w:rPr>
        <w:t>工作面支架顶梁接顶严实,架前端面距小于340毫米，超过规定及时超前移架支护顶板。相邻支架间不能有明显错差（不超过支架顶梁侧护板高的2/3），架间空隙不超过规定100mm，且支架不挤、不咬</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支架初撑力不低于2</w:t>
      </w: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M</w:t>
      </w:r>
      <w:r>
        <w:rPr>
          <w:rFonts w:hint="eastAsia" w:ascii="仿宋" w:hAnsi="仿宋" w:eastAsia="仿宋" w:cs="仿宋"/>
          <w:color w:val="auto"/>
          <w:sz w:val="28"/>
          <w:szCs w:val="28"/>
          <w:highlight w:val="none"/>
          <w:lang w:val="en-US" w:eastAsia="zh-CN"/>
        </w:rPr>
        <w:t>P</w:t>
      </w:r>
      <w:r>
        <w:rPr>
          <w:rFonts w:hint="eastAsia" w:ascii="仿宋" w:hAnsi="仿宋" w:eastAsia="仿宋" w:cs="仿宋"/>
          <w:color w:val="auto"/>
          <w:sz w:val="28"/>
          <w:szCs w:val="28"/>
          <w:highlight w:val="none"/>
        </w:rPr>
        <w:t>a。煤层变厚时，采高不得大于支架最大支护高度，煤层变薄时，采高不得小于支架最小支护高度，顶板破碎时，超前带压移架及时打开护帮板。</w:t>
      </w:r>
    </w:p>
    <w:p w14:paraId="7BB1710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瓦斯：开机前用便携式瓦斯检测仪检查煤机附近20米范围内风流中的瓦斯浓度。瓦斯浓度在1.0%以下时，方可通电开动；附近20m以内风流中的瓦斯浓度达到1.5％时，必须停止工作，切断电源，撤出人员，进行处理。</w:t>
      </w:r>
    </w:p>
    <w:p w14:paraId="01376317">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3.信号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开机前试验扩音电话报警提示、人员传话声音清晰响亮。</w:t>
      </w:r>
    </w:p>
    <w:p w14:paraId="38463392">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4.站位：司机站在输送机护栏与支架前立柱之间、上下滚筒3m范围以外。</w:t>
      </w:r>
    </w:p>
    <w:p w14:paraId="479897BF">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口罩</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口罩已佩戴</w:t>
      </w:r>
      <w:r>
        <w:rPr>
          <w:rFonts w:hint="eastAsia" w:ascii="仿宋" w:hAnsi="仿宋" w:eastAsia="仿宋" w:cs="仿宋"/>
          <w:color w:val="auto"/>
          <w:sz w:val="28"/>
          <w:szCs w:val="28"/>
          <w:highlight w:val="none"/>
          <w:lang w:eastAsia="zh-CN"/>
        </w:rPr>
        <w:t>。</w:t>
      </w:r>
    </w:p>
    <w:p w14:paraId="1999ED52">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6.滚筒附近</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米范围内无人员及障碍物：滚筒附近</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米范围内无其他人员及障碍物。</w:t>
      </w:r>
    </w:p>
    <w:p w14:paraId="050BCA7A">
      <w:pPr>
        <w:keepNext w:val="0"/>
        <w:keepLines w:val="0"/>
        <w:pageBreakBefore w:val="0"/>
        <w:widowControl w:val="0"/>
        <w:kinsoku/>
        <w:wordWrap/>
        <w:overflowPunct/>
        <w:topLinePunct w:val="0"/>
        <w:autoSpaceDE/>
        <w:autoSpaceDN/>
        <w:bidi w:val="0"/>
        <w:adjustRightInd/>
        <w:spacing w:line="500" w:lineRule="exact"/>
        <w:ind w:firstLine="562" w:firstLineChars="200"/>
        <w:jc w:val="left"/>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rPr>
        <w:t>单元检查表确认：</w:t>
      </w:r>
    </w:p>
    <w:p w14:paraId="2EEE6CF5">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左滚筒无带载、截齿，左摇臂油量、密封:左滚筒无带载,无裂缝、开焊。滚筒带载时可以拔掉电机保护轴，开出片帮或顶板冒落区；也可以只开调高泵，抬起煤机滚筒，在无载荷下启动。截齿不得缺少且截齿不得出现无合金现象，油量在油面线的上限和下限之间为合格，油泵、液压管路密封合格。</w:t>
      </w:r>
    </w:p>
    <w:p w14:paraId="0398592F">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左侧滑靴、齿轨、齿轨啮合</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滑靴无裂痕、无变形、无残缺，稳定销齐全。齿轨销子齐全完好，齿轮与齿轨啮合严密，无断齿。</w:t>
      </w:r>
    </w:p>
    <w:p w14:paraId="50A39526">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机身连接：连接螺栓齐全、紧固。</w:t>
      </w:r>
    </w:p>
    <w:p w14:paraId="38E15089">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液压油位：油位在上下观察孔之间。</w:t>
      </w:r>
    </w:p>
    <w:p w14:paraId="4B6D32C1">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水管、冷却水、喷雾、拖缆装置与电缆:水管截止阀及管路无跑冒滴漏现象；冷却水通畅；内外喷雾喷头齐全、雾化效果良好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拖缆装置的电缆夹齐全，电缆及水管在电缆夹内固定牢固、不出槽、电缆不受拉力、无刮卡现象。</w:t>
      </w:r>
    </w:p>
    <w:p w14:paraId="77AC360D">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操作按钮、急停:操作按钮外观完好无损，动作灵敏可靠,急停抱闸动作灵敏。</w:t>
      </w:r>
    </w:p>
    <w:p w14:paraId="1CFE8A10">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rPr>
        <w:t>右侧滑靴、齿轨、齿轨啮合</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滑靴无裂痕、无变形、无残缺，稳定销齐全。齿轨销子齐全完好，齿轮与齿轨啮合严密，无断齿。</w:t>
      </w:r>
    </w:p>
    <w:p w14:paraId="6DC02982">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右滚筒无带载、截齿，左摇臂油量、密封:右滚筒无带载,</w:t>
      </w:r>
      <w:r>
        <w:rPr>
          <w:rFonts w:hint="eastAsia" w:ascii="仿宋" w:hAnsi="仿宋" w:eastAsia="仿宋" w:cs="仿宋"/>
          <w:b/>
          <w:color w:val="auto"/>
          <w:sz w:val="28"/>
          <w:szCs w:val="28"/>
          <w:highlight w:val="none"/>
        </w:rPr>
        <w:t xml:space="preserve"> </w:t>
      </w:r>
      <w:r>
        <w:rPr>
          <w:rFonts w:hint="eastAsia" w:ascii="仿宋" w:hAnsi="仿宋" w:eastAsia="仿宋" w:cs="仿宋"/>
          <w:color w:val="auto"/>
          <w:sz w:val="28"/>
          <w:szCs w:val="28"/>
          <w:highlight w:val="none"/>
        </w:rPr>
        <w:t>无裂缝、开焊 。滚筒带载时可以拔掉电机保护轴，开出片帮或顶板冒落区；也可以只开调高泵，抬起煤机滚筒，在无载荷下启动。截齿不得缺少且截齿不得出现无合金现象，油量在油面线的上限和下限之间为合格，油泵、液压管路密封合格。</w:t>
      </w:r>
    </w:p>
    <w:p w14:paraId="3750A122">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3" w:name="_Toc23986"/>
      <w:bookmarkStart w:id="14" w:name="_Toc10432"/>
      <w:r>
        <w:rPr>
          <w:rFonts w:hint="eastAsia" w:ascii="仿宋" w:hAnsi="仿宋" w:eastAsia="仿宋" w:cs="仿宋"/>
          <w:b/>
          <w:color w:val="auto"/>
          <w:sz w:val="28"/>
          <w:szCs w:val="28"/>
          <w:highlight w:val="none"/>
        </w:rPr>
        <w:t>五、采煤机司机正规操作</w:t>
      </w:r>
      <w:bookmarkEnd w:id="13"/>
      <w:bookmarkEnd w:id="14"/>
    </w:p>
    <w:p w14:paraId="6C2508E9">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5" w:name="_Toc6487"/>
      <w:r>
        <w:rPr>
          <w:rFonts w:hint="eastAsia" w:ascii="仿宋" w:hAnsi="仿宋" w:eastAsia="仿宋" w:cs="仿宋"/>
          <w:b/>
          <w:color w:val="auto"/>
          <w:sz w:val="28"/>
          <w:szCs w:val="28"/>
          <w:highlight w:val="none"/>
        </w:rPr>
        <w:t>（一）采煤机司机操作顺序：</w:t>
      </w:r>
      <w:bookmarkEnd w:id="15"/>
    </w:p>
    <w:p w14:paraId="0BFA0E16">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检查巡视→运转输送机→供水→合隔离开关→启动采煤机→启动截割电机、停止截割电机、合离合器→启动采煤机→</w:t>
      </w:r>
      <w:r>
        <w:rPr>
          <w:rFonts w:hint="eastAsia" w:ascii="仿宋" w:hAnsi="仿宋" w:eastAsia="仿宋" w:cs="仿宋"/>
          <w:color w:val="auto"/>
          <w:sz w:val="28"/>
          <w:szCs w:val="28"/>
          <w:highlight w:val="none"/>
          <w:lang w:val="en-US" w:eastAsia="zh-CN"/>
        </w:rPr>
        <w:t>割</w:t>
      </w:r>
      <w:r>
        <w:rPr>
          <w:rFonts w:hint="eastAsia" w:ascii="仿宋" w:hAnsi="仿宋" w:eastAsia="仿宋" w:cs="仿宋"/>
          <w:color w:val="auto"/>
          <w:sz w:val="28"/>
          <w:szCs w:val="28"/>
          <w:highlight w:val="none"/>
        </w:rPr>
        <w:t>煤→停机结束</w:t>
      </w:r>
      <w:r>
        <w:rPr>
          <w:rFonts w:hint="eastAsia" w:ascii="仿宋" w:hAnsi="仿宋" w:eastAsia="仿宋" w:cs="仿宋"/>
          <w:color w:val="auto"/>
          <w:sz w:val="28"/>
          <w:szCs w:val="28"/>
          <w:highlight w:val="none"/>
          <w:lang w:val="en-US" w:eastAsia="zh-CN"/>
        </w:rPr>
        <w:t>割</w:t>
      </w:r>
      <w:r>
        <w:rPr>
          <w:rFonts w:hint="eastAsia" w:ascii="仿宋" w:hAnsi="仿宋" w:eastAsia="仿宋" w:cs="仿宋"/>
          <w:color w:val="auto"/>
          <w:sz w:val="28"/>
          <w:szCs w:val="28"/>
          <w:highlight w:val="none"/>
        </w:rPr>
        <w:t>煤。</w:t>
      </w:r>
    </w:p>
    <w:p w14:paraId="09E65B49">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6" w:name="_Toc774"/>
      <w:r>
        <w:rPr>
          <w:rFonts w:hint="eastAsia" w:ascii="仿宋" w:hAnsi="仿宋" w:eastAsia="仿宋" w:cs="仿宋"/>
          <w:b/>
          <w:color w:val="auto"/>
          <w:sz w:val="28"/>
          <w:szCs w:val="28"/>
          <w:highlight w:val="none"/>
        </w:rPr>
        <w:t>（二）采煤机司机正规操作：</w:t>
      </w:r>
      <w:bookmarkEnd w:id="16"/>
    </w:p>
    <w:p w14:paraId="7F2CCCD1">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1.检查巡视：按照采煤机司机提示卡中的开机前检查确认无误后，方可操作。</w:t>
      </w:r>
    </w:p>
    <w:p w14:paraId="727D0DA4">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刮板</w:t>
      </w:r>
      <w:r>
        <w:rPr>
          <w:rFonts w:hint="eastAsia" w:ascii="仿宋" w:hAnsi="仿宋" w:eastAsia="仿宋" w:cs="仿宋"/>
          <w:color w:val="auto"/>
          <w:sz w:val="28"/>
          <w:szCs w:val="28"/>
          <w:highlight w:val="none"/>
        </w:rPr>
        <w:t>输送机：解除工作面刮板输送机的闭锁发出开动刮板输送机的信号。先观察刮板机运行是否平稳，无飘链、出槽、闷车现象；试验刮板机与采煤机闭锁是否灵敏。</w:t>
      </w:r>
    </w:p>
    <w:p w14:paraId="61E4ACA3">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3.供水：打开进水截止阀门供水并喷雾，调节好供水流量。</w:t>
      </w:r>
    </w:p>
    <w:p w14:paraId="7655EF84">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4.合隔离开关：等待刮板输送机空转2分钟并正常后，合上采煤机的隔离开关，启动截割电机。</w:t>
      </w:r>
    </w:p>
    <w:p w14:paraId="44BF2ACA">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5.启动采煤机：发出启动信号，按启动按钮，启动油泵电机，观察显示屏及压力表是否正常。</w:t>
      </w:r>
    </w:p>
    <w:p w14:paraId="42B53286">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6.启动截割电机、停止截割电机、合离合器：按启动按钮，启动截割电机，待截割电机空转正常后，停止截割电机，在截割电机停转前的瞬间合上离合器。</w:t>
      </w:r>
    </w:p>
    <w:p w14:paraId="2C035C24">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7.启动采煤机：发出启动信号，按启动按钮，启动采煤机，检查滚筒旋转方向及摇臂调高动作情况，把截割滚筒调到适当位置。摇臂升降要平稳、灵活。</w:t>
      </w:r>
    </w:p>
    <w:p w14:paraId="1754F319">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割</w:t>
      </w:r>
      <w:r>
        <w:rPr>
          <w:rFonts w:hint="eastAsia" w:ascii="仿宋" w:hAnsi="仿宋" w:eastAsia="仿宋" w:cs="仿宋"/>
          <w:color w:val="auto"/>
          <w:sz w:val="28"/>
          <w:szCs w:val="28"/>
          <w:highlight w:val="none"/>
        </w:rPr>
        <w:t>煤：采煤机空转2～3分钟并正常后，发出采煤机开动信号，缓慢加速牵引开始割煤作业，按措施规定的牵引速度正常运行。破煤时要经常注意顶底板、煤层、煤质变化和刮板输送机载荷的情况，随时调整牵引速度与截割高度。煤层正常地段做到不飘刀、不卧底、不留伞檐、顶底板平、煤壁直，不得割碰支架顶梁。严禁一次性将煤机牵引到最大速度。</w:t>
      </w:r>
    </w:p>
    <w:p w14:paraId="345F019F">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9.停机结束破煤：完成正常循环割煤作业停机结束</w:t>
      </w:r>
      <w:r>
        <w:rPr>
          <w:rFonts w:hint="eastAsia" w:ascii="仿宋" w:hAnsi="仿宋" w:eastAsia="仿宋" w:cs="仿宋"/>
          <w:color w:val="auto"/>
          <w:sz w:val="28"/>
          <w:szCs w:val="28"/>
          <w:highlight w:val="none"/>
          <w:lang w:val="en-US" w:eastAsia="zh-CN"/>
        </w:rPr>
        <w:t>割</w:t>
      </w:r>
      <w:r>
        <w:rPr>
          <w:rFonts w:hint="eastAsia" w:ascii="仿宋" w:hAnsi="仿宋" w:eastAsia="仿宋" w:cs="仿宋"/>
          <w:color w:val="auto"/>
          <w:sz w:val="28"/>
          <w:szCs w:val="28"/>
          <w:highlight w:val="none"/>
        </w:rPr>
        <w:t>煤。</w:t>
      </w:r>
    </w:p>
    <w:p w14:paraId="7D21C9C8">
      <w:pPr>
        <w:keepNext w:val="0"/>
        <w:keepLines w:val="0"/>
        <w:pageBreakBefore w:val="0"/>
        <w:widowControl w:val="0"/>
        <w:kinsoku/>
        <w:wordWrap/>
        <w:overflowPunct/>
        <w:topLinePunct w:val="0"/>
        <w:autoSpaceDE/>
        <w:autoSpaceDN/>
        <w:bidi w:val="0"/>
        <w:adjustRightInd/>
        <w:spacing w:line="500" w:lineRule="exact"/>
        <w:ind w:firstLine="562" w:firstLineChars="200"/>
        <w:jc w:val="left"/>
        <w:textAlignment w:val="auto"/>
        <w:outlineLvl w:val="9"/>
        <w:rPr>
          <w:rFonts w:hint="eastAsia" w:ascii="仿宋" w:hAnsi="仿宋" w:eastAsia="仿宋" w:cs="仿宋"/>
          <w:color w:val="auto"/>
          <w:sz w:val="28"/>
          <w:szCs w:val="28"/>
          <w:highlight w:val="none"/>
        </w:rPr>
      </w:pPr>
      <w:bookmarkStart w:id="17" w:name="_Toc32014"/>
      <w:bookmarkStart w:id="18" w:name="_Toc22530"/>
      <w:r>
        <w:rPr>
          <w:rFonts w:hint="eastAsia" w:ascii="仿宋" w:hAnsi="仿宋" w:eastAsia="仿宋" w:cs="仿宋"/>
          <w:b/>
          <w:color w:val="auto"/>
          <w:sz w:val="28"/>
          <w:szCs w:val="28"/>
          <w:highlight w:val="none"/>
        </w:rPr>
        <w:t>六、采煤机司机操作过程中的安全注意事项：</w:t>
      </w:r>
      <w:bookmarkEnd w:id="17"/>
      <w:bookmarkEnd w:id="18"/>
    </w:p>
    <w:p w14:paraId="7C304FB1">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（一）截割</w:t>
      </w:r>
    </w:p>
    <w:p w14:paraId="45460DB4">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检查顶帮完好，前探位置、溜子弯曲、移架距离；煤机前后</w:t>
      </w:r>
      <w:r>
        <w:rPr>
          <w:rFonts w:hint="eastAsia" w:ascii="仿宋" w:hAnsi="仿宋" w:eastAsia="仿宋" w:cs="仿宋"/>
          <w:color w:val="auto"/>
          <w:kern w:val="0"/>
          <w:sz w:val="28"/>
          <w:szCs w:val="28"/>
          <w:highlight w:val="none"/>
          <w:lang w:val="en-US" w:eastAsia="zh-CN"/>
        </w:rPr>
        <w:t>5米</w:t>
      </w:r>
      <w:r>
        <w:rPr>
          <w:rFonts w:hint="eastAsia" w:ascii="仿宋" w:hAnsi="仿宋" w:eastAsia="仿宋" w:cs="仿宋"/>
          <w:color w:val="auto"/>
          <w:kern w:val="0"/>
          <w:sz w:val="28"/>
          <w:szCs w:val="28"/>
          <w:highlight w:val="none"/>
        </w:rPr>
        <w:t>无人员</w:t>
      </w:r>
      <w:r>
        <w:rPr>
          <w:rFonts w:hint="eastAsia" w:ascii="仿宋" w:hAnsi="仿宋" w:eastAsia="仿宋" w:cs="仿宋"/>
          <w:color w:val="auto"/>
          <w:kern w:val="0"/>
          <w:sz w:val="28"/>
          <w:szCs w:val="28"/>
          <w:highlight w:val="none"/>
          <w:lang w:eastAsia="zh-CN"/>
        </w:rPr>
        <w:t>；</w:t>
      </w:r>
    </w:p>
    <w:p w14:paraId="1E8CE9DC">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听异响、信号：</w:t>
      </w:r>
      <w:r>
        <w:rPr>
          <w:rFonts w:hint="eastAsia" w:ascii="仿宋" w:hAnsi="仿宋" w:eastAsia="仿宋" w:cs="仿宋"/>
          <w:color w:val="auto"/>
          <w:kern w:val="0"/>
          <w:sz w:val="28"/>
          <w:szCs w:val="28"/>
          <w:highlight w:val="none"/>
        </w:rPr>
        <w:t>输送机、煤机异常声音；信号提醒</w:t>
      </w:r>
      <w:r>
        <w:rPr>
          <w:rFonts w:hint="eastAsia" w:ascii="仿宋" w:hAnsi="仿宋" w:eastAsia="仿宋" w:cs="仿宋"/>
          <w:color w:val="auto"/>
          <w:kern w:val="0"/>
          <w:sz w:val="28"/>
          <w:szCs w:val="28"/>
          <w:highlight w:val="none"/>
          <w:lang w:eastAsia="zh-CN"/>
        </w:rPr>
        <w:t>；</w:t>
      </w:r>
    </w:p>
    <w:p w14:paraId="026481D1">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rPr>
        <w:t>主副司机配合，端部斜切进刀，控制煤机速度、异物停机（处理）</w:t>
      </w:r>
      <w:r>
        <w:rPr>
          <w:rFonts w:hint="eastAsia" w:ascii="仿宋" w:hAnsi="仿宋" w:eastAsia="仿宋" w:cs="仿宋"/>
          <w:color w:val="auto"/>
          <w:kern w:val="0"/>
          <w:sz w:val="28"/>
          <w:szCs w:val="28"/>
          <w:highlight w:val="none"/>
          <w:lang w:eastAsia="zh-CN"/>
        </w:rPr>
        <w:t>；</w:t>
      </w:r>
    </w:p>
    <w:p w14:paraId="07187759">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lang w:eastAsia="zh-CN"/>
        </w:rPr>
      </w:pPr>
      <w:bookmarkStart w:id="19" w:name="_Toc744"/>
      <w:r>
        <w:rPr>
          <w:rFonts w:hint="eastAsia" w:ascii="仿宋" w:hAnsi="仿宋" w:eastAsia="仿宋" w:cs="仿宋"/>
          <w:b/>
          <w:color w:val="auto"/>
          <w:sz w:val="28"/>
          <w:szCs w:val="28"/>
          <w:highlight w:val="none"/>
        </w:rPr>
        <w:t>4</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站好位：</w:t>
      </w:r>
      <w:r>
        <w:rPr>
          <w:rFonts w:hint="eastAsia" w:ascii="仿宋" w:hAnsi="仿宋" w:eastAsia="仿宋" w:cs="仿宋"/>
          <w:color w:val="auto"/>
          <w:kern w:val="0"/>
          <w:sz w:val="28"/>
          <w:szCs w:val="28"/>
          <w:highlight w:val="none"/>
        </w:rPr>
        <w:t>站在支架</w:t>
      </w:r>
      <w:r>
        <w:rPr>
          <w:rFonts w:hint="eastAsia" w:ascii="仿宋" w:hAnsi="仿宋" w:eastAsia="仿宋" w:cs="仿宋"/>
          <w:color w:val="auto"/>
          <w:kern w:val="0"/>
          <w:sz w:val="28"/>
          <w:szCs w:val="28"/>
          <w:highlight w:val="none"/>
          <w:lang w:eastAsia="zh-CN"/>
        </w:rPr>
        <w:t>架空内。</w:t>
      </w:r>
    </w:p>
    <w:p w14:paraId="70A6CA62">
      <w:pPr>
        <w:keepNext w:val="0"/>
        <w:keepLines w:val="0"/>
        <w:pageBreakBefore w:val="0"/>
        <w:widowControl w:val="0"/>
        <w:kinsoku/>
        <w:wordWrap/>
        <w:overflowPunct/>
        <w:topLinePunct w:val="0"/>
        <w:autoSpaceDE/>
        <w:autoSpaceDN/>
        <w:bidi w:val="0"/>
        <w:adjustRightInd/>
        <w:spacing w:line="400" w:lineRule="exact"/>
        <w:ind w:firstLine="562" w:firstLineChars="200"/>
        <w:textAlignment w:val="auto"/>
        <w:outlineLvl w:val="9"/>
        <w:rPr>
          <w:rFonts w:hint="eastAsia" w:ascii="仿宋" w:hAnsi="仿宋" w:eastAsia="仿宋" w:cs="仿宋"/>
          <w:color w:val="auto"/>
          <w:sz w:val="24"/>
          <w:highlight w:val="none"/>
        </w:rPr>
      </w:pPr>
      <w:bookmarkStart w:id="20" w:name="_Toc25592"/>
      <w:r>
        <w:rPr>
          <w:rFonts w:hint="eastAsia" w:ascii="仿宋" w:hAnsi="仿宋" w:eastAsia="仿宋" w:cs="仿宋"/>
          <w:b/>
          <w:color w:val="auto"/>
          <w:sz w:val="28"/>
          <w:szCs w:val="28"/>
          <w:highlight w:val="none"/>
        </w:rPr>
        <w:t>七、全部注意事项</w:t>
      </w:r>
      <w:bookmarkEnd w:id="19"/>
      <w:bookmarkEnd w:id="20"/>
      <w:r>
        <w:rPr>
          <w:rFonts w:hint="eastAsia" w:ascii="仿宋" w:hAnsi="仿宋" w:eastAsia="仿宋" w:cs="仿宋"/>
          <w:b/>
          <w:color w:val="auto"/>
          <w:sz w:val="28"/>
          <w:szCs w:val="28"/>
          <w:highlight w:val="none"/>
        </w:rPr>
        <w:t xml:space="preserve">  </w:t>
      </w:r>
    </w:p>
    <w:p w14:paraId="231AA8C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1.割煤时随时注意行走机构运行情况，采煤机前方有无人员或障碍物，有无大块煤、矸石或其他物件从采煤机下通过。若发现有不安全情况时，应立即停止牵引和截割，并闭锁工作面刮板输送机，进行处理。</w:t>
      </w:r>
    </w:p>
    <w:p w14:paraId="0557588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割煤时要经常注意顶底板、煤层、煤质变化和刮板输送机载荷的情况，随时调整牵引速度与截割高度。煤层正常地段做到不飘刀、不卧底、不留伞檐、顶底板平、煤壁直，不得割碰支架顶梁。严禁一次性将煤机牵引到最大速度。</w:t>
      </w:r>
    </w:p>
    <w:p w14:paraId="424BFD2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3.割煤时精力集中，站位正确，防止滚筒甩出的大块煤矸伤到自己，防止割碰顶梁。</w:t>
      </w:r>
    </w:p>
    <w:p w14:paraId="3DCE3C2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.采</w:t>
      </w:r>
      <w:r>
        <w:rPr>
          <w:rFonts w:hint="eastAsia" w:ascii="仿宋" w:hAnsi="仿宋" w:eastAsia="仿宋" w:cs="仿宋"/>
          <w:color w:val="auto"/>
          <w:sz w:val="28"/>
          <w:szCs w:val="28"/>
          <w:highlight w:val="none"/>
        </w:rPr>
        <w:t>煤机到端头时必须减速，确认运转范围内有无人员、障碍物。观察好端头支柱、电缆管线、巷道内是否有人等，防止碰到设备、支柱、电缆等。</w:t>
      </w:r>
    </w:p>
    <w:p w14:paraId="1324ED1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采</w:t>
      </w:r>
      <w:r>
        <w:rPr>
          <w:rFonts w:hint="eastAsia" w:ascii="仿宋" w:hAnsi="仿宋" w:eastAsia="仿宋" w:cs="仿宋"/>
          <w:color w:val="auto"/>
          <w:sz w:val="28"/>
          <w:szCs w:val="28"/>
          <w:highlight w:val="none"/>
        </w:rPr>
        <w:t>煤机割透端头需要拣锚杆或清理运转范围内的障碍物时，做到切断电源，断开隔离开关，并对刮板输送机施行闭锁后，方可进行障碍物清除工作。</w:t>
      </w:r>
    </w:p>
    <w:p w14:paraId="4E02731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6.因故暂停或突然停电时，必须打开隔离开关和离合器。</w:t>
      </w:r>
    </w:p>
    <w:p w14:paraId="5137B32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严禁用采煤机牵引、顶推、拖吊其他设备、物件，运行中严禁随意推移机身处的溜槽增加截深。</w:t>
      </w:r>
    </w:p>
    <w:p w14:paraId="19BAAC9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采</w:t>
      </w:r>
      <w:r>
        <w:rPr>
          <w:rFonts w:hint="eastAsia" w:ascii="仿宋" w:hAnsi="仿宋" w:eastAsia="仿宋" w:cs="仿宋"/>
          <w:color w:val="auto"/>
          <w:sz w:val="28"/>
          <w:szCs w:val="28"/>
          <w:highlight w:val="none"/>
        </w:rPr>
        <w:t>煤机司机要与</w:t>
      </w:r>
      <w:r>
        <w:rPr>
          <w:rFonts w:hint="eastAsia" w:ascii="仿宋" w:hAnsi="仿宋" w:eastAsia="仿宋" w:cs="仿宋"/>
          <w:color w:val="auto"/>
          <w:sz w:val="28"/>
          <w:szCs w:val="28"/>
          <w:highlight w:val="none"/>
          <w:lang w:val="en-US" w:eastAsia="zh-CN"/>
        </w:rPr>
        <w:t>刮板输送机</w:t>
      </w:r>
      <w:r>
        <w:rPr>
          <w:rFonts w:hint="eastAsia" w:ascii="仿宋" w:hAnsi="仿宋" w:eastAsia="仿宋" w:cs="仿宋"/>
          <w:color w:val="auto"/>
          <w:sz w:val="28"/>
          <w:szCs w:val="28"/>
          <w:highlight w:val="none"/>
        </w:rPr>
        <w:t>司机、液压支架工密切配合。</w:t>
      </w:r>
    </w:p>
    <w:p w14:paraId="39B7558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9</w:t>
      </w:r>
      <w:r>
        <w:rPr>
          <w:rFonts w:hint="eastAsia" w:ascii="仿宋" w:hAnsi="仿宋" w:eastAsia="仿宋" w:cs="仿宋"/>
          <w:color w:val="auto"/>
          <w:sz w:val="28"/>
          <w:szCs w:val="28"/>
          <w:highlight w:val="none"/>
        </w:rPr>
        <w:t>.有下列情况之一的必须紧急停机处理：</w:t>
      </w:r>
    </w:p>
    <w:p w14:paraId="407EE74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（1）煤机前方5米内有人员及障碍物时</w:t>
      </w:r>
      <w:r>
        <w:rPr>
          <w:rFonts w:hint="eastAsia" w:ascii="仿宋" w:hAnsi="仿宋" w:eastAsia="仿宋" w:cs="仿宋"/>
          <w:color w:val="auto"/>
          <w:sz w:val="28"/>
          <w:szCs w:val="28"/>
          <w:highlight w:val="none"/>
          <w:lang w:eastAsia="zh-CN"/>
        </w:rPr>
        <w:t>。</w:t>
      </w:r>
    </w:p>
    <w:p w14:paraId="62DE5A9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（2）采煤机附近20米以内风流中瓦斯浓度达到1.0%时</w:t>
      </w:r>
      <w:r>
        <w:rPr>
          <w:rFonts w:hint="eastAsia" w:ascii="仿宋" w:hAnsi="仿宋" w:eastAsia="仿宋" w:cs="仿宋"/>
          <w:color w:val="auto"/>
          <w:sz w:val="28"/>
          <w:szCs w:val="28"/>
          <w:highlight w:val="none"/>
          <w:lang w:eastAsia="zh-CN"/>
        </w:rPr>
        <w:t>。</w:t>
      </w:r>
    </w:p>
    <w:p w14:paraId="781B51D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（3）内外喷雾不正常时。</w:t>
      </w:r>
    </w:p>
    <w:p w14:paraId="3B191D9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）有冒顶、片帮或透水预兆时。</w:t>
      </w:r>
    </w:p>
    <w:p w14:paraId="39D0FF6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）割煤过程中发生堵转时。</w:t>
      </w:r>
    </w:p>
    <w:p w14:paraId="18EFEC4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）发现采煤机内部异常震动、声响和异味，或零部件损坏时。</w:t>
      </w:r>
    </w:p>
    <w:p w14:paraId="7CBD9F2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rPr>
        <w:t>）发现采煤机上方刮板输送机上有大块煤矸、杂物或支护材料时。</w:t>
      </w:r>
    </w:p>
    <w:p w14:paraId="0CE531C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）机组脱轨或拖缆装置被卡住时。</w:t>
      </w:r>
    </w:p>
    <w:p w14:paraId="67B9F96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9</w:t>
      </w:r>
      <w:r>
        <w:rPr>
          <w:rFonts w:hint="eastAsia" w:ascii="仿宋" w:hAnsi="仿宋" w:eastAsia="仿宋" w:cs="仿宋"/>
          <w:color w:val="auto"/>
          <w:sz w:val="28"/>
          <w:szCs w:val="28"/>
          <w:highlight w:val="none"/>
        </w:rPr>
        <w:t>）电缆护套破损、电缆落地时。</w:t>
      </w:r>
    </w:p>
    <w:p w14:paraId="797EDB4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紧急停机时，应操作急停开关或停止按钮；正常停机时，不得采用紧急停机方法停止采煤机。</w:t>
      </w:r>
    </w:p>
    <w:p w14:paraId="34A2AD4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rPr>
        <w:t>.检修作业时，首先切断电源，断开隔离开关，闭锁刮板输送机。进入煤壁侧检修作业时采取以下措施：</w:t>
      </w:r>
    </w:p>
    <w:p w14:paraId="6FD4FAF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（1）对采煤机范围内的支架支护情况进行检查，并进行二次加压。</w:t>
      </w:r>
    </w:p>
    <w:p w14:paraId="5C42F96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（2）严格执行敲帮问顶制度，摘除施工地点危矸悬岩。</w:t>
      </w:r>
    </w:p>
    <w:p w14:paraId="2D82EC5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（3）在机身里侧</w:t>
      </w:r>
      <w:r>
        <w:rPr>
          <w:rFonts w:hint="eastAsia" w:ascii="仿宋" w:hAnsi="仿宋" w:eastAsia="仿宋" w:cs="仿宋"/>
          <w:color w:val="auto"/>
          <w:sz w:val="28"/>
          <w:szCs w:val="28"/>
          <w:highlight w:val="none"/>
          <w:lang w:val="en-US" w:eastAsia="zh-CN"/>
        </w:rPr>
        <w:t>挂网配合大板进行防护</w:t>
      </w:r>
      <w:r>
        <w:rPr>
          <w:rFonts w:hint="eastAsia" w:ascii="仿宋" w:hAnsi="仿宋" w:eastAsia="仿宋" w:cs="仿宋"/>
          <w:color w:val="auto"/>
          <w:sz w:val="28"/>
          <w:szCs w:val="28"/>
          <w:highlight w:val="none"/>
        </w:rPr>
        <w:t>。</w:t>
      </w:r>
    </w:p>
    <w:p w14:paraId="346F05D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（4）检修过程中随时观察顶帮变化情况。</w:t>
      </w:r>
    </w:p>
    <w:p w14:paraId="537B3AE0">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21" w:name="_Toc19983"/>
      <w:bookmarkStart w:id="22" w:name="_Toc2548"/>
      <w:r>
        <w:rPr>
          <w:rFonts w:hint="eastAsia" w:ascii="仿宋" w:hAnsi="仿宋" w:eastAsia="仿宋" w:cs="仿宋"/>
          <w:b/>
          <w:color w:val="auto"/>
          <w:sz w:val="28"/>
          <w:szCs w:val="28"/>
          <w:highlight w:val="none"/>
        </w:rPr>
        <w:t>八、停机后确认</w:t>
      </w:r>
      <w:bookmarkEnd w:id="21"/>
      <w:bookmarkEnd w:id="22"/>
    </w:p>
    <w:p w14:paraId="07BC16D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bookmarkStart w:id="23" w:name="_Toc3509"/>
      <w:r>
        <w:rPr>
          <w:rFonts w:hint="eastAsia" w:ascii="仿宋" w:hAnsi="仿宋" w:eastAsia="仿宋" w:cs="仿宋"/>
          <w:color w:val="auto"/>
          <w:sz w:val="28"/>
          <w:szCs w:val="28"/>
          <w:highlight w:val="none"/>
        </w:rPr>
        <w:t>1.停机位置</w:t>
      </w:r>
      <w:bookmarkEnd w:id="23"/>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确定停机位置有无淋水、顶帮是否完好</w:t>
      </w:r>
      <w:r>
        <w:rPr>
          <w:rFonts w:hint="eastAsia" w:ascii="仿宋" w:hAnsi="仿宋" w:eastAsia="仿宋" w:cs="仿宋"/>
          <w:color w:val="auto"/>
          <w:sz w:val="28"/>
          <w:szCs w:val="28"/>
          <w:highlight w:val="none"/>
          <w:lang w:eastAsia="zh-CN"/>
        </w:rPr>
        <w:t>。</w:t>
      </w:r>
    </w:p>
    <w:p w14:paraId="5624FE7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24" w:name="_Toc20403"/>
      <w:r>
        <w:rPr>
          <w:rFonts w:hint="eastAsia" w:ascii="仿宋" w:hAnsi="仿宋" w:eastAsia="仿宋" w:cs="仿宋"/>
          <w:color w:val="auto"/>
          <w:sz w:val="28"/>
          <w:szCs w:val="28"/>
          <w:highlight w:val="none"/>
        </w:rPr>
        <w:t>2.牵停按钮：</w:t>
      </w:r>
      <w:bookmarkEnd w:id="24"/>
      <w:r>
        <w:rPr>
          <w:rFonts w:hint="eastAsia" w:ascii="仿宋" w:hAnsi="仿宋" w:eastAsia="仿宋" w:cs="仿宋"/>
          <w:color w:val="auto"/>
          <w:sz w:val="28"/>
          <w:szCs w:val="28"/>
          <w:highlight w:val="none"/>
        </w:rPr>
        <w:t>按下牵停按钮，停止牵引采煤机。</w:t>
      </w:r>
    </w:p>
    <w:p w14:paraId="5E8740F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滚筒：滚筒落地，待煤炭排净后。</w:t>
      </w:r>
    </w:p>
    <w:p w14:paraId="6E5AA81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4.停电闭锁：待工作面、运输中的刮板输送机的煤拉净及推移完刮板输送机后，发出停刮板输送机信号并停机闭锁状态。</w:t>
      </w:r>
    </w:p>
    <w:p w14:paraId="4B3E3AF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5.进水截止阀：关闭进水截止阀。</w:t>
      </w:r>
    </w:p>
    <w:p w14:paraId="662D9BE9">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25" w:name="_Toc6697"/>
      <w:bookmarkStart w:id="26" w:name="_Toc5201"/>
      <w:r>
        <w:rPr>
          <w:rFonts w:hint="eastAsia" w:ascii="仿宋" w:hAnsi="仿宋" w:eastAsia="仿宋" w:cs="仿宋"/>
          <w:b/>
          <w:color w:val="auto"/>
          <w:sz w:val="28"/>
          <w:szCs w:val="28"/>
          <w:highlight w:val="none"/>
        </w:rPr>
        <w:t>九、事故案例教育</w:t>
      </w:r>
      <w:bookmarkEnd w:id="25"/>
      <w:bookmarkEnd w:id="26"/>
    </w:p>
    <w:p w14:paraId="5F5C2CD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27" w:name="_Toc24810"/>
      <w:r>
        <w:rPr>
          <w:rFonts w:hint="eastAsia" w:ascii="仿宋" w:hAnsi="仿宋" w:eastAsia="仿宋" w:cs="仿宋"/>
          <w:color w:val="auto"/>
          <w:sz w:val="28"/>
          <w:szCs w:val="28"/>
          <w:highlight w:val="none"/>
        </w:rPr>
        <w:t>（一）事故经过</w:t>
      </w:r>
      <w:bookmarkEnd w:id="27"/>
    </w:p>
    <w:p w14:paraId="5015A03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28" w:name="_Toc21487"/>
      <w:r>
        <w:rPr>
          <w:rFonts w:hint="eastAsia" w:ascii="仿宋" w:hAnsi="仿宋" w:eastAsia="仿宋" w:cs="仿宋"/>
          <w:color w:val="auto"/>
          <w:sz w:val="28"/>
          <w:szCs w:val="28"/>
          <w:highlight w:val="none"/>
        </w:rPr>
        <w:t>某年1月29日，某矿901综采工作面，采煤机司机更换截齿时未切断电源，也没断开离合器及隔离开关就检查更换截齿。检修工以为无人，便开动采煤机，将更换截齿的</w:t>
      </w:r>
      <w:r>
        <w:rPr>
          <w:rFonts w:hint="eastAsia" w:ascii="仿宋" w:hAnsi="仿宋" w:eastAsia="仿宋" w:cs="仿宋"/>
          <w:color w:val="auto"/>
          <w:sz w:val="28"/>
          <w:szCs w:val="28"/>
          <w:highlight w:val="none"/>
          <w:lang w:eastAsia="zh-CN"/>
        </w:rPr>
        <w:t>司</w:t>
      </w:r>
      <w:r>
        <w:rPr>
          <w:rFonts w:hint="eastAsia" w:ascii="仿宋" w:hAnsi="仿宋" w:eastAsia="仿宋" w:cs="仿宋"/>
          <w:color w:val="auto"/>
          <w:sz w:val="28"/>
          <w:szCs w:val="28"/>
          <w:highlight w:val="none"/>
        </w:rPr>
        <w:t>机当场绞死。</w:t>
      </w:r>
    </w:p>
    <w:p w14:paraId="4EBBEDA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bookmarkEnd w:id="28"/>
    </w:p>
    <w:p w14:paraId="7A486E2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1307F1C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开机前未进行安全确认，</w:t>
      </w:r>
      <w:r>
        <w:rPr>
          <w:rFonts w:hint="eastAsia" w:ascii="仿宋" w:hAnsi="仿宋" w:eastAsia="仿宋" w:cs="仿宋"/>
          <w:color w:val="auto"/>
          <w:sz w:val="28"/>
          <w:szCs w:val="28"/>
          <w:highlight w:val="none"/>
        </w:rPr>
        <w:t>采煤机司机开机前司机不发出开机警示信号就启动采煤机的。</w:t>
      </w:r>
    </w:p>
    <w:p w14:paraId="7F7BB6D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122581F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司</w:t>
      </w:r>
      <w:r>
        <w:rPr>
          <w:rFonts w:hint="eastAsia" w:ascii="仿宋" w:hAnsi="仿宋" w:eastAsia="仿宋" w:cs="仿宋"/>
          <w:color w:val="auto"/>
          <w:sz w:val="28"/>
          <w:szCs w:val="28"/>
          <w:highlight w:val="none"/>
        </w:rPr>
        <w:t>机违反《煤矿安全规程》规定，既没有切断电源，也没有打开离合器并断开隔离开关就检查更换截齿。</w:t>
      </w:r>
    </w:p>
    <w:p w14:paraId="3036ECE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（2）现场施工人员自主保安意识和互保联保意识差，是造成事故的一个原因。</w:t>
      </w:r>
    </w:p>
    <w:p w14:paraId="754CA57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bookmarkStart w:id="29" w:name="_Toc14327"/>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lang w:eastAsia="zh-CN"/>
        </w:rPr>
        <w:t>）当班安监员现场安全检查不严不细，存在薄弱环节，是造成事故的一个原因。</w:t>
      </w:r>
    </w:p>
    <w:p w14:paraId="2856963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bookmarkEnd w:id="29"/>
    </w:p>
    <w:p w14:paraId="451CDE2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30" w:name="_Toc23495"/>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加强工作面的技术管理，教育司机和其他人员严格遵守《煤矿安全规程》规定，熟悉来煤机的结构、原理，并加强业务技术学习，真正掌握来煤机操作技术。</w:t>
      </w:r>
    </w:p>
    <w:p w14:paraId="2A8886E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在采煤机滚筒附近有人作业或更换截齿时必须打开采煤机截割部离合器。如果司机离机或停机，时间较长时，必须将滚筒放到底板上，切断隔离开关。</w:t>
      </w:r>
    </w:p>
    <w:p w14:paraId="2B98EFD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加大安全监督检查力度，进一步强化专监人员的责任意识，强化现场安全监督检查，对重点头面、重点区域、重点环节严格执行专盯汇报制度，严细排查现场隐患，严格落实整改。</w:t>
      </w:r>
    </w:p>
    <w:p w14:paraId="0ABE6396">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31" w:name="_Toc26796"/>
      <w:r>
        <w:rPr>
          <w:rFonts w:hint="eastAsia" w:ascii="仿宋" w:hAnsi="仿宋" w:eastAsia="仿宋" w:cs="仿宋"/>
          <w:b/>
          <w:color w:val="auto"/>
          <w:sz w:val="28"/>
          <w:szCs w:val="28"/>
          <w:highlight w:val="none"/>
        </w:rPr>
        <w:t>十、常见三违</w:t>
      </w:r>
      <w:bookmarkEnd w:id="30"/>
      <w:bookmarkEnd w:id="31"/>
    </w:p>
    <w:p w14:paraId="5717FC5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（一）</w:t>
      </w:r>
      <w:r>
        <w:rPr>
          <w:rFonts w:hint="eastAsia" w:ascii="仿宋" w:hAnsi="仿宋" w:eastAsia="仿宋" w:cs="仿宋"/>
          <w:color w:val="auto"/>
          <w:sz w:val="28"/>
          <w:szCs w:val="28"/>
          <w:highlight w:val="none"/>
        </w:rPr>
        <w:t>站在未经停电并闭锁采煤机的截割部上进行作业活动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 xml:space="preserve"> </w:t>
      </w:r>
    </w:p>
    <w:p w14:paraId="3B04EEE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采煤机割</w:t>
      </w:r>
      <w:r>
        <w:rPr>
          <w:rFonts w:hint="eastAsia" w:ascii="仿宋" w:hAnsi="仿宋" w:eastAsia="仿宋" w:cs="仿宋"/>
          <w:color w:val="auto"/>
          <w:sz w:val="28"/>
          <w:szCs w:val="28"/>
          <w:highlight w:val="none"/>
          <w:lang w:eastAsia="zh-CN"/>
        </w:rPr>
        <w:t>煤</w:t>
      </w:r>
      <w:r>
        <w:rPr>
          <w:rFonts w:hint="eastAsia" w:ascii="仿宋" w:hAnsi="仿宋" w:eastAsia="仿宋" w:cs="仿宋"/>
          <w:color w:val="auto"/>
          <w:sz w:val="28"/>
          <w:szCs w:val="28"/>
          <w:highlight w:val="none"/>
        </w:rPr>
        <w:t>时滚筒上下5米内有人工作或监护人员站在减速机、电机上</w:t>
      </w:r>
      <w:r>
        <w:rPr>
          <w:rFonts w:hint="eastAsia" w:ascii="仿宋" w:hAnsi="仿宋" w:eastAsia="仿宋" w:cs="仿宋"/>
          <w:color w:val="auto"/>
          <w:sz w:val="28"/>
          <w:szCs w:val="28"/>
          <w:highlight w:val="none"/>
          <w:lang w:eastAsia="zh-CN"/>
        </w:rPr>
        <w:t>；</w:t>
      </w:r>
    </w:p>
    <w:p w14:paraId="31705A6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采煤机未停电闭锁并拉开离合器，严禁更换截齿或检修喷雾装置</w:t>
      </w:r>
      <w:r>
        <w:rPr>
          <w:rFonts w:hint="eastAsia" w:ascii="仿宋" w:hAnsi="仿宋" w:eastAsia="仿宋" w:cs="仿宋"/>
          <w:color w:val="auto"/>
          <w:sz w:val="28"/>
          <w:szCs w:val="28"/>
          <w:highlight w:val="none"/>
          <w:lang w:eastAsia="zh-CN"/>
        </w:rPr>
        <w:t>；</w:t>
      </w:r>
    </w:p>
    <w:p w14:paraId="745785C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采煤机停止工作或检修时，不闭锁</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不打开离合器</w:t>
      </w:r>
      <w:r>
        <w:rPr>
          <w:rFonts w:hint="eastAsia" w:ascii="仿宋" w:hAnsi="仿宋" w:eastAsia="仿宋" w:cs="仿宋"/>
          <w:color w:val="auto"/>
          <w:sz w:val="28"/>
          <w:szCs w:val="28"/>
          <w:highlight w:val="none"/>
          <w:lang w:eastAsia="zh-CN"/>
        </w:rPr>
        <w:t>，或打开离合器不安限位销子；</w:t>
      </w:r>
    </w:p>
    <w:p w14:paraId="6719CE6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采煤机司机未随身携带或未在采煤机固定位置放便携式报警仪</w:t>
      </w:r>
      <w:r>
        <w:rPr>
          <w:rFonts w:hint="eastAsia" w:ascii="仿宋" w:hAnsi="仿宋" w:eastAsia="仿宋" w:cs="仿宋"/>
          <w:color w:val="auto"/>
          <w:sz w:val="28"/>
          <w:szCs w:val="28"/>
          <w:highlight w:val="none"/>
          <w:lang w:eastAsia="zh-CN"/>
        </w:rPr>
        <w:t>；</w:t>
      </w:r>
    </w:p>
    <w:p w14:paraId="143B238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采煤机没有安装能停止工作面刮板输送机运行的闭锁装置</w:t>
      </w:r>
      <w:r>
        <w:rPr>
          <w:rFonts w:hint="eastAsia" w:ascii="仿宋" w:hAnsi="仿宋" w:eastAsia="仿宋" w:cs="仿宋"/>
          <w:color w:val="auto"/>
          <w:sz w:val="28"/>
          <w:szCs w:val="28"/>
          <w:highlight w:val="none"/>
          <w:lang w:eastAsia="zh-CN"/>
        </w:rPr>
        <w:t>；</w:t>
      </w:r>
    </w:p>
    <w:p w14:paraId="2F968E2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启动采煤机前，不先巡视采煤机四周，在没确认无危险后启动按钮</w:t>
      </w:r>
      <w:r>
        <w:rPr>
          <w:rFonts w:hint="eastAsia" w:ascii="仿宋" w:hAnsi="仿宋" w:eastAsia="仿宋" w:cs="仿宋"/>
          <w:color w:val="auto"/>
          <w:sz w:val="28"/>
          <w:szCs w:val="28"/>
          <w:highlight w:val="none"/>
          <w:lang w:eastAsia="zh-CN"/>
        </w:rPr>
        <w:t>；</w:t>
      </w:r>
    </w:p>
    <w:p w14:paraId="59FF83F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采煤机割溜头溜尾时没拉线警戒</w:t>
      </w:r>
      <w:r>
        <w:rPr>
          <w:rFonts w:hint="eastAsia" w:ascii="仿宋" w:hAnsi="仿宋" w:eastAsia="仿宋" w:cs="仿宋"/>
          <w:color w:val="auto"/>
          <w:sz w:val="28"/>
          <w:szCs w:val="28"/>
          <w:highlight w:val="none"/>
          <w:lang w:eastAsia="zh-CN"/>
        </w:rPr>
        <w:t>；</w:t>
      </w:r>
    </w:p>
    <w:p w14:paraId="3AE397B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采煤机司机开机前司机不发出开机警示信号就启动采煤机的</w:t>
      </w:r>
      <w:r>
        <w:rPr>
          <w:rFonts w:hint="eastAsia" w:ascii="仿宋" w:hAnsi="仿宋" w:eastAsia="仿宋" w:cs="仿宋"/>
          <w:color w:val="auto"/>
          <w:sz w:val="28"/>
          <w:szCs w:val="28"/>
          <w:highlight w:val="none"/>
          <w:lang w:eastAsia="zh-CN"/>
        </w:rPr>
        <w:t>；</w:t>
      </w:r>
    </w:p>
    <w:p w14:paraId="3F0B257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采煤机操作过程中割支架等设备的</w:t>
      </w:r>
      <w:r>
        <w:rPr>
          <w:rFonts w:hint="eastAsia" w:ascii="仿宋" w:hAnsi="仿宋" w:eastAsia="仿宋" w:cs="仿宋"/>
          <w:color w:val="auto"/>
          <w:sz w:val="28"/>
          <w:szCs w:val="28"/>
          <w:highlight w:val="none"/>
          <w:lang w:eastAsia="zh-CN"/>
        </w:rPr>
        <w:t>；</w:t>
      </w:r>
    </w:p>
    <w:p w14:paraId="1342879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无证或证件过期上岗作业的</w:t>
      </w:r>
      <w:r>
        <w:rPr>
          <w:rFonts w:hint="eastAsia" w:ascii="仿宋" w:hAnsi="仿宋" w:eastAsia="仿宋" w:cs="仿宋"/>
          <w:color w:val="auto"/>
          <w:sz w:val="28"/>
          <w:szCs w:val="28"/>
          <w:highlight w:val="none"/>
          <w:lang w:eastAsia="zh-CN"/>
        </w:rPr>
        <w:t>。</w:t>
      </w:r>
    </w:p>
    <w:p w14:paraId="7BAC42A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p>
    <w:p w14:paraId="63E24581">
      <w:pPr>
        <w:rPr>
          <w:rFonts w:hint="eastAsia" w:ascii="仿宋" w:hAnsi="仿宋" w:eastAsia="仿宋" w:cs="仿宋"/>
          <w:b/>
          <w:color w:val="auto"/>
          <w:sz w:val="36"/>
          <w:szCs w:val="36"/>
          <w:highlight w:val="none"/>
          <w:lang w:val="en-US" w:eastAsia="zh-CN"/>
        </w:rPr>
      </w:pPr>
      <w:bookmarkStart w:id="32" w:name="_Toc6186"/>
      <w:bookmarkStart w:id="33" w:name="_Toc20618"/>
      <w:bookmarkStart w:id="34" w:name="_Toc27645"/>
      <w:bookmarkStart w:id="35" w:name="_Toc28614"/>
      <w:bookmarkStart w:id="36" w:name="_Toc30890"/>
      <w:bookmarkStart w:id="37" w:name="_Toc28715"/>
      <w:bookmarkStart w:id="38" w:name="_Toc5853"/>
      <w:r>
        <w:rPr>
          <w:rFonts w:hint="eastAsia" w:ascii="仿宋" w:hAnsi="仿宋" w:eastAsia="仿宋" w:cs="仿宋"/>
          <w:b/>
          <w:color w:val="auto"/>
          <w:sz w:val="36"/>
          <w:szCs w:val="36"/>
          <w:highlight w:val="none"/>
          <w:lang w:val="en-US" w:eastAsia="zh-CN"/>
        </w:rPr>
        <w:br w:type="page"/>
      </w:r>
    </w:p>
    <w:p w14:paraId="206CF9E2">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lang w:val="en-US" w:eastAsia="zh-CN"/>
        </w:rPr>
      </w:pPr>
      <w:bookmarkStart w:id="39" w:name="_Toc8424"/>
      <w:r>
        <w:rPr>
          <w:rFonts w:hint="eastAsia" w:ascii="仿宋" w:hAnsi="仿宋" w:eastAsia="仿宋" w:cs="仿宋"/>
          <w:b/>
          <w:color w:val="auto"/>
          <w:sz w:val="36"/>
          <w:szCs w:val="36"/>
          <w:highlight w:val="none"/>
          <w:lang w:val="en-US" w:eastAsia="zh-CN"/>
        </w:rPr>
        <w:t>乳化液泵站司机</w:t>
      </w:r>
      <w:bookmarkEnd w:id="32"/>
      <w:bookmarkEnd w:id="33"/>
      <w:bookmarkEnd w:id="34"/>
      <w:bookmarkEnd w:id="35"/>
      <w:bookmarkEnd w:id="36"/>
      <w:bookmarkEnd w:id="37"/>
      <w:bookmarkEnd w:id="38"/>
      <w:bookmarkEnd w:id="39"/>
    </w:p>
    <w:tbl>
      <w:tblPr>
        <w:tblStyle w:val="12"/>
        <w:tblW w:w="8761" w:type="dxa"/>
        <w:tblInd w:w="0" w:type="dxa"/>
        <w:tblLayout w:type="fixed"/>
        <w:tblCellMar>
          <w:top w:w="0" w:type="dxa"/>
          <w:left w:w="108" w:type="dxa"/>
          <w:bottom w:w="0" w:type="dxa"/>
          <w:right w:w="108" w:type="dxa"/>
        </w:tblCellMar>
      </w:tblPr>
      <w:tblGrid>
        <w:gridCol w:w="905"/>
        <w:gridCol w:w="3774"/>
        <w:gridCol w:w="863"/>
        <w:gridCol w:w="3219"/>
      </w:tblGrid>
      <w:tr w14:paraId="0E627C6F">
        <w:tblPrEx>
          <w:tblCellMar>
            <w:top w:w="0" w:type="dxa"/>
            <w:left w:w="108" w:type="dxa"/>
            <w:bottom w:w="0" w:type="dxa"/>
            <w:right w:w="108" w:type="dxa"/>
          </w:tblCellMar>
        </w:tblPrEx>
        <w:trPr>
          <w:trHeight w:val="905" w:hRule="atLeast"/>
        </w:trPr>
        <w:tc>
          <w:tcPr>
            <w:tcW w:w="8761" w:type="dxa"/>
            <w:gridSpan w:val="4"/>
            <w:tcBorders>
              <w:top w:val="single" w:color="000000" w:sz="4" w:space="0"/>
              <w:left w:val="single" w:color="000000" w:sz="4" w:space="0"/>
              <w:bottom w:val="single" w:color="000000" w:sz="4" w:space="0"/>
              <w:right w:val="single" w:color="000000" w:sz="4" w:space="0"/>
            </w:tcBorders>
            <w:vAlign w:val="center"/>
          </w:tcPr>
          <w:p w14:paraId="09655781">
            <w:pPr>
              <w:keepNext w:val="0"/>
              <w:keepLines w:val="0"/>
              <w:pageBreakBefore w:val="0"/>
              <w:widowControl/>
              <w:suppressLineNumbers w:val="0"/>
              <w:kinsoku/>
              <w:wordWrap/>
              <w:overflowPunct/>
              <w:topLinePunct w:val="0"/>
              <w:autoSpaceDE/>
              <w:autoSpaceDN/>
              <w:bidi w:val="0"/>
              <w:ind w:firstLine="480" w:firstLineChars="200"/>
              <w:jc w:val="center"/>
              <w:textAlignment w:val="center"/>
              <w:outlineLvl w:val="9"/>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乳化液泵站司机岗位风险告知卡</w:t>
            </w:r>
          </w:p>
        </w:tc>
      </w:tr>
      <w:tr w14:paraId="7E2B0A12">
        <w:tblPrEx>
          <w:tblCellMar>
            <w:top w:w="0" w:type="dxa"/>
            <w:left w:w="108" w:type="dxa"/>
            <w:bottom w:w="0" w:type="dxa"/>
            <w:right w:w="108" w:type="dxa"/>
          </w:tblCellMar>
        </w:tblPrEx>
        <w:trPr>
          <w:trHeight w:val="1340" w:hRule="atLeast"/>
        </w:trPr>
        <w:tc>
          <w:tcPr>
            <w:tcW w:w="905" w:type="dxa"/>
            <w:tcBorders>
              <w:top w:val="single" w:color="000000" w:sz="4" w:space="0"/>
              <w:left w:val="single" w:color="000000" w:sz="4" w:space="0"/>
              <w:bottom w:val="single" w:color="000000" w:sz="4" w:space="0"/>
              <w:right w:val="single" w:color="000000" w:sz="4" w:space="0"/>
            </w:tcBorders>
            <w:vAlign w:val="center"/>
          </w:tcPr>
          <w:p w14:paraId="0F70694C">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kern w:val="0"/>
                <w:sz w:val="24"/>
                <w:szCs w:val="24"/>
                <w:highlight w:val="none"/>
                <w:u w:val="none"/>
                <w:lang w:val="en-US" w:eastAsia="zh-CN" w:bidi="ar"/>
              </w:rPr>
            </w:pPr>
            <w:r>
              <w:rPr>
                <w:rFonts w:hint="eastAsia" w:ascii="仿宋" w:hAnsi="仿宋" w:eastAsia="仿宋" w:cs="仿宋"/>
                <w:b/>
                <w:bCs/>
                <w:i w:val="0"/>
                <w:iCs w:val="0"/>
                <w:color w:val="auto"/>
                <w:kern w:val="0"/>
                <w:sz w:val="24"/>
                <w:szCs w:val="24"/>
                <w:highlight w:val="none"/>
                <w:u w:val="none"/>
                <w:lang w:val="en-US" w:eastAsia="zh-CN" w:bidi="ar"/>
              </w:rPr>
              <w:t>风险</w:t>
            </w:r>
          </w:p>
          <w:p w14:paraId="38582854">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类型</w:t>
            </w:r>
          </w:p>
        </w:tc>
        <w:tc>
          <w:tcPr>
            <w:tcW w:w="3774" w:type="dxa"/>
            <w:tcBorders>
              <w:top w:val="single" w:color="000000" w:sz="4" w:space="0"/>
              <w:left w:val="single" w:color="000000" w:sz="4" w:space="0"/>
              <w:bottom w:val="single" w:color="000000" w:sz="4" w:space="0"/>
              <w:right w:val="single" w:color="000000" w:sz="4" w:space="0"/>
            </w:tcBorders>
            <w:vAlign w:val="center"/>
          </w:tcPr>
          <w:p w14:paraId="57BD4923">
            <w:pPr>
              <w:keepNext w:val="0"/>
              <w:keepLines w:val="0"/>
              <w:pageBreakBefore w:val="0"/>
              <w:widowControl/>
              <w:suppressLineNumbers w:val="0"/>
              <w:kinsoku/>
              <w:wordWrap/>
              <w:overflowPunct/>
              <w:topLinePunct w:val="0"/>
              <w:autoSpaceDE/>
              <w:autoSpaceDN/>
              <w:bidi w:val="0"/>
              <w:ind w:firstLine="420" w:firstLineChars="200"/>
              <w:jc w:val="both"/>
              <w:textAlignment w:val="center"/>
              <w:outlineLvl w:val="9"/>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1"/>
                <w:szCs w:val="21"/>
                <w:highlight w:val="none"/>
                <w:u w:val="none"/>
                <w:lang w:val="en-US" w:eastAsia="zh-CN" w:bidi="ar"/>
              </w:rPr>
              <w:t>机电、职业病危害</w:t>
            </w:r>
          </w:p>
        </w:tc>
        <w:tc>
          <w:tcPr>
            <w:tcW w:w="863" w:type="dxa"/>
            <w:tcBorders>
              <w:top w:val="single" w:color="000000" w:sz="4" w:space="0"/>
              <w:left w:val="single" w:color="000000" w:sz="4" w:space="0"/>
              <w:bottom w:val="single" w:color="000000" w:sz="4" w:space="0"/>
              <w:right w:val="single" w:color="000000" w:sz="4" w:space="0"/>
            </w:tcBorders>
            <w:vAlign w:val="center"/>
          </w:tcPr>
          <w:p w14:paraId="11547F7D">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kern w:val="0"/>
                <w:sz w:val="24"/>
                <w:szCs w:val="24"/>
                <w:highlight w:val="none"/>
                <w:u w:val="none"/>
                <w:lang w:val="en-US" w:eastAsia="zh-CN" w:bidi="ar"/>
              </w:rPr>
            </w:pPr>
            <w:r>
              <w:rPr>
                <w:rFonts w:hint="eastAsia" w:ascii="仿宋" w:hAnsi="仿宋" w:eastAsia="仿宋" w:cs="仿宋"/>
                <w:b/>
                <w:bCs/>
                <w:i w:val="0"/>
                <w:iCs w:val="0"/>
                <w:color w:val="auto"/>
                <w:kern w:val="0"/>
                <w:sz w:val="24"/>
                <w:szCs w:val="24"/>
                <w:highlight w:val="none"/>
                <w:u w:val="none"/>
                <w:lang w:val="en-US" w:eastAsia="zh-CN" w:bidi="ar"/>
              </w:rPr>
              <w:t>事故</w:t>
            </w:r>
          </w:p>
          <w:p w14:paraId="2E8BD8FE">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报告</w:t>
            </w:r>
          </w:p>
        </w:tc>
        <w:tc>
          <w:tcPr>
            <w:tcW w:w="3219" w:type="dxa"/>
            <w:tcBorders>
              <w:top w:val="single" w:color="000000" w:sz="4" w:space="0"/>
              <w:left w:val="single" w:color="000000" w:sz="4" w:space="0"/>
              <w:bottom w:val="single" w:color="000000" w:sz="4" w:space="0"/>
              <w:right w:val="single" w:color="000000" w:sz="4" w:space="0"/>
            </w:tcBorders>
            <w:vAlign w:val="center"/>
          </w:tcPr>
          <w:p w14:paraId="3AB4B814">
            <w:pPr>
              <w:keepNext w:val="0"/>
              <w:keepLines w:val="0"/>
              <w:pageBreakBefore w:val="0"/>
              <w:widowControl/>
              <w:suppressLineNumbers w:val="0"/>
              <w:kinsoku/>
              <w:wordWrap/>
              <w:overflowPunct/>
              <w:topLinePunct w:val="0"/>
              <w:autoSpaceDE/>
              <w:autoSpaceDN/>
              <w:bidi w:val="0"/>
              <w:jc w:val="left"/>
              <w:textAlignment w:val="center"/>
              <w:outlineLvl w:val="9"/>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1"/>
                <w:szCs w:val="21"/>
                <w:highlight w:val="none"/>
                <w:u w:val="none"/>
                <w:lang w:val="en-US" w:eastAsia="zh-CN" w:bidi="ar"/>
              </w:rPr>
              <w:t>调度室：8650200、8650202“#”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工区值班： 8650738</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安监科值班：8650512</w:t>
            </w:r>
          </w:p>
        </w:tc>
      </w:tr>
      <w:tr w14:paraId="1DBC686F">
        <w:tblPrEx>
          <w:tblCellMar>
            <w:top w:w="0" w:type="dxa"/>
            <w:left w:w="108" w:type="dxa"/>
            <w:bottom w:w="0" w:type="dxa"/>
            <w:right w:w="108" w:type="dxa"/>
          </w:tblCellMar>
        </w:tblPrEx>
        <w:trPr>
          <w:trHeight w:val="647"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76C47A96">
            <w:pPr>
              <w:keepNext w:val="0"/>
              <w:keepLines w:val="0"/>
              <w:pageBreakBefore w:val="0"/>
              <w:widowControl/>
              <w:suppressLineNumbers w:val="0"/>
              <w:kinsoku/>
              <w:wordWrap/>
              <w:overflowPunct/>
              <w:topLinePunct w:val="0"/>
              <w:autoSpaceDE/>
              <w:autoSpaceDN/>
              <w:bidi w:val="0"/>
              <w:ind w:firstLine="482" w:firstLineChars="200"/>
              <w:jc w:val="center"/>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主要危害因素</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14:paraId="7745631E">
            <w:pPr>
              <w:keepNext w:val="0"/>
              <w:keepLines w:val="0"/>
              <w:pageBreakBefore w:val="0"/>
              <w:widowControl/>
              <w:suppressLineNumbers w:val="0"/>
              <w:kinsoku/>
              <w:wordWrap/>
              <w:overflowPunct/>
              <w:topLinePunct w:val="0"/>
              <w:autoSpaceDE/>
              <w:autoSpaceDN/>
              <w:bidi w:val="0"/>
              <w:ind w:firstLine="482" w:firstLineChars="200"/>
              <w:jc w:val="center"/>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管控措施</w:t>
            </w:r>
          </w:p>
        </w:tc>
      </w:tr>
      <w:tr w14:paraId="361DC7FC">
        <w:tblPrEx>
          <w:tblCellMar>
            <w:top w:w="0" w:type="dxa"/>
            <w:left w:w="108" w:type="dxa"/>
            <w:bottom w:w="0" w:type="dxa"/>
            <w:right w:w="108" w:type="dxa"/>
          </w:tblCellMar>
        </w:tblPrEx>
        <w:trPr>
          <w:trHeight w:val="1458"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02BD2BF6">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1.不持证上岗；通风不良，造成瓦斯积聚；粉尘积聚，造成人体健康伤害。</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14:paraId="342600A8">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1.持证上岗；保持采煤工作面正常通风，监控系统正常运行；规范使用喷雾、除尘器，佩戴防尘口罩。</w:t>
            </w:r>
          </w:p>
        </w:tc>
      </w:tr>
      <w:tr w14:paraId="0E32DF4F">
        <w:tblPrEx>
          <w:tblCellMar>
            <w:top w:w="0" w:type="dxa"/>
            <w:left w:w="108" w:type="dxa"/>
            <w:bottom w:w="0" w:type="dxa"/>
            <w:right w:w="108" w:type="dxa"/>
          </w:tblCellMar>
        </w:tblPrEx>
        <w:trPr>
          <w:trHeight w:val="1660"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390D31F8">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2.高压管路及U型卡不完好或使用铁丝代替；泵体的转动部分无护罩。</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14:paraId="0FE5790E">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2.开泵前，保证高压管路U型卡连接完好，严禁用铁丝代替U型卡；保证泵体转动部位防护装置齐全有效。</w:t>
            </w:r>
          </w:p>
        </w:tc>
      </w:tr>
      <w:tr w14:paraId="60394961">
        <w:tblPrEx>
          <w:tblCellMar>
            <w:top w:w="0" w:type="dxa"/>
            <w:left w:w="108" w:type="dxa"/>
            <w:bottom w:w="0" w:type="dxa"/>
            <w:right w:w="108" w:type="dxa"/>
          </w:tblCellMar>
        </w:tblPrEx>
        <w:trPr>
          <w:trHeight w:val="1645"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1B1D77CA">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3.乳化液箱缺水、压力表不完好；检修或更换液压配件、管路时，不停电闭锁或没有泄压。</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14:paraId="1A816457">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3.发现乳化液箱缺水时及时加水，压力表不完好时更换压力表；检修乳化液泵或更换管路时，停电闭锁，释放余压。</w:t>
            </w:r>
          </w:p>
        </w:tc>
      </w:tr>
      <w:tr w14:paraId="26EC6E3B">
        <w:tblPrEx>
          <w:tblCellMar>
            <w:top w:w="0" w:type="dxa"/>
            <w:left w:w="108" w:type="dxa"/>
            <w:bottom w:w="0" w:type="dxa"/>
            <w:right w:w="108" w:type="dxa"/>
          </w:tblCellMar>
        </w:tblPrEx>
        <w:trPr>
          <w:trHeight w:val="847"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15B2E097">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4.乳化液浓度不符合要求。</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14:paraId="707D7E95">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4.保证乳化液浓度符合标准值。</w:t>
            </w:r>
          </w:p>
        </w:tc>
      </w:tr>
      <w:tr w14:paraId="493A35F4">
        <w:tblPrEx>
          <w:tblCellMar>
            <w:top w:w="0" w:type="dxa"/>
            <w:left w:w="108" w:type="dxa"/>
            <w:bottom w:w="0" w:type="dxa"/>
            <w:right w:w="108" w:type="dxa"/>
          </w:tblCellMar>
        </w:tblPrEx>
        <w:trPr>
          <w:trHeight w:val="905"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4A928FD1">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5.未佩戴防尘口罩和耳塞。</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14:paraId="4E96B7C8">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5.佩戴好防护手套、耳塞等劳保用品。</w:t>
            </w:r>
          </w:p>
        </w:tc>
      </w:tr>
      <w:tr w14:paraId="633E75FA">
        <w:tblPrEx>
          <w:tblCellMar>
            <w:top w:w="0" w:type="dxa"/>
            <w:left w:w="108" w:type="dxa"/>
            <w:bottom w:w="0" w:type="dxa"/>
            <w:right w:w="108" w:type="dxa"/>
          </w:tblCellMar>
        </w:tblPrEx>
        <w:trPr>
          <w:trHeight w:val="1066" w:hRule="atLeast"/>
        </w:trPr>
        <w:tc>
          <w:tcPr>
            <w:tcW w:w="905" w:type="dxa"/>
            <w:tcBorders>
              <w:top w:val="single" w:color="000000" w:sz="4" w:space="0"/>
              <w:left w:val="single" w:color="000000" w:sz="4" w:space="0"/>
              <w:bottom w:val="single" w:color="000000" w:sz="4" w:space="0"/>
              <w:right w:val="single" w:color="000000" w:sz="4" w:space="0"/>
            </w:tcBorders>
            <w:vAlign w:val="center"/>
          </w:tcPr>
          <w:p w14:paraId="0066D574">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70D8E322">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56" w:type="dxa"/>
            <w:gridSpan w:val="3"/>
            <w:tcBorders>
              <w:top w:val="single" w:color="000000" w:sz="4" w:space="0"/>
              <w:left w:val="single" w:color="000000" w:sz="4" w:space="0"/>
              <w:bottom w:val="single" w:color="000000" w:sz="4" w:space="0"/>
              <w:right w:val="single" w:color="000000" w:sz="4" w:space="0"/>
            </w:tcBorders>
            <w:vAlign w:val="center"/>
          </w:tcPr>
          <w:p w14:paraId="5FF78E62">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00B15333">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43FEE890">
        <w:tblPrEx>
          <w:tblCellMar>
            <w:top w:w="0" w:type="dxa"/>
            <w:left w:w="108" w:type="dxa"/>
            <w:bottom w:w="0" w:type="dxa"/>
            <w:right w:w="108" w:type="dxa"/>
          </w:tblCellMar>
        </w:tblPrEx>
        <w:trPr>
          <w:trHeight w:val="2001" w:hRule="atLeast"/>
        </w:trPr>
        <w:tc>
          <w:tcPr>
            <w:tcW w:w="905" w:type="dxa"/>
            <w:tcBorders>
              <w:top w:val="single" w:color="000000" w:sz="4" w:space="0"/>
              <w:left w:val="single" w:color="000000" w:sz="4" w:space="0"/>
              <w:bottom w:val="single" w:color="000000" w:sz="4" w:space="0"/>
              <w:right w:val="single" w:color="000000" w:sz="4" w:space="0"/>
            </w:tcBorders>
            <w:vAlign w:val="center"/>
          </w:tcPr>
          <w:p w14:paraId="76DE7CF1">
            <w:pPr>
              <w:keepNext w:val="0"/>
              <w:keepLines w:val="0"/>
              <w:pageBreakBefore w:val="0"/>
              <w:widowControl/>
              <w:suppressLineNumbers w:val="0"/>
              <w:kinsoku/>
              <w:wordWrap/>
              <w:overflowPunct/>
              <w:topLinePunct w:val="0"/>
              <w:autoSpaceDE/>
              <w:autoSpaceDN/>
              <w:bidi w:val="0"/>
              <w:jc w:val="both"/>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应急处置措 施</w:t>
            </w:r>
          </w:p>
        </w:tc>
        <w:tc>
          <w:tcPr>
            <w:tcW w:w="7856" w:type="dxa"/>
            <w:gridSpan w:val="3"/>
            <w:tcBorders>
              <w:top w:val="single" w:color="000000" w:sz="4" w:space="0"/>
              <w:left w:val="single" w:color="000000" w:sz="4" w:space="0"/>
              <w:bottom w:val="single" w:color="000000" w:sz="4" w:space="0"/>
              <w:right w:val="single" w:color="000000" w:sz="4" w:space="0"/>
            </w:tcBorders>
            <w:vAlign w:val="center"/>
          </w:tcPr>
          <w:p w14:paraId="4D371830">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1.出现紧急情况时，立即停泵闭锁检查并通知用液地点，找出故障点后进行泄压，泄压后方可作业，故障排除后检查完毕方可开机。</w:t>
            </w:r>
          </w:p>
          <w:p w14:paraId="3FD57384">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1"/>
                <w:szCs w:val="21"/>
                <w:highlight w:val="none"/>
                <w:u w:val="none"/>
                <w:lang w:val="en-US" w:eastAsia="zh-CN" w:bidi="ar"/>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7BDB0A02">
      <w:pPr>
        <w:keepNext w:val="0"/>
        <w:keepLines w:val="0"/>
        <w:pageBreakBefore w:val="0"/>
        <w:kinsoku/>
        <w:wordWrap/>
        <w:overflowPunct/>
        <w:topLinePunct w:val="0"/>
        <w:autoSpaceDE/>
        <w:autoSpaceDN/>
        <w:bidi w:val="0"/>
        <w:spacing w:line="500" w:lineRule="exact"/>
        <w:ind w:firstLine="562" w:firstLineChars="200"/>
        <w:jc w:val="center"/>
        <w:outlineLvl w:val="9"/>
        <w:rPr>
          <w:rFonts w:hint="eastAsia" w:ascii="仿宋" w:hAnsi="仿宋" w:eastAsia="仿宋" w:cs="仿宋"/>
          <w:b/>
          <w:color w:val="auto"/>
          <w:sz w:val="28"/>
          <w:szCs w:val="28"/>
          <w:highlight w:val="none"/>
        </w:rPr>
      </w:pPr>
    </w:p>
    <w:tbl>
      <w:tblPr>
        <w:tblStyle w:val="12"/>
        <w:tblW w:w="8640" w:type="dxa"/>
        <w:tblInd w:w="94" w:type="dxa"/>
        <w:tblLayout w:type="fixed"/>
        <w:tblCellMar>
          <w:top w:w="0" w:type="dxa"/>
          <w:left w:w="108" w:type="dxa"/>
          <w:bottom w:w="0" w:type="dxa"/>
          <w:right w:w="108" w:type="dxa"/>
        </w:tblCellMar>
      </w:tblPr>
      <w:tblGrid>
        <w:gridCol w:w="3774"/>
        <w:gridCol w:w="4866"/>
      </w:tblGrid>
      <w:tr w14:paraId="42CD11E3">
        <w:tblPrEx>
          <w:tblCellMar>
            <w:top w:w="0" w:type="dxa"/>
            <w:left w:w="108" w:type="dxa"/>
            <w:bottom w:w="0" w:type="dxa"/>
            <w:right w:w="108" w:type="dxa"/>
          </w:tblCellMar>
        </w:tblPrEx>
        <w:trPr>
          <w:trHeight w:val="785" w:hRule="atLeast"/>
        </w:trPr>
        <w:tc>
          <w:tcPr>
            <w:tcW w:w="8640" w:type="dxa"/>
            <w:gridSpan w:val="2"/>
            <w:tcBorders>
              <w:top w:val="single" w:color="auto" w:sz="4" w:space="0"/>
              <w:left w:val="single" w:color="auto" w:sz="4" w:space="0"/>
              <w:bottom w:val="single" w:color="auto" w:sz="4" w:space="0"/>
              <w:right w:val="single" w:color="auto" w:sz="4" w:space="0"/>
            </w:tcBorders>
            <w:vAlign w:val="center"/>
          </w:tcPr>
          <w:p w14:paraId="3B1EBED4">
            <w:pPr>
              <w:keepNext w:val="0"/>
              <w:keepLines w:val="0"/>
              <w:pageBreakBefore w:val="0"/>
              <w:widowControl/>
              <w:kinsoku/>
              <w:wordWrap/>
              <w:overflowPunct/>
              <w:topLinePunct w:val="0"/>
              <w:autoSpaceDE/>
              <w:autoSpaceDN/>
              <w:bidi w:val="0"/>
              <w:ind w:firstLine="422" w:firstLineChars="200"/>
              <w:jc w:val="center"/>
              <w:outlineLvl w:val="9"/>
              <w:rPr>
                <w:rFonts w:hint="eastAsia" w:ascii="仿宋" w:hAnsi="仿宋" w:eastAsia="仿宋" w:cs="仿宋"/>
                <w:b w:val="0"/>
                <w:bCs w:val="0"/>
                <w:color w:val="auto"/>
                <w:kern w:val="0"/>
                <w:sz w:val="24"/>
                <w:szCs w:val="24"/>
                <w:highlight w:val="none"/>
              </w:rPr>
            </w:pPr>
            <w:r>
              <w:rPr>
                <w:rFonts w:hint="eastAsia" w:ascii="仿宋" w:hAnsi="仿宋" w:eastAsia="仿宋" w:cs="仿宋"/>
                <w:b/>
                <w:bCs/>
                <w:color w:val="auto"/>
                <w:kern w:val="0"/>
                <w:sz w:val="21"/>
                <w:szCs w:val="21"/>
                <w:highlight w:val="none"/>
              </w:rPr>
              <w:t>乳化液泵司机安全提示卡</w:t>
            </w:r>
          </w:p>
        </w:tc>
      </w:tr>
      <w:tr w14:paraId="535F281D">
        <w:tblPrEx>
          <w:tblCellMar>
            <w:top w:w="0" w:type="dxa"/>
            <w:left w:w="108" w:type="dxa"/>
            <w:bottom w:w="0" w:type="dxa"/>
            <w:right w:w="108" w:type="dxa"/>
          </w:tblCellMar>
        </w:tblPrEx>
        <w:trPr>
          <w:trHeight w:val="928" w:hRule="atLeast"/>
        </w:trPr>
        <w:tc>
          <w:tcPr>
            <w:tcW w:w="3774" w:type="dxa"/>
            <w:tcBorders>
              <w:top w:val="single" w:color="auto" w:sz="4" w:space="0"/>
              <w:left w:val="single" w:color="auto" w:sz="4" w:space="0"/>
              <w:bottom w:val="single" w:color="auto" w:sz="4" w:space="0"/>
              <w:right w:val="single" w:color="auto" w:sz="4" w:space="0"/>
            </w:tcBorders>
            <w:vAlign w:val="center"/>
          </w:tcPr>
          <w:p w14:paraId="0D5A041C">
            <w:pPr>
              <w:keepNext w:val="0"/>
              <w:keepLines w:val="0"/>
              <w:pageBreakBefore w:val="0"/>
              <w:widowControl/>
              <w:kinsoku/>
              <w:wordWrap/>
              <w:overflowPunct/>
              <w:topLinePunct w:val="0"/>
              <w:autoSpaceDE/>
              <w:autoSpaceDN/>
              <w:bidi w:val="0"/>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开泵前检查</w:t>
            </w:r>
          </w:p>
        </w:tc>
        <w:tc>
          <w:tcPr>
            <w:tcW w:w="4866" w:type="dxa"/>
            <w:tcBorders>
              <w:top w:val="single" w:color="auto" w:sz="4" w:space="0"/>
              <w:left w:val="nil"/>
              <w:bottom w:val="single" w:color="auto" w:sz="4" w:space="0"/>
              <w:right w:val="single" w:color="auto" w:sz="4" w:space="0"/>
            </w:tcBorders>
            <w:vAlign w:val="center"/>
          </w:tcPr>
          <w:p w14:paraId="44EFD6F1">
            <w:pPr>
              <w:keepNext w:val="0"/>
              <w:keepLines w:val="0"/>
              <w:pageBreakBefore w:val="0"/>
              <w:widowControl/>
              <w:kinsoku/>
              <w:wordWrap/>
              <w:overflowPunct/>
              <w:topLinePunct w:val="0"/>
              <w:autoSpaceDE/>
              <w:autoSpaceDN/>
              <w:bidi w:val="0"/>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停泵后确认</w:t>
            </w:r>
          </w:p>
        </w:tc>
      </w:tr>
      <w:tr w14:paraId="07A226D6">
        <w:tblPrEx>
          <w:tblCellMar>
            <w:top w:w="0" w:type="dxa"/>
            <w:left w:w="108" w:type="dxa"/>
            <w:bottom w:w="0" w:type="dxa"/>
            <w:right w:w="108" w:type="dxa"/>
          </w:tblCellMar>
        </w:tblPrEx>
        <w:trPr>
          <w:trHeight w:val="928" w:hRule="atLeast"/>
        </w:trPr>
        <w:tc>
          <w:tcPr>
            <w:tcW w:w="3774" w:type="dxa"/>
            <w:tcBorders>
              <w:top w:val="single" w:color="auto" w:sz="4" w:space="0"/>
              <w:left w:val="single" w:color="auto" w:sz="4" w:space="0"/>
              <w:bottom w:val="single" w:color="auto" w:sz="4" w:space="0"/>
              <w:right w:val="single" w:color="auto" w:sz="4" w:space="0"/>
            </w:tcBorders>
            <w:vAlign w:val="center"/>
          </w:tcPr>
          <w:p w14:paraId="11171A3F">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1.顶帮</w:t>
            </w:r>
          </w:p>
        </w:tc>
        <w:tc>
          <w:tcPr>
            <w:tcW w:w="4866" w:type="dxa"/>
            <w:tcBorders>
              <w:top w:val="single" w:color="auto" w:sz="4" w:space="0"/>
              <w:left w:val="nil"/>
              <w:bottom w:val="single" w:color="auto" w:sz="4" w:space="0"/>
              <w:right w:val="single" w:color="auto" w:sz="4" w:space="0"/>
            </w:tcBorders>
            <w:vAlign w:val="center"/>
          </w:tcPr>
          <w:p w14:paraId="0272A237">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1.停电闭锁</w:t>
            </w:r>
          </w:p>
        </w:tc>
      </w:tr>
      <w:tr w14:paraId="30737905">
        <w:tblPrEx>
          <w:tblCellMar>
            <w:top w:w="0" w:type="dxa"/>
            <w:left w:w="108" w:type="dxa"/>
            <w:bottom w:w="0" w:type="dxa"/>
            <w:right w:w="108" w:type="dxa"/>
          </w:tblCellMar>
        </w:tblPrEx>
        <w:trPr>
          <w:trHeight w:val="928" w:hRule="atLeast"/>
        </w:trPr>
        <w:tc>
          <w:tcPr>
            <w:tcW w:w="3774" w:type="dxa"/>
            <w:tcBorders>
              <w:top w:val="single" w:color="auto" w:sz="4" w:space="0"/>
              <w:left w:val="single" w:color="auto" w:sz="4" w:space="0"/>
              <w:bottom w:val="single" w:color="auto" w:sz="4" w:space="0"/>
              <w:right w:val="single" w:color="auto" w:sz="4" w:space="0"/>
            </w:tcBorders>
            <w:vAlign w:val="center"/>
          </w:tcPr>
          <w:p w14:paraId="56AA3428">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2.信号、照明</w:t>
            </w:r>
          </w:p>
        </w:tc>
        <w:tc>
          <w:tcPr>
            <w:tcW w:w="4866" w:type="dxa"/>
            <w:tcBorders>
              <w:top w:val="single" w:color="auto" w:sz="4" w:space="0"/>
              <w:left w:val="nil"/>
              <w:bottom w:val="single" w:color="auto" w:sz="4" w:space="0"/>
              <w:right w:val="single" w:color="000000" w:sz="4" w:space="0"/>
            </w:tcBorders>
            <w:vAlign w:val="center"/>
          </w:tcPr>
          <w:p w14:paraId="4DB426B8">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2.控制阀</w:t>
            </w:r>
          </w:p>
        </w:tc>
      </w:tr>
      <w:tr w14:paraId="77E8C87E">
        <w:tblPrEx>
          <w:tblCellMar>
            <w:top w:w="0" w:type="dxa"/>
            <w:left w:w="108" w:type="dxa"/>
            <w:bottom w:w="0" w:type="dxa"/>
            <w:right w:w="108" w:type="dxa"/>
          </w:tblCellMar>
        </w:tblPrEx>
        <w:trPr>
          <w:trHeight w:val="997" w:hRule="atLeast"/>
        </w:trPr>
        <w:tc>
          <w:tcPr>
            <w:tcW w:w="3774" w:type="dxa"/>
            <w:tcBorders>
              <w:top w:val="single" w:color="auto" w:sz="4" w:space="0"/>
              <w:left w:val="single" w:color="auto" w:sz="4" w:space="0"/>
              <w:bottom w:val="single" w:color="auto" w:sz="4" w:space="0"/>
              <w:right w:val="single" w:color="auto" w:sz="4" w:space="0"/>
            </w:tcBorders>
            <w:vAlign w:val="center"/>
          </w:tcPr>
          <w:p w14:paraId="7F9A2089">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3.消防器材</w:t>
            </w:r>
          </w:p>
        </w:tc>
        <w:tc>
          <w:tcPr>
            <w:tcW w:w="4866" w:type="dxa"/>
            <w:tcBorders>
              <w:top w:val="single" w:color="auto" w:sz="4" w:space="0"/>
              <w:left w:val="nil"/>
              <w:bottom w:val="single" w:color="auto" w:sz="4" w:space="0"/>
              <w:right w:val="single" w:color="000000" w:sz="4" w:space="0"/>
            </w:tcBorders>
            <w:vAlign w:val="center"/>
          </w:tcPr>
          <w:p w14:paraId="6C423E67">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 xml:space="preserve">注：第一次按开机前检查内容逐项检查并确认，存在问题整改后再确认；全部结束后按停机后确认内容逐项检查并确认。 </w:t>
            </w:r>
          </w:p>
        </w:tc>
      </w:tr>
    </w:tbl>
    <w:p w14:paraId="78C2EA76">
      <w:pPr>
        <w:keepNext w:val="0"/>
        <w:keepLines w:val="0"/>
        <w:pageBreakBefore w:val="0"/>
        <w:kinsoku/>
        <w:wordWrap/>
        <w:overflowPunct/>
        <w:topLinePunct w:val="0"/>
        <w:autoSpaceDE/>
        <w:autoSpaceDN/>
        <w:bidi w:val="0"/>
        <w:outlineLvl w:val="9"/>
        <w:rPr>
          <w:color w:val="auto"/>
        </w:rPr>
      </w:pPr>
    </w:p>
    <w:tbl>
      <w:tblPr>
        <w:tblStyle w:val="12"/>
        <w:tblW w:w="8640" w:type="dxa"/>
        <w:tblInd w:w="94" w:type="dxa"/>
        <w:tblLayout w:type="fixed"/>
        <w:tblCellMar>
          <w:top w:w="0" w:type="dxa"/>
          <w:left w:w="108" w:type="dxa"/>
          <w:bottom w:w="0" w:type="dxa"/>
          <w:right w:w="108" w:type="dxa"/>
        </w:tblCellMar>
      </w:tblPr>
      <w:tblGrid>
        <w:gridCol w:w="8640"/>
      </w:tblGrid>
      <w:tr w14:paraId="25DAFC73">
        <w:tblPrEx>
          <w:tblCellMar>
            <w:top w:w="0" w:type="dxa"/>
            <w:left w:w="108" w:type="dxa"/>
            <w:bottom w:w="0" w:type="dxa"/>
            <w:right w:w="108" w:type="dxa"/>
          </w:tblCellMar>
        </w:tblPrEx>
        <w:trPr>
          <w:trHeight w:val="643" w:hRule="atLeast"/>
        </w:trPr>
        <w:tc>
          <w:tcPr>
            <w:tcW w:w="8640" w:type="dxa"/>
            <w:tcBorders>
              <w:top w:val="single" w:color="auto" w:sz="4" w:space="0"/>
              <w:left w:val="single" w:color="auto" w:sz="4" w:space="0"/>
              <w:bottom w:val="single" w:color="auto" w:sz="4" w:space="0"/>
              <w:right w:val="single" w:color="auto" w:sz="4" w:space="0"/>
            </w:tcBorders>
            <w:vAlign w:val="center"/>
          </w:tcPr>
          <w:p w14:paraId="0EA195C3">
            <w:pPr>
              <w:keepNext w:val="0"/>
              <w:keepLines w:val="0"/>
              <w:pageBreakBefore w:val="0"/>
              <w:widowControl/>
              <w:kinsoku/>
              <w:wordWrap/>
              <w:overflowPunct/>
              <w:topLinePunct w:val="0"/>
              <w:autoSpaceDE/>
              <w:autoSpaceDN/>
              <w:bidi w:val="0"/>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乳化液泵站单元检查表</w:t>
            </w:r>
          </w:p>
        </w:tc>
      </w:tr>
      <w:tr w14:paraId="74A8CD24">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14:paraId="000EBD83">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 xml:space="preserve">  1.水管、自动配比装置</w:t>
            </w:r>
          </w:p>
        </w:tc>
      </w:tr>
      <w:tr w14:paraId="1637A5A3">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14:paraId="58170CE6">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★2.液位、浓度</w:t>
            </w:r>
          </w:p>
        </w:tc>
      </w:tr>
      <w:tr w14:paraId="4EF9B411">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14:paraId="49781C71">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 xml:space="preserve"> 3.电动机、护罩、联轴节</w:t>
            </w:r>
          </w:p>
        </w:tc>
      </w:tr>
      <w:tr w14:paraId="4E71DFEB">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14:paraId="1A16971B">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 xml:space="preserve"> 4.密封、油质、油量、泵头、曲轴箱油位</w:t>
            </w:r>
          </w:p>
        </w:tc>
      </w:tr>
      <w:tr w14:paraId="59B491BF">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14:paraId="74D8B9AF">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★5.液压管路</w:t>
            </w:r>
          </w:p>
        </w:tc>
      </w:tr>
      <w:tr w14:paraId="0B2A4562">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14:paraId="38DDA698">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★6.截止阀、压力表、箱体</w:t>
            </w:r>
          </w:p>
        </w:tc>
      </w:tr>
      <w:tr w14:paraId="4E2257EE">
        <w:tblPrEx>
          <w:tblCellMar>
            <w:top w:w="0" w:type="dxa"/>
            <w:left w:w="108" w:type="dxa"/>
            <w:bottom w:w="0" w:type="dxa"/>
            <w:right w:w="108" w:type="dxa"/>
          </w:tblCellMar>
        </w:tblPrEx>
        <w:trPr>
          <w:trHeight w:val="548" w:hRule="atLeast"/>
        </w:trPr>
        <w:tc>
          <w:tcPr>
            <w:tcW w:w="8640" w:type="dxa"/>
            <w:tcBorders>
              <w:top w:val="single" w:color="auto" w:sz="4" w:space="0"/>
              <w:left w:val="single" w:color="auto" w:sz="4" w:space="0"/>
              <w:bottom w:val="single" w:color="auto" w:sz="4" w:space="0"/>
              <w:right w:val="single" w:color="auto" w:sz="4" w:space="0"/>
            </w:tcBorders>
            <w:vAlign w:val="center"/>
          </w:tcPr>
          <w:p w14:paraId="794ABE1B">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接班后检查一次，单元检查表检查前，先进行停电闭锁确认</w:t>
            </w:r>
          </w:p>
        </w:tc>
      </w:tr>
    </w:tbl>
    <w:p w14:paraId="6317BC7C">
      <w:pPr>
        <w:keepNext w:val="0"/>
        <w:keepLines w:val="0"/>
        <w:pageBreakBefore w:val="0"/>
        <w:kinsoku/>
        <w:wordWrap/>
        <w:overflowPunct/>
        <w:topLinePunct w:val="0"/>
        <w:autoSpaceDE/>
        <w:autoSpaceDN/>
        <w:bidi w:val="0"/>
        <w:outlineLvl w:val="9"/>
        <w:rPr>
          <w:color w:val="auto"/>
        </w:rPr>
      </w:pPr>
      <w:bookmarkStart w:id="40" w:name="_Toc9222"/>
    </w:p>
    <w:tbl>
      <w:tblPr>
        <w:tblStyle w:val="12"/>
        <w:tblW w:w="8641" w:type="dxa"/>
        <w:tblInd w:w="93" w:type="dxa"/>
        <w:tblLayout w:type="fixed"/>
        <w:tblCellMar>
          <w:top w:w="0" w:type="dxa"/>
          <w:left w:w="108" w:type="dxa"/>
          <w:bottom w:w="0" w:type="dxa"/>
          <w:right w:w="108" w:type="dxa"/>
        </w:tblCellMar>
      </w:tblPr>
      <w:tblGrid>
        <w:gridCol w:w="1558"/>
        <w:gridCol w:w="1342"/>
        <w:gridCol w:w="5741"/>
      </w:tblGrid>
      <w:tr w14:paraId="5499BAEC">
        <w:tblPrEx>
          <w:tblCellMar>
            <w:top w:w="0" w:type="dxa"/>
            <w:left w:w="108" w:type="dxa"/>
            <w:bottom w:w="0" w:type="dxa"/>
            <w:right w:w="108" w:type="dxa"/>
          </w:tblCellMar>
        </w:tblPrEx>
        <w:trPr>
          <w:trHeight w:val="668" w:hRule="atLeast"/>
        </w:trPr>
        <w:tc>
          <w:tcPr>
            <w:tcW w:w="8641" w:type="dxa"/>
            <w:gridSpan w:val="3"/>
            <w:tcBorders>
              <w:top w:val="single" w:color="000000" w:sz="4" w:space="0"/>
              <w:left w:val="single" w:color="000000" w:sz="4" w:space="0"/>
              <w:bottom w:val="single" w:color="000000" w:sz="4" w:space="0"/>
              <w:right w:val="single" w:color="000000" w:sz="4" w:space="0"/>
            </w:tcBorders>
            <w:vAlign w:val="center"/>
          </w:tcPr>
          <w:p w14:paraId="6491F414">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val="0"/>
                <w:bCs w:val="0"/>
                <w:i w:val="0"/>
                <w:iCs w:val="0"/>
                <w:color w:val="auto"/>
                <w:sz w:val="24"/>
                <w:szCs w:val="24"/>
                <w:highlight w:val="none"/>
                <w:u w:val="none"/>
              </w:rPr>
            </w:pPr>
            <w:r>
              <w:rPr>
                <w:rFonts w:hint="eastAsia" w:ascii="仿宋" w:hAnsi="仿宋" w:eastAsia="仿宋" w:cs="仿宋"/>
                <w:b/>
                <w:bCs/>
                <w:color w:val="auto"/>
                <w:kern w:val="0"/>
                <w:sz w:val="21"/>
                <w:szCs w:val="21"/>
                <w:highlight w:val="none"/>
                <w:lang w:val="en-US" w:eastAsia="zh-CN"/>
              </w:rPr>
              <w:t>乳化泵司机操作过程注意事项</w:t>
            </w:r>
          </w:p>
        </w:tc>
      </w:tr>
      <w:tr w14:paraId="6C4339FB">
        <w:tblPrEx>
          <w:tblCellMar>
            <w:top w:w="0" w:type="dxa"/>
            <w:left w:w="108" w:type="dxa"/>
            <w:bottom w:w="0" w:type="dxa"/>
            <w:right w:w="108" w:type="dxa"/>
          </w:tblCellMar>
        </w:tblPrEx>
        <w:trPr>
          <w:trHeight w:val="395" w:hRule="atLeast"/>
        </w:trPr>
        <w:tc>
          <w:tcPr>
            <w:tcW w:w="1558" w:type="dxa"/>
            <w:tcBorders>
              <w:top w:val="single" w:color="000000" w:sz="4" w:space="0"/>
              <w:left w:val="single" w:color="000000" w:sz="4" w:space="0"/>
              <w:bottom w:val="single" w:color="000000" w:sz="4" w:space="0"/>
              <w:right w:val="single" w:color="000000" w:sz="4" w:space="0"/>
            </w:tcBorders>
            <w:vAlign w:val="center"/>
          </w:tcPr>
          <w:p w14:paraId="6E1C48D8">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1342" w:type="dxa"/>
            <w:tcBorders>
              <w:top w:val="single" w:color="000000" w:sz="4" w:space="0"/>
              <w:left w:val="single" w:color="000000" w:sz="4" w:space="0"/>
              <w:bottom w:val="single" w:color="000000" w:sz="4" w:space="0"/>
              <w:right w:val="single" w:color="000000" w:sz="4" w:space="0"/>
            </w:tcBorders>
            <w:vAlign w:val="center"/>
          </w:tcPr>
          <w:p w14:paraId="2EE01709">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5741" w:type="dxa"/>
            <w:tcBorders>
              <w:top w:val="single" w:color="000000" w:sz="4" w:space="0"/>
              <w:left w:val="single" w:color="000000" w:sz="4" w:space="0"/>
              <w:bottom w:val="single" w:color="000000" w:sz="4" w:space="0"/>
              <w:right w:val="single" w:color="000000" w:sz="4" w:space="0"/>
            </w:tcBorders>
            <w:vAlign w:val="center"/>
          </w:tcPr>
          <w:p w14:paraId="55019572">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14:paraId="4BEB069F">
        <w:tblPrEx>
          <w:tblCellMar>
            <w:top w:w="0" w:type="dxa"/>
            <w:left w:w="108" w:type="dxa"/>
            <w:bottom w:w="0" w:type="dxa"/>
            <w:right w:w="108" w:type="dxa"/>
          </w:tblCellMar>
        </w:tblPrEx>
        <w:trPr>
          <w:trHeight w:val="395" w:hRule="atLeast"/>
        </w:trPr>
        <w:tc>
          <w:tcPr>
            <w:tcW w:w="1558" w:type="dxa"/>
            <w:vMerge w:val="restart"/>
            <w:tcBorders>
              <w:top w:val="single" w:color="000000" w:sz="4" w:space="0"/>
              <w:left w:val="single" w:color="000000" w:sz="4" w:space="0"/>
              <w:bottom w:val="single" w:color="000000" w:sz="4" w:space="0"/>
              <w:right w:val="single" w:color="000000" w:sz="4" w:space="0"/>
            </w:tcBorders>
            <w:vAlign w:val="center"/>
          </w:tcPr>
          <w:p w14:paraId="56A3649A">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开泵</w:t>
            </w:r>
          </w:p>
        </w:tc>
        <w:tc>
          <w:tcPr>
            <w:tcW w:w="1342" w:type="dxa"/>
            <w:tcBorders>
              <w:top w:val="single" w:color="000000" w:sz="4" w:space="0"/>
              <w:left w:val="single" w:color="000000" w:sz="4" w:space="0"/>
              <w:bottom w:val="single" w:color="000000" w:sz="4" w:space="0"/>
              <w:right w:val="single" w:color="000000" w:sz="4" w:space="0"/>
            </w:tcBorders>
            <w:vAlign w:val="center"/>
          </w:tcPr>
          <w:p w14:paraId="09E86D92">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741" w:type="dxa"/>
            <w:tcBorders>
              <w:top w:val="single" w:color="000000" w:sz="4" w:space="0"/>
              <w:left w:val="single" w:color="000000" w:sz="4" w:space="0"/>
              <w:bottom w:val="single" w:color="000000" w:sz="4" w:space="0"/>
              <w:right w:val="single" w:color="000000" w:sz="4" w:space="0"/>
            </w:tcBorders>
            <w:vAlign w:val="center"/>
          </w:tcPr>
          <w:p w14:paraId="7125BCD5">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周围有无人员、异物</w:t>
            </w:r>
          </w:p>
        </w:tc>
      </w:tr>
      <w:tr w14:paraId="71913B7F">
        <w:tblPrEx>
          <w:tblCellMar>
            <w:top w:w="0" w:type="dxa"/>
            <w:left w:w="108" w:type="dxa"/>
            <w:bottom w:w="0" w:type="dxa"/>
            <w:right w:w="108" w:type="dxa"/>
          </w:tblCellMar>
        </w:tblPrEx>
        <w:trPr>
          <w:trHeight w:val="416" w:hRule="atLeast"/>
        </w:trPr>
        <w:tc>
          <w:tcPr>
            <w:tcW w:w="1558" w:type="dxa"/>
            <w:vMerge w:val="continue"/>
            <w:tcBorders>
              <w:top w:val="single" w:color="000000" w:sz="4" w:space="0"/>
              <w:left w:val="single" w:color="000000" w:sz="4" w:space="0"/>
              <w:bottom w:val="single" w:color="000000" w:sz="4" w:space="0"/>
              <w:right w:val="single" w:color="000000" w:sz="4" w:space="0"/>
            </w:tcBorders>
            <w:vAlign w:val="center"/>
          </w:tcPr>
          <w:p w14:paraId="3D9B5C88">
            <w:pPr>
              <w:keepNext w:val="0"/>
              <w:keepLines w:val="0"/>
              <w:pageBreakBefore w:val="0"/>
              <w:kinsoku/>
              <w:wordWrap/>
              <w:overflowPunct/>
              <w:topLinePunct w:val="0"/>
              <w:autoSpaceDE/>
              <w:autoSpaceDN/>
              <w:bidi w:val="0"/>
              <w:jc w:val="center"/>
              <w:outlineLvl w:val="9"/>
              <w:rPr>
                <w:rFonts w:hint="eastAsia" w:ascii="仿宋" w:hAnsi="仿宋" w:eastAsia="仿宋" w:cs="仿宋"/>
                <w:i w:val="0"/>
                <w:iCs w:val="0"/>
                <w:color w:val="auto"/>
                <w:sz w:val="21"/>
                <w:szCs w:val="21"/>
                <w:highlight w:val="none"/>
                <w:u w:val="none"/>
              </w:rPr>
            </w:pPr>
          </w:p>
        </w:tc>
        <w:tc>
          <w:tcPr>
            <w:tcW w:w="1342" w:type="dxa"/>
            <w:tcBorders>
              <w:top w:val="single" w:color="000000" w:sz="4" w:space="0"/>
              <w:left w:val="single" w:color="000000" w:sz="4" w:space="0"/>
              <w:bottom w:val="single" w:color="000000" w:sz="4" w:space="0"/>
              <w:right w:val="single" w:color="000000" w:sz="4" w:space="0"/>
            </w:tcBorders>
            <w:vAlign w:val="center"/>
          </w:tcPr>
          <w:p w14:paraId="235DDD47">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听信号</w:t>
            </w:r>
          </w:p>
        </w:tc>
        <w:tc>
          <w:tcPr>
            <w:tcW w:w="5741" w:type="dxa"/>
            <w:tcBorders>
              <w:top w:val="single" w:color="000000" w:sz="4" w:space="0"/>
              <w:left w:val="single" w:color="000000" w:sz="4" w:space="0"/>
              <w:bottom w:val="single" w:color="000000" w:sz="4" w:space="0"/>
              <w:right w:val="single" w:color="000000" w:sz="4" w:space="0"/>
            </w:tcBorders>
            <w:vAlign w:val="center"/>
          </w:tcPr>
          <w:p w14:paraId="4EC6737D">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发出的开、停泵信号</w:t>
            </w:r>
          </w:p>
        </w:tc>
      </w:tr>
      <w:tr w14:paraId="6A26AD69">
        <w:tblPrEx>
          <w:tblCellMar>
            <w:top w:w="0" w:type="dxa"/>
            <w:left w:w="108" w:type="dxa"/>
            <w:bottom w:w="0" w:type="dxa"/>
            <w:right w:w="108" w:type="dxa"/>
          </w:tblCellMar>
        </w:tblPrEx>
        <w:trPr>
          <w:trHeight w:val="395" w:hRule="atLeast"/>
        </w:trPr>
        <w:tc>
          <w:tcPr>
            <w:tcW w:w="1558" w:type="dxa"/>
            <w:vMerge w:val="continue"/>
            <w:tcBorders>
              <w:top w:val="single" w:color="000000" w:sz="4" w:space="0"/>
              <w:left w:val="single" w:color="000000" w:sz="4" w:space="0"/>
              <w:bottom w:val="single" w:color="000000" w:sz="4" w:space="0"/>
              <w:right w:val="single" w:color="000000" w:sz="4" w:space="0"/>
            </w:tcBorders>
            <w:vAlign w:val="center"/>
          </w:tcPr>
          <w:p w14:paraId="6C7B23CE">
            <w:pPr>
              <w:keepNext w:val="0"/>
              <w:keepLines w:val="0"/>
              <w:pageBreakBefore w:val="0"/>
              <w:kinsoku/>
              <w:wordWrap/>
              <w:overflowPunct/>
              <w:topLinePunct w:val="0"/>
              <w:autoSpaceDE/>
              <w:autoSpaceDN/>
              <w:bidi w:val="0"/>
              <w:jc w:val="center"/>
              <w:outlineLvl w:val="9"/>
              <w:rPr>
                <w:rFonts w:hint="eastAsia" w:ascii="仿宋" w:hAnsi="仿宋" w:eastAsia="仿宋" w:cs="仿宋"/>
                <w:i w:val="0"/>
                <w:iCs w:val="0"/>
                <w:color w:val="auto"/>
                <w:sz w:val="21"/>
                <w:szCs w:val="21"/>
                <w:highlight w:val="none"/>
                <w:u w:val="none"/>
              </w:rPr>
            </w:pPr>
          </w:p>
        </w:tc>
        <w:tc>
          <w:tcPr>
            <w:tcW w:w="1342" w:type="dxa"/>
            <w:tcBorders>
              <w:top w:val="single" w:color="000000" w:sz="4" w:space="0"/>
              <w:left w:val="single" w:color="000000" w:sz="4" w:space="0"/>
              <w:bottom w:val="single" w:color="000000" w:sz="4" w:space="0"/>
              <w:right w:val="single" w:color="000000" w:sz="4" w:space="0"/>
            </w:tcBorders>
            <w:vAlign w:val="center"/>
          </w:tcPr>
          <w:p w14:paraId="3810CFA0">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w:t>
            </w:r>
          </w:p>
        </w:tc>
        <w:tc>
          <w:tcPr>
            <w:tcW w:w="5741" w:type="dxa"/>
            <w:tcBorders>
              <w:top w:val="single" w:color="000000" w:sz="4" w:space="0"/>
              <w:left w:val="single" w:color="000000" w:sz="4" w:space="0"/>
              <w:bottom w:val="single" w:color="000000" w:sz="4" w:space="0"/>
              <w:right w:val="single" w:color="000000" w:sz="4" w:space="0"/>
            </w:tcBorders>
            <w:vAlign w:val="center"/>
          </w:tcPr>
          <w:p w14:paraId="6FDEBEC5">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液压管路、乳化泵等异常声音</w:t>
            </w:r>
          </w:p>
        </w:tc>
      </w:tr>
      <w:tr w14:paraId="62D41F9F">
        <w:tblPrEx>
          <w:tblCellMar>
            <w:top w:w="0" w:type="dxa"/>
            <w:left w:w="108" w:type="dxa"/>
            <w:bottom w:w="0" w:type="dxa"/>
            <w:right w:w="108" w:type="dxa"/>
          </w:tblCellMar>
        </w:tblPrEx>
        <w:trPr>
          <w:trHeight w:val="395" w:hRule="atLeast"/>
        </w:trPr>
        <w:tc>
          <w:tcPr>
            <w:tcW w:w="1558" w:type="dxa"/>
            <w:vMerge w:val="continue"/>
            <w:tcBorders>
              <w:top w:val="single" w:color="000000" w:sz="4" w:space="0"/>
              <w:left w:val="single" w:color="000000" w:sz="4" w:space="0"/>
              <w:bottom w:val="single" w:color="000000" w:sz="4" w:space="0"/>
              <w:right w:val="single" w:color="000000" w:sz="4" w:space="0"/>
            </w:tcBorders>
            <w:vAlign w:val="center"/>
          </w:tcPr>
          <w:p w14:paraId="7CA48137">
            <w:pPr>
              <w:keepNext w:val="0"/>
              <w:keepLines w:val="0"/>
              <w:pageBreakBefore w:val="0"/>
              <w:kinsoku/>
              <w:wordWrap/>
              <w:overflowPunct/>
              <w:topLinePunct w:val="0"/>
              <w:autoSpaceDE/>
              <w:autoSpaceDN/>
              <w:bidi w:val="0"/>
              <w:jc w:val="center"/>
              <w:outlineLvl w:val="9"/>
              <w:rPr>
                <w:rFonts w:hint="eastAsia" w:ascii="仿宋" w:hAnsi="仿宋" w:eastAsia="仿宋" w:cs="仿宋"/>
                <w:i w:val="0"/>
                <w:iCs w:val="0"/>
                <w:color w:val="auto"/>
                <w:sz w:val="21"/>
                <w:szCs w:val="21"/>
                <w:highlight w:val="none"/>
                <w:u w:val="none"/>
              </w:rPr>
            </w:pPr>
          </w:p>
        </w:tc>
        <w:tc>
          <w:tcPr>
            <w:tcW w:w="1342" w:type="dxa"/>
            <w:tcBorders>
              <w:top w:val="single" w:color="000000" w:sz="4" w:space="0"/>
              <w:left w:val="single" w:color="000000" w:sz="4" w:space="0"/>
              <w:bottom w:val="single" w:color="000000" w:sz="4" w:space="0"/>
              <w:right w:val="single" w:color="000000" w:sz="4" w:space="0"/>
            </w:tcBorders>
            <w:vAlign w:val="center"/>
          </w:tcPr>
          <w:p w14:paraId="760AFC40">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嗅异味</w:t>
            </w:r>
          </w:p>
        </w:tc>
        <w:tc>
          <w:tcPr>
            <w:tcW w:w="5741" w:type="dxa"/>
            <w:tcBorders>
              <w:top w:val="single" w:color="000000" w:sz="4" w:space="0"/>
              <w:left w:val="single" w:color="000000" w:sz="4" w:space="0"/>
              <w:bottom w:val="single" w:color="000000" w:sz="4" w:space="0"/>
              <w:right w:val="single" w:color="000000" w:sz="4" w:space="0"/>
            </w:tcBorders>
            <w:vAlign w:val="center"/>
          </w:tcPr>
          <w:p w14:paraId="5E451F69">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闻气味异常</w:t>
            </w:r>
          </w:p>
        </w:tc>
      </w:tr>
      <w:tr w14:paraId="14216360">
        <w:tblPrEx>
          <w:tblCellMar>
            <w:top w:w="0" w:type="dxa"/>
            <w:left w:w="108" w:type="dxa"/>
            <w:bottom w:w="0" w:type="dxa"/>
            <w:right w:w="108" w:type="dxa"/>
          </w:tblCellMar>
        </w:tblPrEx>
        <w:trPr>
          <w:trHeight w:val="792" w:hRule="atLeast"/>
        </w:trPr>
        <w:tc>
          <w:tcPr>
            <w:tcW w:w="1558" w:type="dxa"/>
            <w:vMerge w:val="continue"/>
            <w:tcBorders>
              <w:top w:val="single" w:color="000000" w:sz="4" w:space="0"/>
              <w:left w:val="single" w:color="000000" w:sz="4" w:space="0"/>
              <w:bottom w:val="single" w:color="000000" w:sz="4" w:space="0"/>
              <w:right w:val="single" w:color="000000" w:sz="4" w:space="0"/>
            </w:tcBorders>
            <w:vAlign w:val="center"/>
          </w:tcPr>
          <w:p w14:paraId="06EDC597">
            <w:pPr>
              <w:keepNext w:val="0"/>
              <w:keepLines w:val="0"/>
              <w:pageBreakBefore w:val="0"/>
              <w:kinsoku/>
              <w:wordWrap/>
              <w:overflowPunct/>
              <w:topLinePunct w:val="0"/>
              <w:autoSpaceDE/>
              <w:autoSpaceDN/>
              <w:bidi w:val="0"/>
              <w:jc w:val="center"/>
              <w:outlineLvl w:val="9"/>
              <w:rPr>
                <w:rFonts w:hint="eastAsia" w:ascii="仿宋" w:hAnsi="仿宋" w:eastAsia="仿宋" w:cs="仿宋"/>
                <w:i w:val="0"/>
                <w:iCs w:val="0"/>
                <w:color w:val="auto"/>
                <w:sz w:val="21"/>
                <w:szCs w:val="21"/>
                <w:highlight w:val="none"/>
                <w:u w:val="none"/>
              </w:rPr>
            </w:pPr>
          </w:p>
        </w:tc>
        <w:tc>
          <w:tcPr>
            <w:tcW w:w="1342" w:type="dxa"/>
            <w:tcBorders>
              <w:top w:val="single" w:color="000000" w:sz="4" w:space="0"/>
              <w:left w:val="single" w:color="000000" w:sz="4" w:space="0"/>
              <w:bottom w:val="single" w:color="000000" w:sz="4" w:space="0"/>
              <w:right w:val="single" w:color="000000" w:sz="4" w:space="0"/>
            </w:tcBorders>
            <w:vAlign w:val="center"/>
          </w:tcPr>
          <w:p w14:paraId="126290E6">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741" w:type="dxa"/>
            <w:tcBorders>
              <w:top w:val="single" w:color="000000" w:sz="4" w:space="0"/>
              <w:left w:val="single" w:color="000000" w:sz="4" w:space="0"/>
              <w:bottom w:val="single" w:color="000000" w:sz="4" w:space="0"/>
              <w:right w:val="single" w:color="000000" w:sz="4" w:space="0"/>
            </w:tcBorders>
            <w:vAlign w:val="center"/>
          </w:tcPr>
          <w:p w14:paraId="55FDFF08">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压力不低于30MPa；乳化液浓度3%-5%；液位计显示液面高度在液箱的三分之二以上</w:t>
            </w:r>
          </w:p>
        </w:tc>
      </w:tr>
      <w:bookmarkEnd w:id="40"/>
    </w:tbl>
    <w:p w14:paraId="2FCDA859">
      <w:pPr>
        <w:pStyle w:val="2"/>
        <w:keepNext w:val="0"/>
        <w:keepLines w:val="0"/>
        <w:pageBreakBefore w:val="0"/>
        <w:kinsoku/>
        <w:wordWrap/>
        <w:overflowPunct/>
        <w:topLinePunct w:val="0"/>
        <w:autoSpaceDE/>
        <w:autoSpaceDN/>
        <w:bidi w:val="0"/>
        <w:ind w:left="0" w:leftChars="0" w:firstLine="0" w:firstLineChars="0"/>
        <w:outlineLvl w:val="9"/>
        <w:rPr>
          <w:rFonts w:hint="eastAsia"/>
          <w:color w:val="auto"/>
        </w:rPr>
      </w:pPr>
      <w:bookmarkStart w:id="41" w:name="_Toc2319"/>
    </w:p>
    <w:p w14:paraId="2A30B75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42" w:name="_Toc24109"/>
      <w:bookmarkStart w:id="43" w:name="_Toc19724"/>
      <w:r>
        <w:rPr>
          <w:rFonts w:hint="eastAsia" w:ascii="仿宋" w:hAnsi="仿宋" w:eastAsia="仿宋" w:cs="仿宋"/>
          <w:b/>
          <w:color w:val="auto"/>
          <w:sz w:val="28"/>
          <w:szCs w:val="28"/>
          <w:highlight w:val="none"/>
        </w:rPr>
        <w:t>一、一般规定</w:t>
      </w:r>
      <w:bookmarkEnd w:id="42"/>
      <w:bookmarkEnd w:id="43"/>
    </w:p>
    <w:p w14:paraId="708E323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14:paraId="2CEBF2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14:paraId="3A0866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14:paraId="7D937F4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14:paraId="62C71B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14:paraId="358CFA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14:paraId="251EE9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14:paraId="2BF2F49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14:paraId="5BEE8D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14:paraId="494A47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14:paraId="2D06C2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14:paraId="37F945A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14:paraId="0F5F0B3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14:paraId="3F91A4D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14:paraId="51312C3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14:paraId="11BB1A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14:paraId="551AE9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（十七）在高度大于2米以上高空作业时，必须拴好安全带。</w:t>
      </w:r>
    </w:p>
    <w:p w14:paraId="7FCA13F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44" w:name="_Toc16413"/>
      <w:bookmarkStart w:id="45" w:name="_Toc16432"/>
      <w:r>
        <w:rPr>
          <w:rFonts w:hint="eastAsia" w:ascii="仿宋" w:hAnsi="仿宋" w:eastAsia="仿宋" w:cs="仿宋"/>
          <w:b/>
          <w:bCs w:val="0"/>
          <w:color w:val="auto"/>
          <w:sz w:val="28"/>
          <w:szCs w:val="28"/>
          <w:highlight w:val="none"/>
        </w:rPr>
        <w:t>二、薄弱人物排查治理办法</w:t>
      </w:r>
      <w:bookmarkEnd w:id="44"/>
      <w:bookmarkEnd w:id="45"/>
    </w:p>
    <w:p w14:paraId="4671547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46" w:name="_Toc10775"/>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bookmarkEnd w:id="46"/>
    </w:p>
    <w:p w14:paraId="4F81BDB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58AC5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53651C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1D6398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573CA4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39F0AD4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15565C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54E397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2B11F2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129D53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2CF6F7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10D18C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612C60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42E998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2A9FD7C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63F7E0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46358AC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474100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2D525AD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64C555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73BF549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bookmarkStart w:id="47" w:name="_Toc31161"/>
      <w:r>
        <w:rPr>
          <w:rFonts w:hint="eastAsia" w:ascii="仿宋" w:hAnsi="仿宋" w:eastAsia="仿宋" w:cs="仿宋"/>
          <w:b/>
          <w:bCs w:val="0"/>
          <w:color w:val="auto"/>
          <w:sz w:val="28"/>
          <w:szCs w:val="28"/>
          <w:highlight w:val="none"/>
          <w:lang w:eastAsia="zh-CN"/>
        </w:rPr>
        <w:t>（二）实施建档管理</w:t>
      </w:r>
      <w:bookmarkEnd w:id="47"/>
    </w:p>
    <w:p w14:paraId="13D6E8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434B09B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bookmarkStart w:id="48" w:name="_Toc27474"/>
      <w:r>
        <w:rPr>
          <w:rFonts w:hint="eastAsia" w:ascii="仿宋" w:hAnsi="仿宋" w:eastAsia="仿宋" w:cs="仿宋"/>
          <w:b/>
          <w:bCs w:val="0"/>
          <w:color w:val="auto"/>
          <w:sz w:val="28"/>
          <w:szCs w:val="28"/>
          <w:highlight w:val="none"/>
          <w:lang w:eastAsia="zh-CN"/>
        </w:rPr>
        <w:t>（三）具体排查方式</w:t>
      </w:r>
      <w:bookmarkEnd w:id="48"/>
    </w:p>
    <w:p w14:paraId="2F66B32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0DFD010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461173E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712C0B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74893C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3ADA82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4C151E8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49" w:name="_Toc6525"/>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bookmarkEnd w:id="49"/>
    </w:p>
    <w:p w14:paraId="73878E4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716EC5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5B00B1E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2BF317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1645FC2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15623B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52F180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349EA9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06C89D1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3B91F7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61EEA64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15088B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1E5D7A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762B38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3C0731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2B49B39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52339D6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50" w:name="_Toc9689"/>
      <w:bookmarkStart w:id="51" w:name="_Toc22732"/>
      <w:r>
        <w:rPr>
          <w:rFonts w:hint="eastAsia" w:ascii="仿宋" w:hAnsi="仿宋" w:eastAsia="仿宋" w:cs="仿宋"/>
          <w:b/>
          <w:color w:val="auto"/>
          <w:sz w:val="28"/>
          <w:szCs w:val="28"/>
          <w:highlight w:val="none"/>
        </w:rPr>
        <w:t>三、安全风险辨识与管控措施</w:t>
      </w:r>
      <w:bookmarkEnd w:id="50"/>
      <w:bookmarkEnd w:id="51"/>
    </w:p>
    <w:p w14:paraId="4AB7D9A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bookmarkStart w:id="52" w:name="_Toc1371"/>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bookmarkEnd w:id="52"/>
    </w:p>
    <w:p w14:paraId="2BB09B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风险描述：煤层自燃倾向性为Ⅰ类，属于容易自燃煤层，工作面回采和回撤期间存在自然发火风险</w:t>
      </w:r>
      <w:r>
        <w:rPr>
          <w:rFonts w:hint="eastAsia" w:ascii="仿宋" w:hAnsi="仿宋" w:eastAsia="仿宋" w:cs="仿宋"/>
          <w:color w:val="auto"/>
          <w:sz w:val="28"/>
          <w:szCs w:val="28"/>
          <w:highlight w:val="none"/>
          <w:lang w:eastAsia="zh-CN"/>
        </w:rPr>
        <w:t>。</w:t>
      </w:r>
    </w:p>
    <w:p w14:paraId="37FE92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管控措施：工作面沿煤层顶部回采，确保顶煤回采干净</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每班结束后，安排专人对架空浮煤进行清理；严格落实采空区注浆、注惰性气体、喷洒阻化剂等防火措施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加强现场监督，确保进、回风隅角封堵严实</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设置自然发火观测点，定期进行检查</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工作面停采前对工作面架后随网敷设风筒布，减少采空区漏风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定期对仪器仪表调校和鉴定，确保仪器仪表准确性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按规定安设防尘供水管路，并敷设到工作面</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保证回撤进度，工作面必须在45天内回撤结束，并进行封闭。</w:t>
      </w:r>
    </w:p>
    <w:p w14:paraId="008087A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煤尘具有爆炸性，生产作业时产尘量较大，易造成煤尘堆积，机械截割时产生摩擦火花；易发生煤尘爆炸的风险。</w:t>
      </w:r>
    </w:p>
    <w:p w14:paraId="1248E5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管控措施：定期检查工作面供水水量、水压，规范使用灭尘喷雾泵，确保水量、水压满足要求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合理调配工作面风量，符合排尘风速要求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落实工作面及皮带巷内各位喷雾降尘装置的检查维护工作，安装使用内、外喷雾装置，生产作业时开启使用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严格巷道粉尘冲刷制度，建立工作面粉尘冲刷责任牌板，做到巷道底板、两帮、设备和电缆上无积尘，巷道底板经常保持湿润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定期开展粉尘浓度检测，结合检测结果，进一步优化工作面风量供给，提高减尘、抑尘、排尘、降尘、除尘等综合防尘措施效果</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采取措施消除截割作业时，滚筒与锚杆或锚索等金属摩擦火花。杜绝明火作业、电气设备失爆等各类点火源存在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按规定安设隔爆水棚，定期对水棚进行检查，对缺水的水袋及时进行加水</w:t>
      </w:r>
      <w:r>
        <w:rPr>
          <w:rFonts w:hint="eastAsia" w:ascii="仿宋" w:hAnsi="仿宋" w:eastAsia="仿宋" w:cs="仿宋"/>
          <w:color w:val="auto"/>
          <w:sz w:val="28"/>
          <w:szCs w:val="28"/>
          <w:highlight w:val="none"/>
          <w:lang w:eastAsia="zh-CN"/>
        </w:rPr>
        <w:t>。</w:t>
      </w:r>
    </w:p>
    <w:p w14:paraId="1003A1E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bookmarkStart w:id="53" w:name="_Toc10344"/>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专用部分</w:t>
      </w:r>
      <w:bookmarkEnd w:id="53"/>
    </w:p>
    <w:p w14:paraId="699F3A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1.操作前存在的伤人风险：</w:t>
      </w:r>
    </w:p>
    <w:p w14:paraId="6756D675">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风险描述：顶板、帮部掉落矸石，存在冒顶（片帮）的风险。</w:t>
      </w:r>
    </w:p>
    <w:p w14:paraId="58945F9F">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作业前对周围巷道进行敲帮问顶工作。</w:t>
      </w:r>
    </w:p>
    <w:p w14:paraId="11DAC9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2.操作过程中存在的伤人风险：</w:t>
      </w:r>
    </w:p>
    <w:p w14:paraId="1EB8764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泵站维修、操作电气开关设备时，造成人员触电的风险</w:t>
      </w:r>
      <w:r>
        <w:rPr>
          <w:rFonts w:hint="eastAsia" w:ascii="仿宋" w:hAnsi="仿宋" w:eastAsia="仿宋" w:cs="仿宋"/>
          <w:color w:val="auto"/>
          <w:sz w:val="28"/>
          <w:szCs w:val="28"/>
          <w:highlight w:val="none"/>
        </w:rPr>
        <w:t>。</w:t>
      </w:r>
    </w:p>
    <w:p w14:paraId="6F823C2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管控措施：严禁无证岗</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严格执行好停送电制度，停电闭锁、人员监护到位</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严格按操作规程执行，进行设备验、放电</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认真检查配件及工具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电气设备保护设定值合理</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及时检查杜绝电气设备失爆</w:t>
      </w:r>
      <w:r>
        <w:rPr>
          <w:rFonts w:hint="eastAsia" w:ascii="仿宋" w:hAnsi="仿宋" w:eastAsia="仿宋" w:cs="仿宋"/>
          <w:color w:val="auto"/>
          <w:sz w:val="28"/>
          <w:szCs w:val="28"/>
          <w:highlight w:val="none"/>
          <w:lang w:eastAsia="zh-CN"/>
        </w:rPr>
        <w:t>；</w:t>
      </w:r>
    </w:p>
    <w:p w14:paraId="6E280623">
      <w:pPr>
        <w:keepNext w:val="0"/>
        <w:keepLines w:val="0"/>
        <w:pageBreakBefore w:val="0"/>
        <w:widowControl w:val="0"/>
        <w:kinsoku/>
        <w:wordWrap/>
        <w:overflowPunct/>
        <w:topLinePunct w:val="0"/>
        <w:autoSpaceDE/>
        <w:autoSpaceDN/>
        <w:bidi w:val="0"/>
        <w:spacing w:line="500" w:lineRule="exac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工作面严禁出现带电搬运</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设备信号及保护装置必须灵敏可靠。</w:t>
      </w:r>
    </w:p>
    <w:bookmarkEnd w:id="41"/>
    <w:p w14:paraId="38B6194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bookmarkStart w:id="54" w:name="_Toc30729"/>
      <w:r>
        <w:rPr>
          <w:rFonts w:hint="eastAsia" w:ascii="仿宋" w:hAnsi="仿宋" w:eastAsia="仿宋" w:cs="仿宋"/>
          <w:b w:val="0"/>
          <w:bCs w:val="0"/>
          <w:color w:val="auto"/>
          <w:sz w:val="28"/>
          <w:szCs w:val="28"/>
          <w:highlight w:val="none"/>
          <w:lang w:val="en-US" w:eastAsia="zh-CN"/>
        </w:rPr>
        <w:t>3.操作后存在的伤人风险：</w:t>
      </w:r>
    </w:p>
    <w:p w14:paraId="3D2B53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val="0"/>
          <w:bCs/>
          <w:color w:val="auto"/>
          <w:sz w:val="28"/>
          <w:szCs w:val="28"/>
          <w:highlight w:val="none"/>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泵站检修期间误操作存在机械伤害的风险。</w:t>
      </w:r>
    </w:p>
    <w:p w14:paraId="255F7E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要持证上岗；检修变压器时，确认机组周围无人方可作业；离开岗位必须停机停电；保证各种保护齐全；工具使用要符合规定。</w:t>
      </w:r>
    </w:p>
    <w:p w14:paraId="20D90D8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bookmarkStart w:id="55" w:name="_Toc19584"/>
      <w:bookmarkStart w:id="56" w:name="_Toc11341"/>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开机前检查</w:t>
      </w:r>
      <w:bookmarkEnd w:id="54"/>
      <w:bookmarkEnd w:id="55"/>
      <w:bookmarkEnd w:id="56"/>
    </w:p>
    <w:p w14:paraId="398204E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57" w:name="_Toc12200"/>
      <w:r>
        <w:rPr>
          <w:rFonts w:hint="eastAsia" w:ascii="仿宋" w:hAnsi="仿宋" w:eastAsia="仿宋" w:cs="仿宋"/>
          <w:color w:val="auto"/>
          <w:sz w:val="28"/>
          <w:szCs w:val="28"/>
          <w:highlight w:val="none"/>
        </w:rPr>
        <w:t>1.顶帮：</w:t>
      </w:r>
      <w:bookmarkEnd w:id="57"/>
      <w:r>
        <w:rPr>
          <w:rFonts w:hint="eastAsia" w:ascii="仿宋" w:hAnsi="仿宋" w:eastAsia="仿宋" w:cs="仿宋"/>
          <w:color w:val="auto"/>
          <w:sz w:val="28"/>
          <w:szCs w:val="28"/>
          <w:highlight w:val="none"/>
        </w:rPr>
        <w:t>顶帮完好，无冒顶、漏矸、无片帮现象。</w:t>
      </w:r>
    </w:p>
    <w:p w14:paraId="7A49B3CF">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rPr>
      </w:pPr>
      <w:bookmarkStart w:id="58" w:name="_Toc10594"/>
      <w:r>
        <w:rPr>
          <w:rFonts w:hint="eastAsia" w:ascii="仿宋" w:hAnsi="仿宋" w:eastAsia="仿宋" w:cs="仿宋"/>
          <w:color w:val="auto"/>
          <w:sz w:val="28"/>
          <w:szCs w:val="28"/>
          <w:highlight w:val="none"/>
        </w:rPr>
        <w:t>2.信号、照明：</w:t>
      </w:r>
      <w:bookmarkEnd w:id="58"/>
      <w:r>
        <w:rPr>
          <w:rFonts w:hint="eastAsia" w:ascii="仿宋" w:hAnsi="仿宋" w:eastAsia="仿宋" w:cs="仿宋"/>
          <w:color w:val="auto"/>
          <w:sz w:val="28"/>
          <w:szCs w:val="28"/>
          <w:highlight w:val="none"/>
        </w:rPr>
        <w:t>畅通、声音清楚，照明明亮。</w:t>
      </w:r>
    </w:p>
    <w:p w14:paraId="7FF3F7E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59" w:name="_Toc16931"/>
      <w:r>
        <w:rPr>
          <w:rFonts w:hint="eastAsia" w:ascii="仿宋" w:hAnsi="仿宋" w:eastAsia="仿宋" w:cs="仿宋"/>
          <w:color w:val="auto"/>
          <w:sz w:val="28"/>
          <w:szCs w:val="28"/>
          <w:highlight w:val="none"/>
        </w:rPr>
        <w:t>3.消防器材：</w:t>
      </w:r>
      <w:bookmarkEnd w:id="59"/>
      <w:r>
        <w:rPr>
          <w:rFonts w:hint="eastAsia" w:ascii="仿宋" w:hAnsi="仿宋" w:eastAsia="仿宋" w:cs="仿宋"/>
          <w:color w:val="auto"/>
          <w:sz w:val="28"/>
          <w:szCs w:val="28"/>
          <w:highlight w:val="none"/>
        </w:rPr>
        <w:t>齐全、完好。干式灭火器灭火器2个（在有效期内），沙箱沙量充足（不小于0.2立方米)，沙袋若干，有消防锨2把，有消防铲2把，消防桶2只，齐全完好并上架。</w:t>
      </w:r>
    </w:p>
    <w:p w14:paraId="4D788699">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二</w:t>
      </w:r>
      <w:r>
        <w:rPr>
          <w:rFonts w:hint="eastAsia" w:ascii="仿宋" w:hAnsi="仿宋" w:eastAsia="仿宋" w:cs="仿宋"/>
          <w:b/>
          <w:color w:val="auto"/>
          <w:sz w:val="28"/>
          <w:szCs w:val="28"/>
          <w:highlight w:val="none"/>
          <w:lang w:eastAsia="zh-CN"/>
        </w:rPr>
        <w:t>）单元检查表确认：</w:t>
      </w:r>
      <w:r>
        <w:rPr>
          <w:rFonts w:hint="eastAsia" w:ascii="仿宋" w:hAnsi="仿宋" w:eastAsia="仿宋" w:cs="仿宋"/>
          <w:color w:val="auto"/>
          <w:sz w:val="28"/>
          <w:szCs w:val="28"/>
          <w:highlight w:val="none"/>
        </w:rPr>
        <w:t xml:space="preserve"> </w:t>
      </w:r>
    </w:p>
    <w:p w14:paraId="6411BB00">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水管、自动配比装置：水管接头连接牢固、自动配液装置能正常使用。</w:t>
      </w:r>
    </w:p>
    <w:p w14:paraId="17F75B30">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液位、浓度：液位计显示液面高度在液箱的三分之二以上；乳化液配比浓度在3%—5%之间。</w:t>
      </w:r>
    </w:p>
    <w:p w14:paraId="61D18F43">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电机、联轴节、护罩：电机：电机完好。联轴节：联轴节转动灵活；护罩：固定牢靠</w:t>
      </w:r>
      <w:r>
        <w:rPr>
          <w:rFonts w:hint="eastAsia" w:ascii="仿宋" w:hAnsi="仿宋" w:eastAsia="仿宋" w:cs="仿宋"/>
          <w:color w:val="auto"/>
          <w:sz w:val="28"/>
          <w:szCs w:val="28"/>
          <w:highlight w:val="none"/>
          <w:lang w:eastAsia="zh-CN"/>
        </w:rPr>
        <w:t>。</w:t>
      </w:r>
    </w:p>
    <w:p w14:paraId="4E5F9828">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密封、油质、油量、泵头、曲轴箱油位：密封：完好无漏油；</w:t>
      </w:r>
    </w:p>
    <w:p w14:paraId="7382669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油质：无杂质，润滑良好；泵头及油量：泵头转动灵活，油池和油量充足清洁，柱塞上无油膜，润滑良好；曲轴箱的油位不低于最底刻度线，密封良好无漏油现象。</w:t>
      </w:r>
    </w:p>
    <w:p w14:paraId="5456EB3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液压管路：液压管路连接牢固，泵站至工作面的管路接头连接牢靠无渗漏。</w:t>
      </w:r>
    </w:p>
    <w:p w14:paraId="2FB4747C">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截止阀、压力表、箱体：乳化液箱完好不漏液；压力表指针灵活，无破损；截止阀的手柄灵敏可靠，吸液阀、手动卸载阀及工作面回液阀在开启位置，向工作面供液的截止阀在关闭位置。</w:t>
      </w:r>
    </w:p>
    <w:p w14:paraId="00B95767">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60" w:name="_Toc25133"/>
      <w:bookmarkStart w:id="61" w:name="_Toc28422"/>
      <w:bookmarkStart w:id="62" w:name="_Toc21650"/>
      <w:r>
        <w:rPr>
          <w:rFonts w:hint="eastAsia" w:ascii="仿宋" w:hAnsi="仿宋" w:eastAsia="仿宋" w:cs="仿宋"/>
          <w:b/>
          <w:color w:val="auto"/>
          <w:sz w:val="28"/>
          <w:szCs w:val="28"/>
          <w:highlight w:val="none"/>
        </w:rPr>
        <w:t>五、乳化泵司机正规操作</w:t>
      </w:r>
      <w:bookmarkEnd w:id="60"/>
      <w:bookmarkEnd w:id="61"/>
      <w:bookmarkEnd w:id="62"/>
    </w:p>
    <w:p w14:paraId="41F9CFD5">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63" w:name="_Toc10264"/>
      <w:bookmarkStart w:id="64" w:name="_Toc24121"/>
      <w:r>
        <w:rPr>
          <w:rFonts w:hint="eastAsia" w:ascii="仿宋" w:hAnsi="仿宋" w:eastAsia="仿宋" w:cs="仿宋"/>
          <w:b/>
          <w:color w:val="auto"/>
          <w:sz w:val="28"/>
          <w:szCs w:val="28"/>
          <w:highlight w:val="none"/>
        </w:rPr>
        <w:t>（一）乳化泵司机操作顺序：</w:t>
      </w:r>
      <w:bookmarkEnd w:id="63"/>
      <w:bookmarkEnd w:id="64"/>
    </w:p>
    <w:p w14:paraId="3749F1A3">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试运转→检查处理问题→正式启动→运转→停机。</w:t>
      </w:r>
    </w:p>
    <w:p w14:paraId="24F9C808">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65" w:name="_Toc10760"/>
      <w:bookmarkStart w:id="66" w:name="_Toc3622"/>
      <w:r>
        <w:rPr>
          <w:rFonts w:hint="eastAsia" w:ascii="仿宋" w:hAnsi="仿宋" w:eastAsia="仿宋" w:cs="仿宋"/>
          <w:b/>
          <w:color w:val="auto"/>
          <w:sz w:val="28"/>
          <w:szCs w:val="28"/>
          <w:highlight w:val="none"/>
        </w:rPr>
        <w:t>（二）乳化泵司机正规操作：</w:t>
      </w:r>
      <w:bookmarkEnd w:id="65"/>
      <w:bookmarkEnd w:id="66"/>
    </w:p>
    <w:p w14:paraId="20B8C090">
      <w:pPr>
        <w:keepNext w:val="0"/>
        <w:keepLines w:val="0"/>
        <w:pageBreakBefore w:val="0"/>
        <w:widowControl w:val="0"/>
        <w:kinsoku/>
        <w:wordWrap/>
        <w:overflowPunct/>
        <w:topLinePunct w:val="0"/>
        <w:autoSpaceDE/>
        <w:autoSpaceDN/>
        <w:bidi w:val="0"/>
        <w:spacing w:line="460" w:lineRule="exact"/>
        <w:ind w:firstLine="560" w:firstLineChars="200"/>
        <w:textAlignment w:val="auto"/>
        <w:outlineLvl w:val="9"/>
        <w:rPr>
          <w:rFonts w:hint="eastAsia" w:ascii="仿宋" w:hAnsi="仿宋" w:eastAsia="仿宋" w:cs="仿宋"/>
          <w:b/>
          <w:color w:val="auto"/>
          <w:sz w:val="40"/>
          <w:szCs w:val="28"/>
          <w:highlight w:val="none"/>
        </w:rPr>
      </w:pPr>
      <w:r>
        <w:rPr>
          <w:rFonts w:hint="eastAsia" w:ascii="仿宋" w:hAnsi="仿宋" w:eastAsia="仿宋" w:cs="仿宋"/>
          <w:color w:val="auto"/>
          <w:sz w:val="28"/>
          <w:szCs w:val="28"/>
          <w:highlight w:val="none"/>
        </w:rPr>
        <w:t>1.试运转：开泵前必须发出开泵信号，</w:t>
      </w:r>
      <w:r>
        <w:rPr>
          <w:rFonts w:hint="eastAsia" w:ascii="仿宋" w:hAnsi="仿宋" w:eastAsia="仿宋" w:cs="仿宋"/>
          <w:color w:val="auto"/>
          <w:sz w:val="28"/>
          <w:highlight w:val="none"/>
        </w:rPr>
        <w:t>启动电动机，慢慢关闭手动卸载阀，使泵压逐渐升到3</w:t>
      </w:r>
      <w:r>
        <w:rPr>
          <w:rFonts w:hint="eastAsia" w:ascii="仿宋" w:hAnsi="仿宋" w:eastAsia="仿宋" w:cs="仿宋"/>
          <w:color w:val="auto"/>
          <w:sz w:val="28"/>
          <w:highlight w:val="none"/>
          <w:lang w:val="en-US" w:eastAsia="zh-CN"/>
        </w:rPr>
        <w:t>0</w:t>
      </w:r>
      <w:r>
        <w:rPr>
          <w:rFonts w:hint="eastAsia" w:ascii="仿宋" w:hAnsi="仿宋" w:eastAsia="仿宋" w:cs="仿宋"/>
          <w:color w:val="auto"/>
          <w:sz w:val="28"/>
          <w:highlight w:val="none"/>
        </w:rPr>
        <w:t>MPa。</w:t>
      </w:r>
    </w:p>
    <w:p w14:paraId="4957F69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2.检查处理问题: </w:t>
      </w:r>
    </w:p>
    <w:p w14:paraId="7A1DD1D2">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发现下列情况之一时，应立即停泵检查处理：</w:t>
      </w:r>
    </w:p>
    <w:p w14:paraId="20B9D31F">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①异声异味。</w:t>
      </w:r>
    </w:p>
    <w:p w14:paraId="36F82C3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②温度超过规定。</w:t>
      </w:r>
    </w:p>
    <w:p w14:paraId="4670D68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③压力表指示压力不正常。</w:t>
      </w:r>
    </w:p>
    <w:p w14:paraId="655E58F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④自动配液装置起动不正常。</w:t>
      </w:r>
    </w:p>
    <w:p w14:paraId="1986C2A8">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⑤控制阀失效、失控。</w:t>
      </w:r>
    </w:p>
    <w:p w14:paraId="056D5BF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⑥过滤器损坏或被堵不能过滤。</w:t>
      </w:r>
    </w:p>
    <w:p w14:paraId="1C2D3D0D">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⑦供液管路破裂、脱开，大量泄液。</w:t>
      </w:r>
    </w:p>
    <w:p w14:paraId="48E1ABB2">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highlight w:val="none"/>
          <w:lang w:val="en-US" w:eastAsia="zh-CN"/>
        </w:rPr>
      </w:pPr>
      <w:r>
        <w:rPr>
          <w:rFonts w:hint="eastAsia" w:ascii="仿宋" w:hAnsi="仿宋" w:eastAsia="仿宋" w:cs="仿宋"/>
          <w:color w:val="auto"/>
          <w:sz w:val="28"/>
          <w:szCs w:val="28"/>
          <w:highlight w:val="none"/>
        </w:rPr>
        <w:t>3.正式启动：发出信号得到回应后,起动电动机,慢慢打开截止阀，向工作面供液，供液压力不小于</w:t>
      </w:r>
      <w:r>
        <w:rPr>
          <w:rFonts w:hint="eastAsia" w:ascii="仿宋" w:hAnsi="仿宋" w:eastAsia="仿宋" w:cs="仿宋"/>
          <w:color w:val="auto"/>
          <w:sz w:val="28"/>
          <w:highlight w:val="none"/>
          <w:lang w:val="en-US" w:eastAsia="zh-CN"/>
        </w:rPr>
        <w:t>30MPa。</w:t>
      </w:r>
    </w:p>
    <w:p w14:paraId="1F99E292">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4.运转：运转过程中应注意观察各种仪表的显示情况，机器声音、温度是否正常，乳化液箱是否平稳、液位保持在规定范围内、液面无污染物，柱塞是否润滑，密封是否良好。发现问题，应立即停泵。</w:t>
      </w:r>
    </w:p>
    <w:p w14:paraId="0A08DC93">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停机：向集控司机发出停机信号，由集控司机停止乳化泵运转。</w:t>
      </w:r>
    </w:p>
    <w:p w14:paraId="07F3B1D1">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67" w:name="_Toc17169"/>
      <w:bookmarkStart w:id="68" w:name="_Toc30431"/>
      <w:bookmarkStart w:id="69" w:name="_Toc24880"/>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、乳化泵司机操作过程中的安全注意事项：</w:t>
      </w:r>
      <w:bookmarkEnd w:id="67"/>
      <w:bookmarkEnd w:id="68"/>
      <w:bookmarkEnd w:id="69"/>
    </w:p>
    <w:p w14:paraId="716F7281">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周围有无人员、异物</w:t>
      </w:r>
      <w:r>
        <w:rPr>
          <w:rFonts w:hint="eastAsia" w:ascii="仿宋" w:hAnsi="仿宋" w:eastAsia="仿宋" w:cs="仿宋"/>
          <w:color w:val="auto"/>
          <w:kern w:val="0"/>
          <w:sz w:val="28"/>
          <w:szCs w:val="28"/>
          <w:highlight w:val="none"/>
          <w:lang w:eastAsia="zh-CN"/>
        </w:rPr>
        <w:t>。</w:t>
      </w:r>
    </w:p>
    <w:p w14:paraId="61D434AA">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听信号：</w:t>
      </w:r>
      <w:r>
        <w:rPr>
          <w:rFonts w:hint="eastAsia" w:ascii="仿宋" w:hAnsi="仿宋" w:eastAsia="仿宋" w:cs="仿宋"/>
          <w:color w:val="auto"/>
          <w:kern w:val="0"/>
          <w:sz w:val="28"/>
          <w:szCs w:val="28"/>
          <w:highlight w:val="none"/>
        </w:rPr>
        <w:t>发出的开、停泵信号</w:t>
      </w:r>
      <w:r>
        <w:rPr>
          <w:rFonts w:hint="eastAsia" w:ascii="仿宋" w:hAnsi="仿宋" w:eastAsia="仿宋" w:cs="仿宋"/>
          <w:color w:val="auto"/>
          <w:kern w:val="0"/>
          <w:sz w:val="28"/>
          <w:szCs w:val="28"/>
          <w:highlight w:val="none"/>
          <w:lang w:eastAsia="zh-CN"/>
        </w:rPr>
        <w:t>。</w:t>
      </w:r>
    </w:p>
    <w:p w14:paraId="55005CBB">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w:t>
      </w:r>
      <w:r>
        <w:rPr>
          <w:rFonts w:hint="eastAsia" w:ascii="仿宋" w:hAnsi="仿宋" w:eastAsia="仿宋" w:cs="仿宋"/>
          <w:color w:val="auto"/>
          <w:kern w:val="0"/>
          <w:sz w:val="28"/>
          <w:szCs w:val="28"/>
          <w:highlight w:val="none"/>
        </w:rPr>
        <w:t>液压管路、乳化泵等异常声音</w:t>
      </w:r>
      <w:r>
        <w:rPr>
          <w:rFonts w:hint="eastAsia" w:ascii="仿宋" w:hAnsi="仿宋" w:eastAsia="仿宋" w:cs="仿宋"/>
          <w:color w:val="auto"/>
          <w:kern w:val="0"/>
          <w:sz w:val="28"/>
          <w:szCs w:val="28"/>
          <w:highlight w:val="none"/>
          <w:lang w:eastAsia="zh-CN"/>
        </w:rPr>
        <w:t>。</w:t>
      </w:r>
    </w:p>
    <w:p w14:paraId="5999D330">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4</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嗅异味：</w:t>
      </w:r>
      <w:r>
        <w:rPr>
          <w:rFonts w:hint="eastAsia" w:ascii="仿宋" w:hAnsi="仿宋" w:eastAsia="仿宋" w:cs="仿宋"/>
          <w:color w:val="auto"/>
          <w:kern w:val="0"/>
          <w:sz w:val="28"/>
          <w:szCs w:val="28"/>
          <w:highlight w:val="none"/>
        </w:rPr>
        <w:t>闻气味异常</w:t>
      </w:r>
      <w:r>
        <w:rPr>
          <w:rFonts w:hint="eastAsia" w:ascii="仿宋" w:hAnsi="仿宋" w:eastAsia="仿宋" w:cs="仿宋"/>
          <w:color w:val="auto"/>
          <w:kern w:val="0"/>
          <w:sz w:val="28"/>
          <w:szCs w:val="28"/>
          <w:highlight w:val="none"/>
          <w:lang w:eastAsia="zh-CN"/>
        </w:rPr>
        <w:t>。</w:t>
      </w:r>
    </w:p>
    <w:p w14:paraId="4F6A411D">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5</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rPr>
        <w:t>压力不低于</w:t>
      </w:r>
      <w:r>
        <w:rPr>
          <w:rFonts w:hint="eastAsia" w:ascii="仿宋" w:hAnsi="仿宋" w:eastAsia="仿宋" w:cs="仿宋"/>
          <w:color w:val="auto"/>
          <w:kern w:val="0"/>
          <w:sz w:val="28"/>
          <w:szCs w:val="28"/>
          <w:highlight w:val="none"/>
          <w:lang w:val="en-US" w:eastAsia="zh-CN"/>
        </w:rPr>
        <w:t>30</w:t>
      </w:r>
      <w:r>
        <w:rPr>
          <w:rFonts w:hint="eastAsia" w:ascii="仿宋" w:hAnsi="仿宋" w:eastAsia="仿宋" w:cs="仿宋"/>
          <w:color w:val="auto"/>
          <w:kern w:val="0"/>
          <w:sz w:val="28"/>
          <w:szCs w:val="28"/>
          <w:highlight w:val="none"/>
        </w:rPr>
        <w:t>MPa；乳化液浓度3%-5%</w:t>
      </w:r>
      <w:r>
        <w:rPr>
          <w:rFonts w:hint="eastAsia" w:ascii="仿宋" w:hAnsi="仿宋" w:eastAsia="仿宋" w:cs="仿宋"/>
          <w:color w:val="auto"/>
          <w:kern w:val="0"/>
          <w:sz w:val="28"/>
          <w:szCs w:val="28"/>
          <w:highlight w:val="none"/>
          <w:lang w:eastAsia="zh-CN"/>
        </w:rPr>
        <w:t>。</w:t>
      </w:r>
    </w:p>
    <w:p w14:paraId="4095545F">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bookmarkStart w:id="70" w:name="_Toc13083"/>
      <w:bookmarkStart w:id="71" w:name="_Toc7340"/>
      <w:bookmarkStart w:id="72" w:name="_Toc16376"/>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全部注意事项</w:t>
      </w:r>
      <w:bookmarkEnd w:id="70"/>
      <w:bookmarkEnd w:id="71"/>
      <w:bookmarkEnd w:id="72"/>
    </w:p>
    <w:p w14:paraId="4C68386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1.检修泵站必须停泵；修理、更换主要供液管路时必须关闭主管路截止阀，不得在井下拆检各种压力控制元件，严禁带压更换液压件。</w:t>
      </w:r>
    </w:p>
    <w:p w14:paraId="260058C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2.严禁擅自打开卸载阀、安全阀等部位的铅封和调整部件的动作压力。</w:t>
      </w:r>
    </w:p>
    <w:p w14:paraId="2B69C5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在正常情况下，严禁关闭泵站的回液截止阀。</w:t>
      </w:r>
    </w:p>
    <w:p w14:paraId="03BF68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过程中应注意观察各种仪表的显示情况，机器声音、温度是否正常，乳化液箱是否平稳、液位保持在规定范围内、液面无污染物，柱塞是否润滑，密封是否良好。发现问题，应及时与工作面联系，停泵处理。</w:t>
      </w:r>
    </w:p>
    <w:p w14:paraId="4CC723F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发现下列情况之一时，应立即停泵：</w:t>
      </w:r>
    </w:p>
    <w:p w14:paraId="7F27552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（1）异声异味。</w:t>
      </w:r>
    </w:p>
    <w:p w14:paraId="43171145">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（2）温度超过规定。</w:t>
      </w:r>
    </w:p>
    <w:p w14:paraId="52E5702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（3）压力表指示压力不正常。</w:t>
      </w:r>
    </w:p>
    <w:p w14:paraId="737942BF">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（4）自动配液装置起动不正常。</w:t>
      </w:r>
    </w:p>
    <w:p w14:paraId="1D98E60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（5）控制阀失效、失控。</w:t>
      </w:r>
    </w:p>
    <w:p w14:paraId="1ECFF01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（6）过滤器损坏或被堵不能过滤。</w:t>
      </w:r>
    </w:p>
    <w:p w14:paraId="04588EC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（7）供液管路破裂、脱开，大量泄液。</w:t>
      </w:r>
    </w:p>
    <w:p w14:paraId="468E828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5.发现乳化液泵和乳化液箱处于非水平稳固状态、乳化液箱位置高出泵体不足100毫米或无备用泵时，应立即汇报、调整、处理。</w:t>
      </w:r>
    </w:p>
    <w:p w14:paraId="4F7D0F08">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6.开关、电动机、按钮、接线盒等电气设备无法避开淋水时，必须妥善遮盖。</w:t>
      </w:r>
    </w:p>
    <w:p w14:paraId="188AEDE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7.泵站需加油时,采用同一牌号、同一厂家生产的乳化油配制乳化液,要专桶专用，使用自动配液器配液。</w:t>
      </w:r>
    </w:p>
    <w:p w14:paraId="57D87BA6">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highlight w:val="none"/>
        </w:rPr>
      </w:pPr>
      <w:r>
        <w:rPr>
          <w:rFonts w:hint="eastAsia" w:ascii="仿宋" w:hAnsi="仿宋" w:eastAsia="仿宋" w:cs="仿宋"/>
          <w:color w:val="auto"/>
          <w:sz w:val="28"/>
          <w:highlight w:val="none"/>
        </w:rPr>
        <w:t>8</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rPr>
        <w:t>当乳化液箱中液位低于规定下限时，泵站自动配液装置应起动配液；配液时应把乳化油掺倒在水中，禁止把水掺倒在乳化油中。每次配液后，都要用折射仪检验乳化液的浓度，不符合规定时再进行调配，直到合格为止。</w:t>
      </w:r>
    </w:p>
    <w:p w14:paraId="5AF23F63">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highlight w:val="none"/>
        </w:rPr>
      </w:pPr>
      <w:r>
        <w:rPr>
          <w:rFonts w:hint="eastAsia" w:ascii="仿宋" w:hAnsi="仿宋" w:eastAsia="仿宋" w:cs="仿宋"/>
          <w:color w:val="auto"/>
          <w:sz w:val="28"/>
          <w:highlight w:val="none"/>
        </w:rPr>
        <w:t>9</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rPr>
        <w:t>事故停泵和收工停泵时都应首先打开手动卸载阀，使泵空载运行，然后关闭高压供液阀和泵的吸液阀，再按泵的停止按钮，将控制开关手把扳到断电位置，并切断电源。除接触器触头粘住时可用隔离开关停泵外，其他情况下只许用按钮停泵。</w:t>
      </w:r>
    </w:p>
    <w:p w14:paraId="707DB3CC">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73" w:name="_Toc7953"/>
      <w:bookmarkStart w:id="74" w:name="_Toc30033"/>
      <w:bookmarkStart w:id="75" w:name="_Toc7191"/>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、停机后确认</w:t>
      </w:r>
      <w:bookmarkEnd w:id="73"/>
      <w:bookmarkEnd w:id="74"/>
      <w:bookmarkEnd w:id="75"/>
    </w:p>
    <w:p w14:paraId="6FA99388">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rPr>
      </w:pPr>
      <w:bookmarkStart w:id="76" w:name="_Toc17925"/>
      <w:r>
        <w:rPr>
          <w:rFonts w:hint="eastAsia" w:ascii="仿宋" w:hAnsi="仿宋" w:eastAsia="仿宋" w:cs="仿宋"/>
          <w:color w:val="auto"/>
          <w:sz w:val="28"/>
          <w:szCs w:val="28"/>
          <w:highlight w:val="none"/>
        </w:rPr>
        <w:t>1.停电闭锁：</w:t>
      </w:r>
      <w:bookmarkEnd w:id="76"/>
      <w:r>
        <w:rPr>
          <w:rFonts w:hint="eastAsia" w:ascii="仿宋" w:hAnsi="仿宋" w:eastAsia="仿宋" w:cs="仿宋"/>
          <w:color w:val="auto"/>
          <w:sz w:val="28"/>
          <w:szCs w:val="28"/>
          <w:highlight w:val="none"/>
        </w:rPr>
        <w:t>已闭锁</w:t>
      </w:r>
    </w:p>
    <w:p w14:paraId="645A38E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77" w:name="_Toc27169"/>
      <w:r>
        <w:rPr>
          <w:rFonts w:hint="eastAsia" w:ascii="仿宋" w:hAnsi="仿宋" w:eastAsia="仿宋" w:cs="仿宋"/>
          <w:color w:val="auto"/>
          <w:sz w:val="28"/>
          <w:szCs w:val="28"/>
          <w:highlight w:val="none"/>
        </w:rPr>
        <w:t>2.控制阀：</w:t>
      </w:r>
      <w:bookmarkEnd w:id="77"/>
      <w:r>
        <w:rPr>
          <w:rFonts w:hint="eastAsia" w:ascii="仿宋" w:hAnsi="仿宋" w:eastAsia="仿宋" w:cs="仿宋"/>
          <w:color w:val="auto"/>
          <w:sz w:val="28"/>
          <w:szCs w:val="28"/>
          <w:highlight w:val="none"/>
        </w:rPr>
        <w:t>已关闭</w:t>
      </w:r>
    </w:p>
    <w:p w14:paraId="7F7E8697">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78" w:name="_Toc12996"/>
      <w:bookmarkStart w:id="79" w:name="_Toc16855"/>
      <w:bookmarkStart w:id="80" w:name="_Toc73"/>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、事故案例教育</w:t>
      </w:r>
      <w:bookmarkEnd w:id="78"/>
      <w:bookmarkEnd w:id="79"/>
      <w:bookmarkEnd w:id="80"/>
    </w:p>
    <w:p w14:paraId="334DDE82">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81" w:name="_Toc453"/>
      <w:bookmarkStart w:id="82" w:name="_Toc15895"/>
      <w:r>
        <w:rPr>
          <w:rFonts w:hint="eastAsia" w:ascii="仿宋" w:hAnsi="仿宋" w:eastAsia="仿宋" w:cs="仿宋"/>
          <w:color w:val="auto"/>
          <w:sz w:val="28"/>
          <w:szCs w:val="28"/>
          <w:highlight w:val="none"/>
        </w:rPr>
        <w:t>（一）事故经过</w:t>
      </w:r>
      <w:bookmarkEnd w:id="81"/>
      <w:bookmarkEnd w:id="82"/>
    </w:p>
    <w:p w14:paraId="4CA2C0D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2011年8月20日夜班4时左右，某矿1233综采工作面维修工王某更换完43#液压支架上立柱液压管后，进行升柱送液试验，因送液管连接不当，接头鼓开，液压管打在维修工王某的右脸部，造成鼻子多处骨折，泪小管、鼻泪管断裂，颅底骨折，脑挫裂伤。</w:t>
      </w:r>
    </w:p>
    <w:p w14:paraId="0EA0547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83" w:name="_Toc20538"/>
      <w:bookmarkStart w:id="84" w:name="_Toc29500"/>
      <w:r>
        <w:rPr>
          <w:rFonts w:hint="eastAsia" w:ascii="仿宋" w:hAnsi="仿宋" w:eastAsia="仿宋" w:cs="仿宋"/>
          <w:color w:val="auto"/>
          <w:sz w:val="28"/>
          <w:szCs w:val="28"/>
          <w:highlight w:val="none"/>
        </w:rPr>
        <w:t>（二）事故原因</w:t>
      </w:r>
      <w:bookmarkEnd w:id="83"/>
      <w:bookmarkEnd w:id="84"/>
    </w:p>
    <w:p w14:paraId="6934B742">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05B81FCF">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维修工王某操作不规范，在未接好液压管接头的情况下进行升柱试验，致使接头鼓开，是造成事故发生的直接原因。</w:t>
      </w:r>
    </w:p>
    <w:p w14:paraId="08CEC01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641F8962">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（1）王某自主保安意识差，精力不集中，站位不当。</w:t>
      </w:r>
    </w:p>
    <w:p w14:paraId="30828101">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（2）工区跟班区长对现场薄弱环节未能引起足够重视，敏感心不强，现场安全管理不到位，跟班安监员现场安全监督不到位。</w:t>
      </w:r>
    </w:p>
    <w:p w14:paraId="0CB8127C">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（3）工区值班区长工作安排不细致，也是造成事故发生的间接原因。</w:t>
      </w:r>
    </w:p>
    <w:p w14:paraId="5D4CABE8">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85" w:name="_Toc14269"/>
      <w:bookmarkStart w:id="86" w:name="_Toc16409"/>
      <w:r>
        <w:rPr>
          <w:rFonts w:hint="eastAsia" w:ascii="仿宋" w:hAnsi="仿宋" w:eastAsia="仿宋" w:cs="仿宋"/>
          <w:color w:val="auto"/>
          <w:sz w:val="28"/>
          <w:szCs w:val="28"/>
          <w:highlight w:val="none"/>
        </w:rPr>
        <w:t>（三）防范措施</w:t>
      </w:r>
      <w:bookmarkEnd w:id="85"/>
      <w:bookmarkEnd w:id="86"/>
      <w:r>
        <w:rPr>
          <w:rFonts w:hint="eastAsia" w:ascii="仿宋" w:hAnsi="仿宋" w:eastAsia="仿宋" w:cs="仿宋"/>
          <w:color w:val="auto"/>
          <w:sz w:val="28"/>
          <w:szCs w:val="28"/>
          <w:highlight w:val="none"/>
        </w:rPr>
        <w:t xml:space="preserve"> </w:t>
      </w:r>
    </w:p>
    <w:p w14:paraId="75552AC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现场维修工，要加强工作落实，规范操作，在维修前、维修时及维修后，都要在确认现场安全的情况下，方能进行操作。</w:t>
      </w:r>
    </w:p>
    <w:p w14:paraId="36A9EFF2">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合理站位，不得站在液压管路附近可能打伤的位置。</w:t>
      </w:r>
    </w:p>
    <w:p w14:paraId="3FF2E7B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安全技术操作规程》规定“在拆卸或更换安全阀、液压阀及高压软管时，应在各有关液压缸卸载后进行，液压件装配时，必须用乳化液冲洗干净，并注意有关零部件相互配合的密封面，防止因未连接牢固而伤人。”</w:t>
      </w:r>
    </w:p>
    <w:p w14:paraId="6639876C">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87" w:name="_Toc22907"/>
      <w:bookmarkStart w:id="88" w:name="_Toc17164"/>
      <w:bookmarkStart w:id="89" w:name="_Toc8918"/>
      <w:r>
        <w:rPr>
          <w:rFonts w:hint="eastAsia" w:ascii="仿宋" w:hAnsi="仿宋" w:eastAsia="仿宋" w:cs="仿宋"/>
          <w:b/>
          <w:color w:val="auto"/>
          <w:sz w:val="28"/>
          <w:szCs w:val="28"/>
          <w:highlight w:val="none"/>
          <w:lang w:val="en-US" w:eastAsia="zh-CN"/>
        </w:rPr>
        <w:t>十</w:t>
      </w:r>
      <w:r>
        <w:rPr>
          <w:rFonts w:hint="eastAsia" w:ascii="仿宋" w:hAnsi="仿宋" w:eastAsia="仿宋" w:cs="仿宋"/>
          <w:b/>
          <w:color w:val="auto"/>
          <w:sz w:val="28"/>
          <w:szCs w:val="28"/>
          <w:highlight w:val="none"/>
        </w:rPr>
        <w:t>、常见三违</w:t>
      </w:r>
      <w:bookmarkEnd w:id="87"/>
      <w:bookmarkEnd w:id="88"/>
      <w:bookmarkEnd w:id="89"/>
    </w:p>
    <w:p w14:paraId="76E2659B">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采煤面泵站司机对乳化液配比浓度达不到3%-5%的</w:t>
      </w:r>
      <w:r>
        <w:rPr>
          <w:rFonts w:hint="eastAsia" w:ascii="仿宋" w:hAnsi="仿宋" w:eastAsia="仿宋" w:cs="仿宋"/>
          <w:color w:val="auto"/>
          <w:sz w:val="28"/>
          <w:szCs w:val="28"/>
          <w:highlight w:val="none"/>
          <w:lang w:eastAsia="zh-CN"/>
        </w:rPr>
        <w:t>；</w:t>
      </w:r>
    </w:p>
    <w:p w14:paraId="373A3B0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乳化液泵和液压系统不完好漏液、漏油或缺油</w:t>
      </w:r>
      <w:r>
        <w:rPr>
          <w:rFonts w:hint="eastAsia" w:ascii="仿宋" w:hAnsi="仿宋" w:eastAsia="仿宋" w:cs="仿宋"/>
          <w:color w:val="auto"/>
          <w:sz w:val="28"/>
          <w:szCs w:val="28"/>
          <w:highlight w:val="none"/>
          <w:lang w:eastAsia="zh-CN"/>
        </w:rPr>
        <w:t>；</w:t>
      </w:r>
    </w:p>
    <w:p w14:paraId="0C6CEBDC">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（三）采煤工作面乳化液泵站，压力达不到30MPa的。</w:t>
      </w:r>
    </w:p>
    <w:p w14:paraId="16E3F61D">
      <w:pPr>
        <w:rPr>
          <w:rFonts w:hint="eastAsia" w:ascii="仿宋" w:hAnsi="仿宋" w:eastAsia="仿宋" w:cs="仿宋"/>
          <w:b/>
          <w:color w:val="auto"/>
          <w:sz w:val="36"/>
          <w:szCs w:val="36"/>
          <w:highlight w:val="none"/>
        </w:rPr>
      </w:pPr>
      <w:bookmarkStart w:id="90" w:name="_Toc13314"/>
      <w:bookmarkStart w:id="91" w:name="_Toc984"/>
      <w:bookmarkStart w:id="92" w:name="_Toc23914"/>
      <w:bookmarkStart w:id="93" w:name="_Toc17943"/>
      <w:bookmarkStart w:id="94" w:name="_Toc8617"/>
      <w:r>
        <w:rPr>
          <w:rFonts w:hint="eastAsia" w:ascii="仿宋" w:hAnsi="仿宋" w:eastAsia="仿宋" w:cs="仿宋"/>
          <w:b/>
          <w:color w:val="auto"/>
          <w:sz w:val="36"/>
          <w:szCs w:val="36"/>
          <w:highlight w:val="none"/>
        </w:rPr>
        <w:br w:type="page"/>
      </w:r>
    </w:p>
    <w:p w14:paraId="1E16D66D">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rPr>
      </w:pPr>
      <w:bookmarkStart w:id="95" w:name="_Toc23948"/>
      <w:r>
        <w:rPr>
          <w:rFonts w:hint="eastAsia" w:ascii="仿宋" w:hAnsi="仿宋" w:eastAsia="仿宋" w:cs="仿宋"/>
          <w:b/>
          <w:color w:val="auto"/>
          <w:sz w:val="36"/>
          <w:szCs w:val="36"/>
          <w:highlight w:val="none"/>
        </w:rPr>
        <w:t>输送机司机</w:t>
      </w:r>
      <w:bookmarkEnd w:id="90"/>
      <w:bookmarkEnd w:id="91"/>
      <w:bookmarkEnd w:id="92"/>
      <w:bookmarkEnd w:id="93"/>
      <w:bookmarkEnd w:id="94"/>
      <w:bookmarkEnd w:id="95"/>
    </w:p>
    <w:tbl>
      <w:tblPr>
        <w:tblStyle w:val="12"/>
        <w:tblW w:w="8854" w:type="dxa"/>
        <w:tblInd w:w="0" w:type="dxa"/>
        <w:tblLayout w:type="fixed"/>
        <w:tblCellMar>
          <w:top w:w="0" w:type="dxa"/>
          <w:left w:w="108" w:type="dxa"/>
          <w:bottom w:w="0" w:type="dxa"/>
          <w:right w:w="108" w:type="dxa"/>
        </w:tblCellMar>
      </w:tblPr>
      <w:tblGrid>
        <w:gridCol w:w="94"/>
        <w:gridCol w:w="812"/>
        <w:gridCol w:w="3544"/>
        <w:gridCol w:w="11"/>
        <w:gridCol w:w="800"/>
        <w:gridCol w:w="3579"/>
        <w:gridCol w:w="14"/>
      </w:tblGrid>
      <w:tr w14:paraId="699C02C9">
        <w:tblPrEx>
          <w:tblCellMar>
            <w:top w:w="0" w:type="dxa"/>
            <w:left w:w="108" w:type="dxa"/>
            <w:bottom w:w="0" w:type="dxa"/>
            <w:right w:w="108" w:type="dxa"/>
          </w:tblCellMar>
        </w:tblPrEx>
        <w:trPr>
          <w:gridBefore w:val="1"/>
          <w:wBefore w:w="94" w:type="dxa"/>
          <w:trHeight w:val="665" w:hRule="atLeast"/>
        </w:trPr>
        <w:tc>
          <w:tcPr>
            <w:tcW w:w="8760" w:type="dxa"/>
            <w:gridSpan w:val="6"/>
            <w:tcBorders>
              <w:top w:val="single" w:color="auto" w:sz="4" w:space="0"/>
              <w:left w:val="single" w:color="auto" w:sz="4" w:space="0"/>
              <w:bottom w:val="single" w:color="auto" w:sz="4" w:space="0"/>
              <w:right w:val="single" w:color="auto" w:sz="4" w:space="0"/>
            </w:tcBorders>
            <w:vAlign w:val="center"/>
          </w:tcPr>
          <w:p w14:paraId="118D8727">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输送机司机岗位风险告知卡</w:t>
            </w:r>
          </w:p>
        </w:tc>
      </w:tr>
      <w:tr w14:paraId="0D2BEEF4">
        <w:tblPrEx>
          <w:tblCellMar>
            <w:top w:w="0" w:type="dxa"/>
            <w:left w:w="108" w:type="dxa"/>
            <w:bottom w:w="0" w:type="dxa"/>
            <w:right w:w="108" w:type="dxa"/>
          </w:tblCellMar>
        </w:tblPrEx>
        <w:trPr>
          <w:gridBefore w:val="1"/>
          <w:wBefore w:w="94" w:type="dxa"/>
          <w:trHeight w:val="1080" w:hRule="atLeast"/>
        </w:trPr>
        <w:tc>
          <w:tcPr>
            <w:tcW w:w="812" w:type="dxa"/>
            <w:tcBorders>
              <w:top w:val="nil"/>
              <w:left w:val="single" w:color="auto" w:sz="4" w:space="0"/>
              <w:bottom w:val="single" w:color="auto" w:sz="4" w:space="0"/>
              <w:right w:val="single" w:color="auto" w:sz="4" w:space="0"/>
            </w:tcBorders>
            <w:vAlign w:val="center"/>
          </w:tcPr>
          <w:p w14:paraId="74FBD90D">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风险类型</w:t>
            </w:r>
          </w:p>
        </w:tc>
        <w:tc>
          <w:tcPr>
            <w:tcW w:w="3544" w:type="dxa"/>
            <w:tcBorders>
              <w:top w:val="nil"/>
              <w:left w:val="nil"/>
              <w:bottom w:val="single" w:color="auto" w:sz="4" w:space="0"/>
              <w:right w:val="single" w:color="auto" w:sz="4" w:space="0"/>
            </w:tcBorders>
            <w:vAlign w:val="center"/>
          </w:tcPr>
          <w:p w14:paraId="6983C65B">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4"/>
                <w:highlight w:val="none"/>
              </w:rPr>
            </w:pPr>
            <w:r>
              <w:rPr>
                <w:rFonts w:hint="eastAsia" w:ascii="仿宋" w:hAnsi="仿宋" w:eastAsia="仿宋" w:cs="仿宋"/>
                <w:color w:val="auto"/>
                <w:kern w:val="0"/>
                <w:sz w:val="21"/>
                <w:szCs w:val="21"/>
                <w:highlight w:val="none"/>
              </w:rPr>
              <w:t>冒顶、瓦斯、运输、物体打击、职业病危害、高空坠落</w:t>
            </w:r>
          </w:p>
        </w:tc>
        <w:tc>
          <w:tcPr>
            <w:tcW w:w="811" w:type="dxa"/>
            <w:gridSpan w:val="2"/>
            <w:tcBorders>
              <w:top w:val="nil"/>
              <w:left w:val="nil"/>
              <w:bottom w:val="single" w:color="auto" w:sz="4" w:space="0"/>
              <w:right w:val="single" w:color="auto" w:sz="4" w:space="0"/>
            </w:tcBorders>
            <w:vAlign w:val="center"/>
          </w:tcPr>
          <w:p w14:paraId="0063F33C">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事故报告</w:t>
            </w:r>
          </w:p>
        </w:tc>
        <w:tc>
          <w:tcPr>
            <w:tcW w:w="3593" w:type="dxa"/>
            <w:gridSpan w:val="2"/>
            <w:tcBorders>
              <w:top w:val="nil"/>
              <w:left w:val="nil"/>
              <w:bottom w:val="single" w:color="auto" w:sz="4" w:space="0"/>
              <w:right w:val="single" w:color="auto" w:sz="4" w:space="0"/>
            </w:tcBorders>
            <w:vAlign w:val="center"/>
          </w:tcPr>
          <w:p w14:paraId="33EC04FB">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14:paraId="1DEA2EB5">
            <w:pPr>
              <w:keepNext w:val="0"/>
              <w:keepLines w:val="0"/>
              <w:pageBreakBefore w:val="0"/>
              <w:widowControl/>
              <w:kinsoku/>
              <w:wordWrap/>
              <w:overflowPunct/>
              <w:topLinePunct w:val="0"/>
              <w:autoSpaceDE/>
              <w:autoSpaceDN/>
              <w:bidi w:val="0"/>
              <w:adjustRightInd/>
              <w:snapToGrid/>
              <w:jc w:val="left"/>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0738</w:t>
            </w:r>
          </w:p>
          <w:p w14:paraId="484A1541">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4"/>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5EB33669">
        <w:tblPrEx>
          <w:tblCellMar>
            <w:top w:w="0" w:type="dxa"/>
            <w:left w:w="108" w:type="dxa"/>
            <w:bottom w:w="0" w:type="dxa"/>
            <w:right w:w="108" w:type="dxa"/>
          </w:tblCellMar>
        </w:tblPrEx>
        <w:trPr>
          <w:gridBefore w:val="1"/>
          <w:wBefore w:w="94" w:type="dxa"/>
          <w:trHeight w:val="447"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14:paraId="02F63C98">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主要危害因素</w:t>
            </w:r>
          </w:p>
        </w:tc>
        <w:tc>
          <w:tcPr>
            <w:tcW w:w="4404" w:type="dxa"/>
            <w:gridSpan w:val="4"/>
            <w:tcBorders>
              <w:top w:val="single" w:color="auto" w:sz="4" w:space="0"/>
              <w:left w:val="nil"/>
              <w:bottom w:val="single" w:color="auto" w:sz="4" w:space="0"/>
              <w:right w:val="single" w:color="auto" w:sz="4" w:space="0"/>
            </w:tcBorders>
            <w:vAlign w:val="center"/>
          </w:tcPr>
          <w:p w14:paraId="13583B9D">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管控措施</w:t>
            </w:r>
          </w:p>
        </w:tc>
      </w:tr>
      <w:tr w14:paraId="628091F3">
        <w:tblPrEx>
          <w:tblCellMar>
            <w:top w:w="0" w:type="dxa"/>
            <w:left w:w="108" w:type="dxa"/>
            <w:bottom w:w="0" w:type="dxa"/>
            <w:right w:w="108" w:type="dxa"/>
          </w:tblCellMar>
        </w:tblPrEx>
        <w:trPr>
          <w:gridBefore w:val="1"/>
          <w:wBefore w:w="94" w:type="dxa"/>
          <w:trHeight w:val="2632"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14:paraId="4352ED7E">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1.未持证上岗；未佩戴个体防护；空顶作业；瓦斯超限作业</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14:paraId="0FAE1EA2">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1.经培训合格后，持证上岗；佩戴好安全帽、口罩、耳塞，执行好“三紧两不要；检查好顶帮支护情况，确保顶帮支护完好方可上岗作业；瓦斯浓度达到0.8%时，立即停机处理</w:t>
            </w:r>
            <w:r>
              <w:rPr>
                <w:rFonts w:hint="eastAsia" w:ascii="仿宋" w:hAnsi="仿宋" w:eastAsia="仿宋" w:cs="仿宋"/>
                <w:color w:val="auto"/>
                <w:kern w:val="0"/>
                <w:sz w:val="21"/>
                <w:szCs w:val="21"/>
                <w:highlight w:val="none"/>
                <w:lang w:eastAsia="zh-CN"/>
              </w:rPr>
              <w:t>。</w:t>
            </w:r>
          </w:p>
        </w:tc>
      </w:tr>
      <w:tr w14:paraId="55655FC0">
        <w:tblPrEx>
          <w:tblCellMar>
            <w:top w:w="0" w:type="dxa"/>
            <w:left w:w="108" w:type="dxa"/>
            <w:bottom w:w="0" w:type="dxa"/>
            <w:right w:w="108" w:type="dxa"/>
          </w:tblCellMar>
        </w:tblPrEx>
        <w:trPr>
          <w:gridBefore w:val="1"/>
          <w:wBefore w:w="94" w:type="dxa"/>
          <w:trHeight w:val="1735"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14:paraId="5A185EC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2.开关、照明、信号或按钮不完好或固定不牢固</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14:paraId="0C2392F9">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2.开机前必须检查好开关、照明、信号、按钮；各部件完好，固定牢固</w:t>
            </w:r>
            <w:r>
              <w:rPr>
                <w:rFonts w:hint="eastAsia" w:ascii="仿宋" w:hAnsi="仿宋" w:eastAsia="仿宋" w:cs="仿宋"/>
                <w:color w:val="auto"/>
                <w:kern w:val="0"/>
                <w:sz w:val="21"/>
                <w:szCs w:val="21"/>
                <w:highlight w:val="none"/>
                <w:lang w:eastAsia="zh-CN"/>
              </w:rPr>
              <w:t>。</w:t>
            </w:r>
          </w:p>
        </w:tc>
      </w:tr>
      <w:tr w14:paraId="36DA01AC">
        <w:tblPrEx>
          <w:tblCellMar>
            <w:top w:w="0" w:type="dxa"/>
            <w:left w:w="108" w:type="dxa"/>
            <w:bottom w:w="0" w:type="dxa"/>
            <w:right w:w="108" w:type="dxa"/>
          </w:tblCellMar>
        </w:tblPrEx>
        <w:trPr>
          <w:gridBefore w:val="1"/>
          <w:wBefore w:w="94" w:type="dxa"/>
          <w:trHeight w:val="1389"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14:paraId="471DF85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3.靠近运转部位，造成人身伤害；开机前未检查附近是否有人；安全防护措施失效</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14:paraId="2529E34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3.运行前确认运转部位附近无人；包机人定期对设备保护进行检查，发现失效及时处理</w:t>
            </w:r>
            <w:r>
              <w:rPr>
                <w:rFonts w:hint="eastAsia" w:ascii="仿宋" w:hAnsi="仿宋" w:eastAsia="仿宋" w:cs="仿宋"/>
                <w:color w:val="auto"/>
                <w:kern w:val="0"/>
                <w:sz w:val="21"/>
                <w:szCs w:val="21"/>
                <w:highlight w:val="none"/>
                <w:lang w:eastAsia="zh-CN"/>
              </w:rPr>
              <w:t>。</w:t>
            </w:r>
          </w:p>
        </w:tc>
      </w:tr>
      <w:tr w14:paraId="664D2553">
        <w:tblPrEx>
          <w:tblCellMar>
            <w:top w:w="0" w:type="dxa"/>
            <w:left w:w="108" w:type="dxa"/>
            <w:bottom w:w="0" w:type="dxa"/>
            <w:right w:w="108" w:type="dxa"/>
          </w:tblCellMar>
        </w:tblPrEx>
        <w:trPr>
          <w:gridBefore w:val="1"/>
          <w:wBefore w:w="94" w:type="dxa"/>
          <w:trHeight w:val="1022"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14:paraId="412ABA9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4.转载喷雾不合格，粉尘积聚；运行过程中发生异常或出现异响；超负荷运行；开机时清理运转部位浮煤</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14:paraId="11E6498D">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b w:val="0"/>
                <w:bCs w:val="0"/>
                <w:color w:val="auto"/>
                <w:sz w:val="21"/>
                <w:szCs w:val="21"/>
                <w:highlight w:val="none"/>
                <w:lang w:eastAsia="zh-CN"/>
              </w:rPr>
              <w:t>4.开机前检查刮板输送机、转载机、皮带输送机转载点喷雾完好情况</w:t>
            </w:r>
            <w:r>
              <w:rPr>
                <w:rFonts w:hint="eastAsia" w:ascii="仿宋" w:hAnsi="仿宋" w:eastAsia="仿宋" w:cs="仿宋"/>
                <w:color w:val="auto"/>
                <w:kern w:val="0"/>
                <w:sz w:val="21"/>
                <w:szCs w:val="21"/>
                <w:highlight w:val="none"/>
              </w:rPr>
              <w:t>并确保喷雾效果；发生异响或出现异常时立即停机处理；控制皮带上煤量；停机后方可清理运转部位浮煤</w:t>
            </w:r>
            <w:r>
              <w:rPr>
                <w:rFonts w:hint="eastAsia" w:ascii="仿宋" w:hAnsi="仿宋" w:eastAsia="仿宋" w:cs="仿宋"/>
                <w:color w:val="auto"/>
                <w:kern w:val="0"/>
                <w:sz w:val="21"/>
                <w:szCs w:val="21"/>
                <w:highlight w:val="none"/>
                <w:lang w:eastAsia="zh-CN"/>
              </w:rPr>
              <w:t>。</w:t>
            </w:r>
          </w:p>
        </w:tc>
      </w:tr>
      <w:tr w14:paraId="28787FD2">
        <w:tblPrEx>
          <w:tblCellMar>
            <w:top w:w="0" w:type="dxa"/>
            <w:left w:w="108" w:type="dxa"/>
            <w:bottom w:w="0" w:type="dxa"/>
            <w:right w:w="108" w:type="dxa"/>
          </w:tblCellMar>
        </w:tblPrEx>
        <w:trPr>
          <w:gridBefore w:val="1"/>
          <w:wBefore w:w="94" w:type="dxa"/>
          <w:trHeight w:val="955"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14:paraId="38348492">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5.停机后未停电闭锁</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14:paraId="1DF136F1">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5.停机后立即停电闭锁</w:t>
            </w:r>
            <w:r>
              <w:rPr>
                <w:rFonts w:hint="eastAsia" w:ascii="仿宋" w:hAnsi="仿宋" w:eastAsia="仿宋" w:cs="仿宋"/>
                <w:color w:val="auto"/>
                <w:kern w:val="0"/>
                <w:sz w:val="21"/>
                <w:szCs w:val="21"/>
                <w:highlight w:val="none"/>
                <w:lang w:eastAsia="zh-CN"/>
              </w:rPr>
              <w:t>。</w:t>
            </w:r>
          </w:p>
        </w:tc>
      </w:tr>
      <w:tr w14:paraId="101CBC1B">
        <w:tblPrEx>
          <w:tblCellMar>
            <w:top w:w="0" w:type="dxa"/>
            <w:left w:w="108" w:type="dxa"/>
            <w:bottom w:w="0" w:type="dxa"/>
            <w:right w:w="108" w:type="dxa"/>
          </w:tblCellMar>
        </w:tblPrEx>
        <w:trPr>
          <w:gridBefore w:val="1"/>
          <w:wBefore w:w="94" w:type="dxa"/>
          <w:trHeight w:val="1034" w:hRule="atLeast"/>
        </w:trPr>
        <w:tc>
          <w:tcPr>
            <w:tcW w:w="812" w:type="dxa"/>
            <w:tcBorders>
              <w:top w:val="nil"/>
              <w:left w:val="single" w:color="auto" w:sz="4" w:space="0"/>
              <w:bottom w:val="single" w:color="auto" w:sz="4" w:space="0"/>
              <w:right w:val="single" w:color="auto" w:sz="4" w:space="0"/>
            </w:tcBorders>
            <w:vAlign w:val="center"/>
          </w:tcPr>
          <w:p w14:paraId="537D13C7">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2FE11909">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948" w:type="dxa"/>
            <w:gridSpan w:val="5"/>
            <w:tcBorders>
              <w:top w:val="single" w:color="auto" w:sz="4" w:space="0"/>
              <w:left w:val="nil"/>
              <w:bottom w:val="single" w:color="auto" w:sz="4" w:space="0"/>
              <w:right w:val="single" w:color="auto" w:sz="4" w:space="0"/>
            </w:tcBorders>
            <w:vAlign w:val="center"/>
          </w:tcPr>
          <w:p w14:paraId="4DA8A46B">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686F7F71">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6C1F5B28">
        <w:tblPrEx>
          <w:tblCellMar>
            <w:top w:w="0" w:type="dxa"/>
            <w:left w:w="108" w:type="dxa"/>
            <w:bottom w:w="0" w:type="dxa"/>
            <w:right w:w="108" w:type="dxa"/>
          </w:tblCellMar>
        </w:tblPrEx>
        <w:trPr>
          <w:gridBefore w:val="1"/>
          <w:wBefore w:w="94" w:type="dxa"/>
          <w:trHeight w:val="1394" w:hRule="atLeast"/>
        </w:trPr>
        <w:tc>
          <w:tcPr>
            <w:tcW w:w="812" w:type="dxa"/>
            <w:tcBorders>
              <w:top w:val="nil"/>
              <w:left w:val="single" w:color="auto" w:sz="4" w:space="0"/>
              <w:bottom w:val="single" w:color="auto" w:sz="4" w:space="0"/>
              <w:right w:val="single" w:color="auto" w:sz="4" w:space="0"/>
            </w:tcBorders>
            <w:vAlign w:val="center"/>
          </w:tcPr>
          <w:p w14:paraId="1B29BBAA">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应急处置措施</w:t>
            </w:r>
          </w:p>
        </w:tc>
        <w:tc>
          <w:tcPr>
            <w:tcW w:w="7948" w:type="dxa"/>
            <w:gridSpan w:val="5"/>
            <w:tcBorders>
              <w:top w:val="single" w:color="auto" w:sz="4" w:space="0"/>
              <w:left w:val="nil"/>
              <w:bottom w:val="single" w:color="auto" w:sz="4" w:space="0"/>
              <w:right w:val="single" w:color="auto" w:sz="4" w:space="0"/>
            </w:tcBorders>
            <w:vAlign w:val="center"/>
          </w:tcPr>
          <w:p w14:paraId="2E7CDF9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出现紧急情况时，立即停机闭锁，找出故障点并将故障排除检查完毕方可开</w:t>
            </w:r>
            <w:r>
              <w:rPr>
                <w:rFonts w:hint="eastAsia" w:ascii="仿宋" w:hAnsi="仿宋" w:eastAsia="仿宋" w:cs="仿宋"/>
                <w:color w:val="auto"/>
                <w:kern w:val="0"/>
                <w:sz w:val="21"/>
                <w:szCs w:val="21"/>
                <w:highlight w:val="none"/>
                <w:lang w:eastAsia="zh-CN"/>
              </w:rPr>
              <w:t>。</w:t>
            </w:r>
          </w:p>
          <w:p w14:paraId="495F9A04">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r w14:paraId="2BA1A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8840" w:type="dxa"/>
            <w:gridSpan w:val="6"/>
            <w:vAlign w:val="center"/>
          </w:tcPr>
          <w:p w14:paraId="64317A65">
            <w:pPr>
              <w:keepNext w:val="0"/>
              <w:keepLines w:val="0"/>
              <w:pageBreakBefore w:val="0"/>
              <w:widowControl/>
              <w:kinsoku/>
              <w:wordWrap/>
              <w:overflowPunct/>
              <w:topLinePunct w:val="0"/>
              <w:autoSpaceDE/>
              <w:autoSpaceDN/>
              <w:bidi w:val="0"/>
              <w:adjustRightInd/>
              <w:snapToGrid/>
              <w:spacing w:after="200" w:line="400" w:lineRule="exact"/>
              <w:ind w:right="560"/>
              <w:jc w:val="center"/>
              <w:textAlignment w:val="auto"/>
              <w:outlineLvl w:val="9"/>
              <w:rPr>
                <w:rFonts w:hint="eastAsia" w:ascii="仿宋" w:hAnsi="仿宋" w:eastAsia="仿宋" w:cs="仿宋"/>
                <w:color w:val="auto"/>
                <w:sz w:val="28"/>
                <w:szCs w:val="28"/>
                <w:highlight w:val="none"/>
              </w:rPr>
            </w:pPr>
            <w:bookmarkStart w:id="96" w:name="_Toc373581555"/>
            <w:bookmarkStart w:id="97" w:name="_Toc28511"/>
            <w:bookmarkStart w:id="98" w:name="_Toc27209"/>
            <w:bookmarkStart w:id="99" w:name="_Toc1648"/>
            <w:bookmarkStart w:id="100" w:name="_Toc8354"/>
            <w:r>
              <w:rPr>
                <w:rFonts w:hint="eastAsia" w:ascii="仿宋" w:hAnsi="仿宋" w:eastAsia="仿宋" w:cs="仿宋"/>
                <w:b/>
                <w:bCs w:val="0"/>
                <w:color w:val="auto"/>
                <w:sz w:val="21"/>
                <w:szCs w:val="21"/>
                <w:highlight w:val="none"/>
              </w:rPr>
              <w:t>输送机司机安全提示</w:t>
            </w:r>
            <w:bookmarkEnd w:id="96"/>
            <w:r>
              <w:rPr>
                <w:rFonts w:hint="eastAsia" w:ascii="仿宋" w:hAnsi="仿宋" w:eastAsia="仿宋" w:cs="仿宋"/>
                <w:b/>
                <w:bCs w:val="0"/>
                <w:color w:val="auto"/>
                <w:sz w:val="21"/>
                <w:szCs w:val="21"/>
                <w:highlight w:val="none"/>
              </w:rPr>
              <w:t>卡</w:t>
            </w:r>
            <w:bookmarkEnd w:id="97"/>
            <w:bookmarkEnd w:id="98"/>
            <w:bookmarkEnd w:id="99"/>
            <w:bookmarkEnd w:id="100"/>
          </w:p>
        </w:tc>
      </w:tr>
      <w:tr w14:paraId="6790C9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14:paraId="36EE1F2E">
            <w:pPr>
              <w:keepNext w:val="0"/>
              <w:keepLines w:val="0"/>
              <w:pageBreakBefore w:val="0"/>
              <w:kinsoku/>
              <w:wordWrap/>
              <w:overflowPunct/>
              <w:topLinePunct w:val="0"/>
              <w:autoSpaceDE/>
              <w:autoSpaceDN/>
              <w:bidi w:val="0"/>
              <w:adjustRightInd/>
              <w:snapToGrid/>
              <w:spacing w:line="400" w:lineRule="exact"/>
              <w:jc w:val="center"/>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开机前检查</w:t>
            </w:r>
          </w:p>
        </w:tc>
        <w:tc>
          <w:tcPr>
            <w:tcW w:w="4379" w:type="dxa"/>
            <w:gridSpan w:val="2"/>
            <w:vAlign w:val="center"/>
          </w:tcPr>
          <w:p w14:paraId="083D621A">
            <w:pPr>
              <w:keepNext w:val="0"/>
              <w:keepLines w:val="0"/>
              <w:pageBreakBefore w:val="0"/>
              <w:kinsoku/>
              <w:wordWrap/>
              <w:overflowPunct/>
              <w:topLinePunct w:val="0"/>
              <w:autoSpaceDE/>
              <w:autoSpaceDN/>
              <w:bidi w:val="0"/>
              <w:adjustRightInd/>
              <w:snapToGrid/>
              <w:spacing w:line="400" w:lineRule="exact"/>
              <w:jc w:val="center"/>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停机后确认</w:t>
            </w:r>
          </w:p>
        </w:tc>
      </w:tr>
      <w:tr w14:paraId="3C946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14:paraId="1F51E250">
            <w:pPr>
              <w:keepNext w:val="0"/>
              <w:keepLines w:val="0"/>
              <w:pageBreakBefore w:val="0"/>
              <w:kinsoku/>
              <w:wordWrap/>
              <w:overflowPunct/>
              <w:topLinePunct w:val="0"/>
              <w:autoSpaceDE/>
              <w:autoSpaceDN/>
              <w:bidi w:val="0"/>
              <w:adjustRightInd/>
              <w:snapToGrid/>
              <w:spacing w:line="400" w:lineRule="exact"/>
              <w:ind w:firstLine="205" w:firstLineChars="98"/>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1.顶帮</w:t>
            </w:r>
          </w:p>
        </w:tc>
        <w:tc>
          <w:tcPr>
            <w:tcW w:w="4379" w:type="dxa"/>
            <w:gridSpan w:val="2"/>
            <w:vAlign w:val="center"/>
          </w:tcPr>
          <w:p w14:paraId="2893D66E">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1.输送带上物料</w:t>
            </w:r>
          </w:p>
        </w:tc>
      </w:tr>
      <w:tr w14:paraId="4199D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14:paraId="272B5700">
            <w:pPr>
              <w:keepNext w:val="0"/>
              <w:keepLines w:val="0"/>
              <w:pageBreakBefore w:val="0"/>
              <w:kinsoku/>
              <w:wordWrap/>
              <w:overflowPunct/>
              <w:topLinePunct w:val="0"/>
              <w:autoSpaceDE/>
              <w:autoSpaceDN/>
              <w:bidi w:val="0"/>
              <w:adjustRightInd/>
              <w:snapToGrid/>
              <w:spacing w:line="400" w:lineRule="exact"/>
              <w:ind w:firstLine="205" w:firstLineChars="98"/>
              <w:textAlignment w:val="auto"/>
              <w:outlineLvl w:val="9"/>
              <w:rPr>
                <w:rFonts w:hint="eastAsia" w:ascii="仿宋" w:hAnsi="仿宋" w:eastAsia="仿宋" w:cs="仿宋"/>
                <w:b w:val="0"/>
                <w:bCs w:val="0"/>
                <w:color w:val="auto"/>
                <w:sz w:val="21"/>
                <w:szCs w:val="21"/>
                <w:highlight w:val="none"/>
                <w:lang w:eastAsia="zh-CN"/>
              </w:rPr>
            </w:pPr>
            <w:r>
              <w:rPr>
                <w:rFonts w:hint="eastAsia" w:ascii="仿宋" w:hAnsi="仿宋" w:eastAsia="仿宋" w:cs="仿宋"/>
                <w:b w:val="0"/>
                <w:bCs w:val="0"/>
                <w:color w:val="auto"/>
                <w:sz w:val="21"/>
                <w:szCs w:val="21"/>
                <w:highlight w:val="none"/>
              </w:rPr>
              <w:t>2.照明、电话、信号</w:t>
            </w:r>
            <w:r>
              <w:rPr>
                <w:rFonts w:hint="eastAsia" w:ascii="仿宋" w:hAnsi="仿宋" w:eastAsia="仿宋" w:cs="仿宋"/>
                <w:b w:val="0"/>
                <w:bCs w:val="0"/>
                <w:color w:val="auto"/>
                <w:sz w:val="21"/>
                <w:szCs w:val="21"/>
                <w:highlight w:val="none"/>
                <w:lang w:eastAsia="zh-CN"/>
              </w:rPr>
              <w:t>、</w:t>
            </w:r>
            <w:r>
              <w:rPr>
                <w:rFonts w:hint="eastAsia" w:ascii="仿宋" w:hAnsi="仿宋" w:eastAsia="仿宋" w:cs="仿宋"/>
                <w:b w:val="0"/>
                <w:bCs w:val="0"/>
                <w:color w:val="auto"/>
                <w:sz w:val="21"/>
                <w:szCs w:val="21"/>
                <w:highlight w:val="none"/>
              </w:rPr>
              <w:t>消防器材</w:t>
            </w:r>
          </w:p>
        </w:tc>
        <w:tc>
          <w:tcPr>
            <w:tcW w:w="4379" w:type="dxa"/>
            <w:gridSpan w:val="2"/>
            <w:vAlign w:val="center"/>
          </w:tcPr>
          <w:p w14:paraId="2FF1FA74">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★2.停电闭锁</w:t>
            </w:r>
          </w:p>
        </w:tc>
      </w:tr>
      <w:tr w14:paraId="5280A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14:paraId="4A530B0B">
            <w:pPr>
              <w:keepNext w:val="0"/>
              <w:keepLines w:val="0"/>
              <w:pageBreakBefore w:val="0"/>
              <w:kinsoku/>
              <w:wordWrap/>
              <w:overflowPunct/>
              <w:topLinePunct w:val="0"/>
              <w:autoSpaceDE/>
              <w:autoSpaceDN/>
              <w:bidi w:val="0"/>
              <w:adjustRightInd/>
              <w:snapToGrid/>
              <w:spacing w:line="400" w:lineRule="exact"/>
              <w:ind w:firstLine="210" w:firstLineChars="100"/>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w:t>
            </w:r>
            <w:r>
              <w:rPr>
                <w:rFonts w:hint="eastAsia" w:ascii="仿宋" w:hAnsi="仿宋" w:eastAsia="仿宋" w:cs="仿宋"/>
                <w:b w:val="0"/>
                <w:bCs w:val="0"/>
                <w:color w:val="auto"/>
                <w:sz w:val="21"/>
                <w:szCs w:val="21"/>
                <w:highlight w:val="none"/>
                <w:lang w:eastAsia="zh-CN"/>
              </w:rPr>
              <w:t>减速机冷却系统、油位、舌板及其他连接螺栓紧固情况</w:t>
            </w:r>
          </w:p>
        </w:tc>
        <w:tc>
          <w:tcPr>
            <w:tcW w:w="4379" w:type="dxa"/>
            <w:gridSpan w:val="2"/>
            <w:vAlign w:val="center"/>
          </w:tcPr>
          <w:p w14:paraId="547557F0">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w:t>
            </w:r>
            <w:r>
              <w:rPr>
                <w:rFonts w:hint="eastAsia" w:ascii="仿宋" w:hAnsi="仿宋" w:eastAsia="仿宋" w:cs="仿宋"/>
                <w:b w:val="0"/>
                <w:bCs w:val="0"/>
                <w:color w:val="auto"/>
                <w:sz w:val="21"/>
                <w:szCs w:val="21"/>
                <w:highlight w:val="none"/>
                <w:lang w:eastAsia="zh-CN"/>
              </w:rPr>
              <w:t>减速机油位、三叉螺栓、舌板连接螺栓</w:t>
            </w:r>
          </w:p>
        </w:tc>
      </w:tr>
      <w:tr w14:paraId="68D81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14:paraId="05C8F82C">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★4.人员、障碍物</w:t>
            </w:r>
          </w:p>
        </w:tc>
        <w:tc>
          <w:tcPr>
            <w:tcW w:w="4379" w:type="dxa"/>
            <w:gridSpan w:val="2"/>
            <w:vAlign w:val="center"/>
          </w:tcPr>
          <w:p w14:paraId="230A44A6">
            <w:pPr>
              <w:keepNext w:val="0"/>
              <w:keepLines w:val="0"/>
              <w:pageBreakBefore w:val="0"/>
              <w:kinsoku/>
              <w:wordWrap/>
              <w:overflowPunct/>
              <w:topLinePunct w:val="0"/>
              <w:autoSpaceDE/>
              <w:autoSpaceDN/>
              <w:bidi w:val="0"/>
              <w:adjustRightInd/>
              <w:snapToGrid/>
              <w:spacing w:line="400" w:lineRule="exact"/>
              <w:textAlignment w:val="auto"/>
              <w:outlineLvl w:val="9"/>
              <w:rPr>
                <w:rFonts w:hint="default" w:ascii="仿宋" w:hAnsi="仿宋" w:eastAsia="仿宋" w:cs="仿宋"/>
                <w:b w:val="0"/>
                <w:bCs w:val="0"/>
                <w:color w:val="auto"/>
                <w:sz w:val="21"/>
                <w:szCs w:val="21"/>
                <w:highlight w:val="none"/>
                <w:lang w:val="en-US" w:eastAsia="zh-CN"/>
              </w:rPr>
            </w:pPr>
            <w:r>
              <w:rPr>
                <w:rFonts w:hint="eastAsia" w:ascii="仿宋" w:hAnsi="仿宋" w:eastAsia="仿宋" w:cs="仿宋"/>
                <w:b w:val="0"/>
                <w:bCs w:val="0"/>
                <w:color w:val="auto"/>
                <w:sz w:val="21"/>
                <w:szCs w:val="21"/>
                <w:highlight w:val="none"/>
                <w:lang w:val="en-US" w:eastAsia="zh-CN"/>
              </w:rPr>
              <w:t>4.</w:t>
            </w:r>
            <w:r>
              <w:rPr>
                <w:rFonts w:hint="eastAsia" w:ascii="仿宋" w:hAnsi="仿宋" w:eastAsia="仿宋" w:cs="仿宋"/>
                <w:b w:val="0"/>
                <w:bCs w:val="0"/>
                <w:color w:val="auto"/>
                <w:sz w:val="21"/>
                <w:szCs w:val="21"/>
                <w:highlight w:val="none"/>
              </w:rPr>
              <w:t>喷雾</w:t>
            </w:r>
          </w:p>
        </w:tc>
      </w:tr>
      <w:tr w14:paraId="41F45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14:paraId="19E4939B">
            <w:pPr>
              <w:keepNext w:val="0"/>
              <w:keepLines w:val="0"/>
              <w:pageBreakBefore w:val="0"/>
              <w:kinsoku/>
              <w:wordWrap/>
              <w:overflowPunct/>
              <w:topLinePunct w:val="0"/>
              <w:autoSpaceDE/>
              <w:autoSpaceDN/>
              <w:bidi w:val="0"/>
              <w:adjustRightInd/>
              <w:snapToGrid/>
              <w:spacing w:line="400" w:lineRule="exact"/>
              <w:ind w:firstLine="210" w:firstLineChars="100"/>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5.口罩</w:t>
            </w:r>
          </w:p>
        </w:tc>
        <w:tc>
          <w:tcPr>
            <w:tcW w:w="4379" w:type="dxa"/>
            <w:gridSpan w:val="2"/>
            <w:vAlign w:val="center"/>
          </w:tcPr>
          <w:p w14:paraId="3EA4CD0C">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p>
        </w:tc>
      </w:tr>
      <w:tr w14:paraId="38D31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90" w:hRule="atLeast"/>
        </w:trPr>
        <w:tc>
          <w:tcPr>
            <w:tcW w:w="8840" w:type="dxa"/>
            <w:gridSpan w:val="6"/>
            <w:vAlign w:val="top"/>
          </w:tcPr>
          <w:p w14:paraId="72D6669D">
            <w:pPr>
              <w:keepNext w:val="0"/>
              <w:keepLines w:val="0"/>
              <w:pageBreakBefore w:val="0"/>
              <w:kinsoku/>
              <w:wordWrap/>
              <w:overflowPunct/>
              <w:topLinePunct w:val="0"/>
              <w:autoSpaceDE/>
              <w:autoSpaceDN/>
              <w:bidi w:val="0"/>
              <w:adjustRightInd/>
              <w:snapToGrid/>
              <w:spacing w:line="400" w:lineRule="exact"/>
              <w:ind w:firstLine="409" w:firstLineChars="195"/>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1"/>
                <w:szCs w:val="21"/>
                <w:highlight w:val="none"/>
              </w:rPr>
              <w:t>注：第一次按开机前内容逐项检查并确认，存在问题整改后再确认；中间再次操作只检查带“★”部分；运输任务全部结束后按停机后确认内容逐项检查并确认。</w:t>
            </w:r>
          </w:p>
        </w:tc>
      </w:tr>
    </w:tbl>
    <w:tbl>
      <w:tblPr>
        <w:tblStyle w:val="12"/>
        <w:tblpPr w:leftFromText="180" w:rightFromText="180" w:vertAnchor="text" w:horzAnchor="margin" w:tblpY="723"/>
        <w:tblW w:w="88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20"/>
      </w:tblGrid>
      <w:tr w14:paraId="2B6C4A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14:paraId="376E0A46">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1.记录</w:t>
            </w:r>
          </w:p>
        </w:tc>
      </w:tr>
      <w:tr w14:paraId="11037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14:paraId="449DFC5C">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2.急停保护、烟雾保护</w:t>
            </w:r>
          </w:p>
        </w:tc>
      </w:tr>
      <w:tr w14:paraId="40741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14:paraId="5A7A10C5">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3.冷却水、喷雾</w:t>
            </w:r>
          </w:p>
        </w:tc>
      </w:tr>
      <w:tr w14:paraId="08BAE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14:paraId="27A0F296">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4.</w:t>
            </w:r>
            <w:r>
              <w:rPr>
                <w:rFonts w:hint="eastAsia" w:ascii="仿宋" w:hAnsi="仿宋" w:eastAsia="仿宋" w:cs="仿宋"/>
                <w:color w:val="auto"/>
                <w:sz w:val="21"/>
                <w:szCs w:val="21"/>
                <w:highlight w:val="none"/>
                <w:lang w:eastAsia="zh-CN"/>
              </w:rPr>
              <w:t>刮板链、三叉螺栓、舌板、以及连接部位螺栓</w:t>
            </w:r>
          </w:p>
        </w:tc>
      </w:tr>
      <w:tr w14:paraId="272193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14:paraId="4F32707A">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5.清扫器</w:t>
            </w:r>
          </w:p>
        </w:tc>
      </w:tr>
      <w:tr w14:paraId="0CD4E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14:paraId="3C0E20DC">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6.堆煤保护</w:t>
            </w:r>
          </w:p>
        </w:tc>
      </w:tr>
      <w:tr w14:paraId="73A06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14:paraId="492314FB">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7.煤仓口护栏、盖板</w:t>
            </w:r>
          </w:p>
        </w:tc>
      </w:tr>
      <w:tr w14:paraId="7F888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9" w:hRule="exact"/>
        </w:trPr>
        <w:tc>
          <w:tcPr>
            <w:tcW w:w="8820" w:type="dxa"/>
            <w:vAlign w:val="top"/>
          </w:tcPr>
          <w:p w14:paraId="689D089B">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8.托辊、托梁、储带仓护栏、跑偏保护、温度保护、速度保护、超温自动洒水</w:t>
            </w:r>
          </w:p>
        </w:tc>
      </w:tr>
      <w:tr w14:paraId="38ABE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exact"/>
        </w:trPr>
        <w:tc>
          <w:tcPr>
            <w:tcW w:w="8820" w:type="dxa"/>
            <w:vAlign w:val="top"/>
          </w:tcPr>
          <w:p w14:paraId="62FFB5B6">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9.液压站、张紧绞车、液压缸、钢丝绳、保险绳、张紧小车、张紧滚筒、限位保护</w:t>
            </w:r>
          </w:p>
        </w:tc>
      </w:tr>
      <w:tr w14:paraId="40AD9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exact"/>
        </w:trPr>
        <w:tc>
          <w:tcPr>
            <w:tcW w:w="8820" w:type="dxa"/>
            <w:vAlign w:val="top"/>
          </w:tcPr>
          <w:p w14:paraId="1AFEF4E8">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10.电机、减速箱、耦合器、滚筒、联轴器、抱闸护罩、护栏</w:t>
            </w:r>
          </w:p>
        </w:tc>
      </w:tr>
      <w:tr w14:paraId="519A0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exact"/>
        </w:trPr>
        <w:tc>
          <w:tcPr>
            <w:tcW w:w="8820" w:type="dxa"/>
            <w:vAlign w:val="center"/>
          </w:tcPr>
          <w:p w14:paraId="0962D9EF">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sz w:val="21"/>
                <w:szCs w:val="21"/>
                <w:highlight w:val="none"/>
              </w:rPr>
              <w:t>接班后检查一次，单元检查表检查前，先进行停电闭锁确认。</w:t>
            </w:r>
          </w:p>
        </w:tc>
      </w:tr>
    </w:tbl>
    <w:tbl>
      <w:tblPr>
        <w:tblStyle w:val="13"/>
        <w:tblpPr w:leftFromText="180" w:rightFromText="180" w:vertAnchor="text" w:horzAnchor="page" w:tblpX="1777" w:tblpY="5329"/>
        <w:tblOverlap w:val="never"/>
        <w:tblW w:w="88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3"/>
        <w:gridCol w:w="1667"/>
        <w:gridCol w:w="6300"/>
      </w:tblGrid>
      <w:tr w14:paraId="50CF9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 w:hRule="atLeast"/>
        </w:trPr>
        <w:tc>
          <w:tcPr>
            <w:tcW w:w="8860" w:type="dxa"/>
            <w:gridSpan w:val="3"/>
          </w:tcPr>
          <w:p w14:paraId="329B8D0D">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vertAlign w:val="baseline"/>
                <w:lang w:val="en-US" w:eastAsia="zh-CN"/>
              </w:rPr>
            </w:pPr>
            <w:r>
              <w:rPr>
                <w:rFonts w:hint="eastAsia" w:ascii="仿宋" w:hAnsi="仿宋" w:eastAsia="仿宋" w:cs="仿宋"/>
                <w:b/>
                <w:bCs w:val="0"/>
                <w:color w:val="auto"/>
                <w:sz w:val="21"/>
                <w:szCs w:val="21"/>
              </w:rPr>
              <w:t>输送机司机操作过程注意事项</w:t>
            </w:r>
          </w:p>
        </w:tc>
      </w:tr>
      <w:tr w14:paraId="23568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Align w:val="center"/>
          </w:tcPr>
          <w:p w14:paraId="1C7EA5E4">
            <w:pPr>
              <w:keepNext w:val="0"/>
              <w:keepLines w:val="0"/>
              <w:pageBreakBefore w:val="0"/>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sz w:val="21"/>
                <w:szCs w:val="21"/>
                <w:lang w:val="en-US" w:eastAsia="zh-CN"/>
              </w:rPr>
            </w:pPr>
            <w:r>
              <w:rPr>
                <w:rFonts w:hint="eastAsia" w:ascii="仿宋" w:hAnsi="仿宋" w:eastAsia="仿宋" w:cs="仿宋"/>
                <w:b/>
                <w:bCs/>
                <w:color w:val="auto"/>
                <w:sz w:val="21"/>
                <w:szCs w:val="21"/>
              </w:rPr>
              <w:t>序号</w:t>
            </w:r>
          </w:p>
        </w:tc>
        <w:tc>
          <w:tcPr>
            <w:tcW w:w="1667" w:type="dxa"/>
            <w:vAlign w:val="center"/>
          </w:tcPr>
          <w:p w14:paraId="6F96D0AD">
            <w:pPr>
              <w:keepNext w:val="0"/>
              <w:keepLines w:val="0"/>
              <w:pageBreakBefore w:val="0"/>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sz w:val="21"/>
                <w:szCs w:val="21"/>
                <w:lang w:val="en-US" w:eastAsia="zh-CN"/>
              </w:rPr>
            </w:pPr>
            <w:r>
              <w:rPr>
                <w:rFonts w:hint="eastAsia" w:ascii="仿宋" w:hAnsi="仿宋" w:eastAsia="仿宋" w:cs="仿宋"/>
                <w:b/>
                <w:bCs/>
                <w:color w:val="auto"/>
                <w:sz w:val="21"/>
                <w:szCs w:val="21"/>
              </w:rPr>
              <w:t>提示词</w:t>
            </w:r>
          </w:p>
        </w:tc>
        <w:tc>
          <w:tcPr>
            <w:tcW w:w="6300" w:type="dxa"/>
            <w:vAlign w:val="center"/>
          </w:tcPr>
          <w:p w14:paraId="16AEABB4">
            <w:pPr>
              <w:keepNext w:val="0"/>
              <w:keepLines w:val="0"/>
              <w:pageBreakBefore w:val="0"/>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sz w:val="21"/>
                <w:szCs w:val="21"/>
                <w:lang w:val="en-US" w:eastAsia="zh-CN"/>
              </w:rPr>
            </w:pPr>
            <w:r>
              <w:rPr>
                <w:rFonts w:hint="eastAsia" w:ascii="仿宋" w:hAnsi="仿宋" w:eastAsia="仿宋" w:cs="仿宋"/>
                <w:b/>
                <w:bCs/>
                <w:color w:val="auto"/>
                <w:sz w:val="21"/>
                <w:szCs w:val="21"/>
                <w:lang w:val="en-US" w:eastAsia="zh-CN"/>
              </w:rPr>
              <w:t>操作注意事项解释</w:t>
            </w:r>
          </w:p>
        </w:tc>
      </w:tr>
      <w:tr w14:paraId="31E5D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Merge w:val="restart"/>
            <w:vAlign w:val="center"/>
          </w:tcPr>
          <w:p w14:paraId="6655C30A">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sz w:val="21"/>
                <w:szCs w:val="21"/>
                <w:vertAlign w:val="baseline"/>
                <w:lang w:val="en-US" w:eastAsia="zh-CN"/>
              </w:rPr>
            </w:pPr>
            <w:r>
              <w:rPr>
                <w:rFonts w:hint="eastAsia" w:ascii="仿宋" w:hAnsi="仿宋" w:eastAsia="仿宋" w:cs="仿宋"/>
                <w:color w:val="auto"/>
                <w:kern w:val="0"/>
                <w:sz w:val="21"/>
                <w:szCs w:val="21"/>
              </w:rPr>
              <w:t>1</w:t>
            </w:r>
          </w:p>
        </w:tc>
        <w:tc>
          <w:tcPr>
            <w:tcW w:w="1667" w:type="dxa"/>
            <w:vAlign w:val="center"/>
          </w:tcPr>
          <w:p w14:paraId="38A4B9D6">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看显示</w:t>
            </w:r>
          </w:p>
        </w:tc>
        <w:tc>
          <w:tcPr>
            <w:tcW w:w="6300" w:type="dxa"/>
            <w:vAlign w:val="center"/>
          </w:tcPr>
          <w:p w14:paraId="307658F6">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注意观察信号、保护显示，出现异常立即停机。</w:t>
            </w:r>
          </w:p>
        </w:tc>
      </w:tr>
      <w:tr w14:paraId="08AEE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 w:hRule="atLeast"/>
        </w:trPr>
        <w:tc>
          <w:tcPr>
            <w:tcW w:w="893" w:type="dxa"/>
            <w:vMerge w:val="continue"/>
          </w:tcPr>
          <w:p w14:paraId="511D8EBA">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sz w:val="21"/>
                <w:szCs w:val="21"/>
                <w:vertAlign w:val="baseline"/>
                <w:lang w:val="en-US" w:eastAsia="zh-CN"/>
              </w:rPr>
            </w:pPr>
          </w:p>
        </w:tc>
        <w:tc>
          <w:tcPr>
            <w:tcW w:w="1667" w:type="dxa"/>
            <w:vAlign w:val="center"/>
          </w:tcPr>
          <w:p w14:paraId="3C514F2C">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看设备</w:t>
            </w:r>
          </w:p>
        </w:tc>
        <w:tc>
          <w:tcPr>
            <w:tcW w:w="6300" w:type="dxa"/>
            <w:vAlign w:val="center"/>
          </w:tcPr>
          <w:p w14:paraId="77F99B3A">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随时观察输送机、输送带运行情况，出现设备故障、输送带撕裂、接头断裂和发现有大块煤矸、铁器、超长材料时立即停机处理。</w:t>
            </w:r>
          </w:p>
        </w:tc>
      </w:tr>
      <w:tr w14:paraId="3FF1D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Merge w:val="restart"/>
            <w:vAlign w:val="center"/>
          </w:tcPr>
          <w:p w14:paraId="4BC44E64">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sz w:val="21"/>
                <w:szCs w:val="21"/>
                <w:vertAlign w:val="baseline"/>
                <w:lang w:val="en-US" w:eastAsia="zh-CN"/>
              </w:rPr>
            </w:pPr>
            <w:r>
              <w:rPr>
                <w:rFonts w:hint="eastAsia" w:ascii="仿宋" w:hAnsi="仿宋" w:eastAsia="仿宋" w:cs="仿宋"/>
                <w:color w:val="auto"/>
                <w:kern w:val="0"/>
                <w:sz w:val="21"/>
                <w:szCs w:val="21"/>
              </w:rPr>
              <w:t>2</w:t>
            </w:r>
          </w:p>
        </w:tc>
        <w:tc>
          <w:tcPr>
            <w:tcW w:w="1667" w:type="dxa"/>
            <w:vAlign w:val="center"/>
          </w:tcPr>
          <w:p w14:paraId="229FC1E0">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听信号</w:t>
            </w:r>
          </w:p>
        </w:tc>
        <w:tc>
          <w:tcPr>
            <w:tcW w:w="6300" w:type="dxa"/>
            <w:vAlign w:val="center"/>
          </w:tcPr>
          <w:p w14:paraId="2FFDB6C8">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严格按信号指令操作，出现情况不明的意外信号立即停机。</w:t>
            </w:r>
          </w:p>
        </w:tc>
      </w:tr>
      <w:tr w14:paraId="270C0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Merge w:val="continue"/>
          </w:tcPr>
          <w:p w14:paraId="1207DCDF">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sz w:val="21"/>
                <w:szCs w:val="21"/>
                <w:vertAlign w:val="baseline"/>
                <w:lang w:val="en-US" w:eastAsia="zh-CN"/>
              </w:rPr>
            </w:pPr>
          </w:p>
        </w:tc>
        <w:tc>
          <w:tcPr>
            <w:tcW w:w="1667" w:type="dxa"/>
            <w:vAlign w:val="center"/>
          </w:tcPr>
          <w:p w14:paraId="39E99C96">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听异响</w:t>
            </w:r>
          </w:p>
        </w:tc>
        <w:tc>
          <w:tcPr>
            <w:tcW w:w="6300" w:type="dxa"/>
            <w:vAlign w:val="center"/>
          </w:tcPr>
          <w:p w14:paraId="3E54D78F">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出现严重异响或非正常震动立即停机。</w:t>
            </w:r>
          </w:p>
        </w:tc>
      </w:tr>
      <w:tr w14:paraId="56E88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Align w:val="center"/>
          </w:tcPr>
          <w:p w14:paraId="2289D7CA">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3</w:t>
            </w:r>
          </w:p>
        </w:tc>
        <w:tc>
          <w:tcPr>
            <w:tcW w:w="1667" w:type="dxa"/>
            <w:vAlign w:val="center"/>
          </w:tcPr>
          <w:p w14:paraId="46A0C445">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嗅异味</w:t>
            </w:r>
          </w:p>
        </w:tc>
        <w:tc>
          <w:tcPr>
            <w:tcW w:w="6300" w:type="dxa"/>
            <w:vAlign w:val="center"/>
          </w:tcPr>
          <w:p w14:paraId="32698780">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闻到异常气味立即停机。</w:t>
            </w:r>
          </w:p>
        </w:tc>
      </w:tr>
      <w:tr w14:paraId="4CD0DA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 w:hRule="atLeast"/>
        </w:trPr>
        <w:tc>
          <w:tcPr>
            <w:tcW w:w="893" w:type="dxa"/>
            <w:vAlign w:val="center"/>
          </w:tcPr>
          <w:p w14:paraId="5C70A477">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4</w:t>
            </w:r>
          </w:p>
        </w:tc>
        <w:tc>
          <w:tcPr>
            <w:tcW w:w="1667" w:type="dxa"/>
            <w:vAlign w:val="center"/>
          </w:tcPr>
          <w:p w14:paraId="0182825E">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正常操作</w:t>
            </w:r>
          </w:p>
        </w:tc>
        <w:tc>
          <w:tcPr>
            <w:tcW w:w="6300" w:type="dxa"/>
            <w:vAlign w:val="center"/>
          </w:tcPr>
          <w:p w14:paraId="67CDF13F">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不准超负荷强行启动；严禁人员乘坐，严禁无措施运送设备和物料；严禁带负荷停机</w:t>
            </w:r>
            <w:r>
              <w:rPr>
                <w:rFonts w:hint="eastAsia" w:ascii="仿宋" w:hAnsi="仿宋" w:eastAsia="仿宋" w:cs="仿宋"/>
                <w:color w:val="auto"/>
                <w:kern w:val="0"/>
                <w:sz w:val="21"/>
                <w:szCs w:val="21"/>
                <w:lang w:eastAsia="zh-CN"/>
              </w:rPr>
              <w:t>。</w:t>
            </w:r>
          </w:p>
        </w:tc>
      </w:tr>
      <w:tr w14:paraId="5A56BD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Align w:val="center"/>
          </w:tcPr>
          <w:p w14:paraId="3A3F8AFB">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5</w:t>
            </w:r>
          </w:p>
        </w:tc>
        <w:tc>
          <w:tcPr>
            <w:tcW w:w="1667" w:type="dxa"/>
            <w:vAlign w:val="center"/>
          </w:tcPr>
          <w:p w14:paraId="7997B2A0">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紧急停机</w:t>
            </w:r>
          </w:p>
        </w:tc>
        <w:tc>
          <w:tcPr>
            <w:tcW w:w="6300" w:type="dxa"/>
            <w:vAlign w:val="center"/>
          </w:tcPr>
          <w:p w14:paraId="3B5FCFC7">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发现机械、电气部件温升超限、接力运输时下一台输送机停机和危及人身安全时立即停机。</w:t>
            </w:r>
          </w:p>
        </w:tc>
      </w:tr>
      <w:tr w14:paraId="43372C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 w:hRule="atLeast"/>
        </w:trPr>
        <w:tc>
          <w:tcPr>
            <w:tcW w:w="893" w:type="dxa"/>
            <w:vAlign w:val="center"/>
          </w:tcPr>
          <w:p w14:paraId="2B029F3D">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6</w:t>
            </w:r>
          </w:p>
        </w:tc>
        <w:tc>
          <w:tcPr>
            <w:tcW w:w="1667" w:type="dxa"/>
            <w:vAlign w:val="center"/>
          </w:tcPr>
          <w:p w14:paraId="7439185D">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站位</w:t>
            </w:r>
          </w:p>
        </w:tc>
        <w:tc>
          <w:tcPr>
            <w:tcW w:w="6300" w:type="dxa"/>
            <w:vAlign w:val="center"/>
          </w:tcPr>
          <w:p w14:paraId="1A97AB9E">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严禁擅离工作岗位，禁止在输送机运转时进行维修、清理。</w:t>
            </w:r>
          </w:p>
        </w:tc>
      </w:tr>
    </w:tbl>
    <w:p w14:paraId="118BAB41">
      <w:pPr>
        <w:keepNext w:val="0"/>
        <w:keepLines w:val="0"/>
        <w:pageBreakBefore w:val="0"/>
        <w:kinsoku/>
        <w:wordWrap/>
        <w:overflowPunct/>
        <w:topLinePunct w:val="0"/>
        <w:autoSpaceDE/>
        <w:autoSpaceDN/>
        <w:bidi w:val="0"/>
        <w:adjustRightInd/>
        <w:snapToGrid/>
        <w:jc w:val="center"/>
        <w:textAlignment w:val="auto"/>
        <w:outlineLvl w:val="9"/>
        <w:rPr>
          <w:rFonts w:hint="eastAsia" w:ascii="仿宋" w:hAnsi="仿宋" w:eastAsia="仿宋" w:cs="仿宋"/>
          <w:b w:val="0"/>
          <w:bCs/>
          <w:color w:val="auto"/>
          <w:sz w:val="21"/>
          <w:szCs w:val="21"/>
          <w:lang w:val="en-US" w:eastAsia="zh-CN"/>
        </w:rPr>
      </w:pPr>
    </w:p>
    <w:p w14:paraId="59FE115E">
      <w:pPr>
        <w:keepNext w:val="0"/>
        <w:keepLines w:val="0"/>
        <w:pageBreakBefore w:val="0"/>
        <w:kinsoku/>
        <w:wordWrap/>
        <w:overflowPunct/>
        <w:topLinePunct w:val="0"/>
        <w:autoSpaceDE/>
        <w:autoSpaceDN/>
        <w:bidi w:val="0"/>
        <w:adjustRightInd/>
        <w:snapToGrid/>
        <w:jc w:val="center"/>
        <w:textAlignment w:val="auto"/>
        <w:outlineLvl w:val="9"/>
        <w:rPr>
          <w:rFonts w:hint="eastAsia"/>
          <w:color w:val="auto"/>
          <w:lang w:val="en-US" w:eastAsia="zh-CN"/>
        </w:rPr>
      </w:pPr>
      <w:r>
        <w:rPr>
          <w:rFonts w:hint="eastAsia" w:ascii="仿宋" w:hAnsi="仿宋" w:eastAsia="仿宋" w:cs="仿宋"/>
          <w:b w:val="0"/>
          <w:bCs/>
          <w:color w:val="auto"/>
          <w:sz w:val="21"/>
          <w:szCs w:val="21"/>
          <w:lang w:val="en-US" w:eastAsia="zh-CN"/>
        </w:rPr>
        <w:t>输送机司机</w:t>
      </w:r>
      <w:r>
        <w:rPr>
          <w:rFonts w:hint="eastAsia" w:ascii="仿宋" w:hAnsi="仿宋" w:eastAsia="仿宋" w:cs="仿宋"/>
          <w:b w:val="0"/>
          <w:bCs/>
          <w:color w:val="auto"/>
          <w:sz w:val="21"/>
          <w:szCs w:val="21"/>
        </w:rPr>
        <w:t>单元检查表</w:t>
      </w:r>
    </w:p>
    <w:p w14:paraId="7ED4734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p>
    <w:p w14:paraId="11F1660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一般规定</w:t>
      </w:r>
    </w:p>
    <w:p w14:paraId="180853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（一）入井、乘罐注意事项</w:t>
      </w:r>
    </w:p>
    <w:p w14:paraId="582F41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14:paraId="69914B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14:paraId="74D875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14:paraId="55D294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14:paraId="794C1A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（二）井下行走、乘坐架空乘人装置注意事项</w:t>
      </w:r>
    </w:p>
    <w:p w14:paraId="7C753C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14:paraId="21EADA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14:paraId="1B9610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14:paraId="762F94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14:paraId="6A6BD77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14:paraId="51CA8E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14:paraId="37A27F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14:paraId="7DAFED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14:paraId="34B7F15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73C922F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619BCB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444B8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13FF12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406CE9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108C36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1DC7EA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524E12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528F01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3C5D26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44311D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533C6D1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1EAB43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0D7B2B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4C74D1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5573B1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1D4EEC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5183BF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1B4AC3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7A51B9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0F19CE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20.肩负第二职业的“经济人”：是指挣钱不要命，工作之余另有第二职业的人。</w:t>
      </w:r>
    </w:p>
    <w:p w14:paraId="7F84AE6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11D205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1635F83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237381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7B8E5BC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423225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6247AB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113012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1E27A7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3443DD9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13CB78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464C50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7C33A95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71901A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2F0E07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0FA422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5A3AFD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572910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029ED1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5C65C57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64739D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431129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221F09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6D293A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0FB6BB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5EB4E1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48B38DF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安全风险辨识与管控措施</w:t>
      </w:r>
    </w:p>
    <w:p w14:paraId="369C269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14:paraId="5207F83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风险描述：煤层自燃倾向性为Ⅰ类，属于容易自燃煤层，工作面回采和回撤期间存在自然发火风险；</w:t>
      </w:r>
    </w:p>
    <w:p w14:paraId="2B5B72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管控措施：工作面沿煤层顶部回采，确保顶煤回采干净</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每班结束后，安排专人对架空浮煤进行清理；严格落实采空区注浆、注惰性气体、喷洒阻化剂等防火措施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加强现场监督，确保进、回风隅角封堵严实</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设置自然发火观测点，定期进行检查</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工作面停采前对工作面架后随网敷设风筒布，减少采空区漏风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定期对仪器仪表调校和鉴定，确保仪器仪表准确性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按规定安设防尘供水管路，并敷设到工作面</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保证回撤进度，工作面必须在45天内回撤结束，并进行封闭。</w:t>
      </w:r>
    </w:p>
    <w:p w14:paraId="1104ADC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煤尘具有爆炸性，生产作业时产尘量较大，易造成煤尘堆积，机械截割时产生摩擦火花；易发生煤尘爆炸的风险。</w:t>
      </w:r>
    </w:p>
    <w:p w14:paraId="706727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管控措施：定期检查工作面供水水量、水压，规范使用灭尘喷雾泵，确保水量、水压满足要求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合理调配工作面风量，符合排尘风速要求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落实工作面及皮带巷内各位喷雾降尘装置的检查维护工作，安装使用内、外喷雾装置，生产作业时开启使用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严格巷道粉尘冲刷制度，建立工作面粉尘冲刷责任牌板，做到巷道底板、两帮、设备和电缆上无积尘，巷道底板经常保持湿润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定期开展粉尘浓度检测，结合检测结果，进一步优化工作面风量供给，提高减尘、抑尘、排尘、降尘、除尘等综合防尘措施效果</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采取措施消除截割作业时，滚筒与锚杆或锚索等金属摩擦火花。杜绝明火作业、电气设备失爆等各类点火源存在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按规定安设隔爆水棚，定期对水棚进行检查，对缺水的水袋及时进行加水</w:t>
      </w:r>
      <w:r>
        <w:rPr>
          <w:rFonts w:hint="eastAsia" w:ascii="仿宋" w:hAnsi="仿宋" w:eastAsia="仿宋" w:cs="仿宋"/>
          <w:color w:val="auto"/>
          <w:sz w:val="28"/>
          <w:szCs w:val="28"/>
          <w:highlight w:val="none"/>
          <w:lang w:eastAsia="zh-CN"/>
        </w:rPr>
        <w:t>。</w:t>
      </w:r>
    </w:p>
    <w:p w14:paraId="72F6FB5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（二）专用部分</w:t>
      </w:r>
    </w:p>
    <w:p w14:paraId="65A0B0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14:paraId="26623A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（1）风险描述：输送机司机作业范围内的顶板、巷帮受压力影响存在冒顶(片帮）的风险。</w:t>
      </w:r>
    </w:p>
    <w:p w14:paraId="02F11E4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管控措施：岗位工到位后首先对作业范围的顶、帮、腮进行排查，确保支护完整，无危矸浮石</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作业工序中涉及顶板的，必须对顶板进行重新安全确认</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严格落实敲帮问顶制度。</w:t>
      </w:r>
    </w:p>
    <w:p w14:paraId="1D49A48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6455312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（1）风险描述：输送机运行期间人员误入、误操作，存在机械伤害的风险</w:t>
      </w:r>
      <w:r>
        <w:rPr>
          <w:rFonts w:hint="eastAsia" w:ascii="仿宋" w:hAnsi="仿宋" w:eastAsia="仿宋" w:cs="仿宋"/>
          <w:color w:val="auto"/>
          <w:sz w:val="28"/>
          <w:szCs w:val="28"/>
          <w:lang w:eastAsia="zh-CN"/>
        </w:rPr>
        <w:t>。</w:t>
      </w:r>
    </w:p>
    <w:p w14:paraId="1417FD7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管控措施：1.刮板输送机司机要持证上岗</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开机前进行清人，确认机组周围无人方可开机作业，开机前发出开机信号</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输送机运行时，司机不得离开岗位，若要离开必须停机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输送机运行时，现场人员的身体任何部位严禁探入或伸入输送机机械运转的范围之内</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严禁人员蹬乘输送机或跨越运行过程中的输送机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人员在机道内作业时要停机闭锁并派专人看管</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发生问题时</w:t>
      </w:r>
      <w:r>
        <w:rPr>
          <w:rFonts w:hint="eastAsia" w:ascii="仿宋" w:hAnsi="仿宋" w:eastAsia="仿宋" w:cs="仿宋"/>
          <w:color w:val="auto"/>
          <w:sz w:val="28"/>
          <w:szCs w:val="28"/>
        </w:rPr>
        <w:t>立即发出停机信号，停机进行妥善处理</w:t>
      </w:r>
      <w:r>
        <w:rPr>
          <w:rFonts w:hint="eastAsia" w:ascii="仿宋" w:hAnsi="仿宋" w:eastAsia="仿宋" w:cs="仿宋"/>
          <w:color w:val="auto"/>
          <w:sz w:val="28"/>
          <w:szCs w:val="28"/>
          <w:lang w:eastAsia="zh-CN"/>
        </w:rPr>
        <w:t>。</w:t>
      </w:r>
    </w:p>
    <w:p w14:paraId="3233C73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（2）风险描述：输送机旋转部位与煤体摩擦生热可能存在火灾的风险。</w:t>
      </w:r>
    </w:p>
    <w:p w14:paraId="3C51DFB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管控措施：及时清理浮煤，避免摩擦生热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班中运行过程中，开启喷雾降温</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各类电气保护必须整定合理、可靠，杜绝过负荷现象</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电缆下井前必须三证齐全，并试验合格才允许下井使用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及时更换老化机电设备</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加强检修，及时发现电缆破损，修复</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正规组织，减少设备负荷。</w:t>
      </w:r>
    </w:p>
    <w:p w14:paraId="7D0828E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）风险描述：输送机司机违章操作，存在发生提升运输伤害风险</w:t>
      </w:r>
      <w:r>
        <w:rPr>
          <w:rFonts w:hint="eastAsia" w:ascii="仿宋" w:hAnsi="仿宋" w:eastAsia="仿宋" w:cs="仿宋"/>
          <w:color w:val="auto"/>
          <w:sz w:val="28"/>
          <w:szCs w:val="28"/>
          <w:lang w:eastAsia="zh-CN"/>
        </w:rPr>
        <w:t>。</w:t>
      </w:r>
    </w:p>
    <w:p w14:paraId="0E4E96B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管控措施：必须经过专门培训并考试合格，取得相关证书后方可上岗</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开机前，要发出警示，确认无人在开机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在接收信号后，必须进行确认后在开机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发现超长、超重物料进入后要立即停机进行处理</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开机期间，司机脱岗作业</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每班专人检查各种保护装置。</w:t>
      </w:r>
    </w:p>
    <w:p w14:paraId="47599BF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14:paraId="4222695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（1）风险描述：输送机检修运行期间人员伤害。</w:t>
      </w:r>
    </w:p>
    <w:p w14:paraId="52E162A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管控措施：操作工要持证上岗</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与管路连接后必须用专用卡子进行固定</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人员严禁站在大锤、手镐摆动运行轨迹位置</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人员合理站位。</w:t>
      </w:r>
    </w:p>
    <w:p w14:paraId="069B1A3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（2）风险描述：检修输送机高温部位时可能发生烫伤风险。</w:t>
      </w:r>
    </w:p>
    <w:p w14:paraId="2598D9F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管控措施：检修高温部位前需进行测温，采取降温措施后作业</w:t>
      </w:r>
      <w:r>
        <w:rPr>
          <w:rFonts w:hint="eastAsia" w:ascii="仿宋" w:hAnsi="仿宋" w:eastAsia="仿宋" w:cs="仿宋"/>
          <w:color w:val="auto"/>
          <w:sz w:val="28"/>
          <w:szCs w:val="28"/>
          <w:lang w:eastAsia="zh-CN"/>
        </w:rPr>
        <w:t>；</w:t>
      </w:r>
    </w:p>
    <w:p w14:paraId="6E5EAE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加注润滑油时要戴手套操作，面部等不要正对加油卡上方</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更换截齿、钻头等高温部位时要戴手套。</w:t>
      </w:r>
    </w:p>
    <w:p w14:paraId="0508FA0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rPr>
        <w:t>四、（一）开机前检查：</w:t>
      </w:r>
    </w:p>
    <w:p w14:paraId="0DEACD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1.顶帮：操作范围内顶帮支护完好、无冒顶、漏矸、片帮现象。</w:t>
      </w:r>
    </w:p>
    <w:p w14:paraId="44E7F0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2.照明、电话、信号：荧光灯明亮，信号畅通，电话清晰响亮。</w:t>
      </w:r>
    </w:p>
    <w:p w14:paraId="1D29AB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3.消防器材：配备的消防沙、灭火器、消防铲、消防桶等物件及其数量符合规定。</w:t>
      </w:r>
    </w:p>
    <w:p w14:paraId="2BD3BB4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4.人员、障碍物：检查人员视力所及范围之内，皮带上及附近无人员及影响皮带运行的障碍物。</w:t>
      </w:r>
    </w:p>
    <w:p w14:paraId="79FD5F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5.口罩：口罩已佩戴。</w:t>
      </w:r>
    </w:p>
    <w:p w14:paraId="65F8CB2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rPr>
        <w:t>（二）单元检查表：</w:t>
      </w:r>
    </w:p>
    <w:p w14:paraId="7946C5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1.记录：记录正常。</w:t>
      </w:r>
    </w:p>
    <w:p w14:paraId="1049B6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2.急停保护、烟雾保护：急停保护、烟雾保护齐全。</w:t>
      </w:r>
    </w:p>
    <w:p w14:paraId="7E0298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3.冷却水、喷雾：冷却水水压正常，喷雾装置齐全完好，雾化效果良好。</w:t>
      </w:r>
    </w:p>
    <w:p w14:paraId="52E786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4.固定：固定螺栓齐全、紧固。</w:t>
      </w:r>
    </w:p>
    <w:p w14:paraId="494426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5.清扫器：固定牢固，长度符合要求。</w:t>
      </w:r>
    </w:p>
    <w:p w14:paraId="7F6AFDB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6.堆煤保护：堆煤保护齐全。</w:t>
      </w:r>
    </w:p>
    <w:p w14:paraId="011F55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7.煤仓口护栏、盖板：煤仓口盖板、护栏齐全完好。</w:t>
      </w:r>
    </w:p>
    <w:p w14:paraId="6744F4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8.托辊、托梁、储带仓护栏、跑偏保护、温度保护、速度保护、超温自动洒水：托辊、托梁、储带仓护栏完好，跑偏保护、温度保护、速度保护、超温自动洒水齐全。</w:t>
      </w:r>
    </w:p>
    <w:p w14:paraId="44494D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9.液压站、张紧绞车、液压缸、钢丝绳、保险绳、张紧小车、张紧滚筒、限位保护：液压站、张紧绞车、液压缸、钢丝绳、保险绳、张紧小车、张紧滚筒完好，限位保护齐全。</w:t>
      </w:r>
    </w:p>
    <w:p w14:paraId="7283C4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10.电机、减速箱、耦合器、滚筒、联轴器、抱闸护罩、护栏：电机、减速箱、耦合器、联轴器、滚筒完好，抱闸护罩、转动部位的护栏固定牢固，齐全完好。</w:t>
      </w:r>
    </w:p>
    <w:p w14:paraId="7F3E4E9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五、</w:t>
      </w:r>
      <w:r>
        <w:rPr>
          <w:rFonts w:hint="eastAsia" w:ascii="仿宋" w:hAnsi="仿宋" w:eastAsia="仿宋" w:cs="仿宋"/>
          <w:b/>
          <w:bCs/>
          <w:color w:val="auto"/>
          <w:sz w:val="28"/>
          <w:szCs w:val="28"/>
          <w:lang w:val="en-US" w:eastAsia="zh-CN"/>
        </w:rPr>
        <w:t>输送机</w:t>
      </w:r>
      <w:r>
        <w:rPr>
          <w:rFonts w:hint="eastAsia" w:ascii="仿宋" w:hAnsi="仿宋" w:eastAsia="仿宋" w:cs="仿宋"/>
          <w:b/>
          <w:bCs/>
          <w:color w:val="auto"/>
          <w:sz w:val="28"/>
          <w:szCs w:val="28"/>
        </w:rPr>
        <w:t>司机正规操作</w:t>
      </w:r>
    </w:p>
    <w:p w14:paraId="0548D24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val="en-US" w:eastAsia="zh-CN"/>
        </w:rPr>
        <w:t>输送机</w:t>
      </w:r>
      <w:r>
        <w:rPr>
          <w:rFonts w:hint="eastAsia" w:ascii="仿宋" w:hAnsi="仿宋" w:eastAsia="仿宋" w:cs="仿宋"/>
          <w:b/>
          <w:bCs/>
          <w:color w:val="auto"/>
          <w:sz w:val="28"/>
          <w:szCs w:val="28"/>
        </w:rPr>
        <w:t>司机操作顺序：</w:t>
      </w:r>
    </w:p>
    <w:p w14:paraId="3EB977C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检查巡视→</w:t>
      </w:r>
      <w:r>
        <w:rPr>
          <w:rFonts w:hint="eastAsia" w:ascii="仿宋" w:hAnsi="仿宋" w:eastAsia="仿宋" w:cs="仿宋"/>
          <w:color w:val="auto"/>
          <w:sz w:val="28"/>
          <w:szCs w:val="28"/>
          <w:lang w:val="en-US" w:eastAsia="zh-CN"/>
        </w:rPr>
        <w:t>发信号</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开启喷雾</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试运转</w:t>
      </w:r>
      <w:r>
        <w:rPr>
          <w:rFonts w:hint="eastAsia" w:ascii="仿宋" w:hAnsi="仿宋" w:eastAsia="仿宋" w:cs="仿宋"/>
          <w:color w:val="auto"/>
          <w:sz w:val="28"/>
          <w:szCs w:val="28"/>
        </w:rPr>
        <w:t>→启动</w:t>
      </w:r>
      <w:r>
        <w:rPr>
          <w:rFonts w:hint="eastAsia" w:ascii="仿宋" w:hAnsi="仿宋" w:eastAsia="仿宋" w:cs="仿宋"/>
          <w:color w:val="auto"/>
          <w:sz w:val="28"/>
          <w:szCs w:val="28"/>
          <w:lang w:val="en-US" w:eastAsia="zh-CN"/>
        </w:rPr>
        <w:t>输送机</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停机</w:t>
      </w:r>
    </w:p>
    <w:p w14:paraId="33D1AA9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w:t>
      </w:r>
      <w:r>
        <w:rPr>
          <w:rFonts w:hint="eastAsia" w:ascii="仿宋" w:hAnsi="仿宋" w:eastAsia="仿宋" w:cs="仿宋"/>
          <w:b/>
          <w:bCs/>
          <w:color w:val="auto"/>
          <w:sz w:val="28"/>
          <w:szCs w:val="28"/>
          <w:lang w:val="en-US" w:eastAsia="zh-CN"/>
        </w:rPr>
        <w:t>输送机</w:t>
      </w:r>
      <w:r>
        <w:rPr>
          <w:rFonts w:hint="eastAsia" w:ascii="仿宋" w:hAnsi="仿宋" w:eastAsia="仿宋" w:cs="仿宋"/>
          <w:b/>
          <w:bCs/>
          <w:color w:val="auto"/>
          <w:sz w:val="28"/>
          <w:szCs w:val="28"/>
        </w:rPr>
        <w:t>司机正规操作：</w:t>
      </w:r>
    </w:p>
    <w:p w14:paraId="233649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1.检查巡视：按照</w:t>
      </w:r>
      <w:r>
        <w:rPr>
          <w:rFonts w:hint="eastAsia" w:ascii="仿宋" w:hAnsi="仿宋" w:eastAsia="仿宋" w:cs="仿宋"/>
          <w:color w:val="auto"/>
          <w:sz w:val="28"/>
          <w:szCs w:val="28"/>
          <w:lang w:val="en-US" w:eastAsia="zh-CN"/>
        </w:rPr>
        <w:t>输送机</w:t>
      </w:r>
      <w:r>
        <w:rPr>
          <w:rFonts w:hint="eastAsia" w:ascii="仿宋" w:hAnsi="仿宋" w:eastAsia="仿宋" w:cs="仿宋"/>
          <w:color w:val="auto"/>
          <w:sz w:val="28"/>
          <w:szCs w:val="28"/>
        </w:rPr>
        <w:t>司机提示卡中的开机前检查确认无误后，方可操作。</w:t>
      </w:r>
    </w:p>
    <w:p w14:paraId="0B3BA1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发信号</w:t>
      </w:r>
      <w:r>
        <w:rPr>
          <w:rFonts w:hint="eastAsia" w:ascii="仿宋" w:hAnsi="仿宋" w:eastAsia="仿宋" w:cs="仿宋"/>
          <w:color w:val="auto"/>
          <w:sz w:val="28"/>
          <w:szCs w:val="28"/>
        </w:rPr>
        <w:t>：解除工作面刮板输送机的闭锁发出开动输送机的信号。</w:t>
      </w:r>
    </w:p>
    <w:p w14:paraId="25519B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开启喷雾</w:t>
      </w:r>
      <w:r>
        <w:rPr>
          <w:rFonts w:hint="eastAsia" w:ascii="仿宋" w:hAnsi="仿宋" w:eastAsia="仿宋" w:cs="仿宋"/>
          <w:color w:val="auto"/>
          <w:sz w:val="28"/>
          <w:szCs w:val="28"/>
        </w:rPr>
        <w:t>：打开进水截止阀门供水并喷雾，调节好供水流量。</w:t>
      </w:r>
    </w:p>
    <w:p w14:paraId="5CD6F0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试运转</w:t>
      </w:r>
      <w:r>
        <w:rPr>
          <w:rFonts w:hint="eastAsia" w:ascii="仿宋" w:hAnsi="仿宋" w:eastAsia="仿宋" w:cs="仿宋"/>
          <w:color w:val="auto"/>
          <w:sz w:val="28"/>
          <w:szCs w:val="28"/>
        </w:rPr>
        <w:t>：等待输送机空转2分钟</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检查输送机情况</w:t>
      </w:r>
      <w:r>
        <w:rPr>
          <w:rFonts w:hint="eastAsia" w:ascii="仿宋" w:hAnsi="仿宋" w:eastAsia="仿宋" w:cs="仿宋"/>
          <w:color w:val="auto"/>
          <w:sz w:val="28"/>
          <w:szCs w:val="28"/>
        </w:rPr>
        <w:t>。</w:t>
      </w:r>
    </w:p>
    <w:p w14:paraId="6076D1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启动输送机</w:t>
      </w:r>
      <w:r>
        <w:rPr>
          <w:rFonts w:hint="eastAsia" w:ascii="仿宋" w:hAnsi="仿宋" w:eastAsia="仿宋" w:cs="仿宋"/>
          <w:color w:val="auto"/>
          <w:sz w:val="28"/>
          <w:szCs w:val="28"/>
        </w:rPr>
        <w:t>：输送机运转过程中，</w:t>
      </w:r>
      <w:r>
        <w:rPr>
          <w:rFonts w:hint="eastAsia" w:ascii="仿宋" w:hAnsi="仿宋" w:eastAsia="仿宋" w:cs="仿宋"/>
          <w:color w:val="auto"/>
          <w:sz w:val="28"/>
          <w:szCs w:val="28"/>
          <w:lang w:eastAsia="zh-CN"/>
        </w:rPr>
        <w:t>岗位工</w:t>
      </w:r>
      <w:r>
        <w:rPr>
          <w:rFonts w:hint="eastAsia" w:ascii="仿宋" w:hAnsi="仿宋" w:eastAsia="仿宋" w:cs="仿宋"/>
          <w:color w:val="auto"/>
          <w:sz w:val="28"/>
          <w:szCs w:val="28"/>
        </w:rPr>
        <w:t>要注意观察其运行状态，随时注意电动机、减速器等各部运转声音是否正常，是否有剧烈震动，电动机、轴承是否发热</w:t>
      </w:r>
      <w:r>
        <w:rPr>
          <w:rFonts w:hint="eastAsia" w:ascii="仿宋" w:hAnsi="仿宋" w:eastAsia="仿宋" w:cs="仿宋"/>
          <w:color w:val="auto"/>
          <w:sz w:val="28"/>
          <w:szCs w:val="28"/>
          <w:lang w:eastAsia="zh-CN"/>
        </w:rPr>
        <w:t>。</w:t>
      </w:r>
    </w:p>
    <w:p w14:paraId="0C0D599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停机</w:t>
      </w:r>
      <w:r>
        <w:rPr>
          <w:rFonts w:hint="eastAsia" w:ascii="仿宋" w:hAnsi="仿宋" w:eastAsia="仿宋" w:cs="仿宋"/>
          <w:color w:val="auto"/>
          <w:sz w:val="28"/>
          <w:szCs w:val="28"/>
        </w:rPr>
        <w:t>：先发出停机信号，并对控制开关进行停电闭锁，挂上停电牌。</w:t>
      </w:r>
    </w:p>
    <w:p w14:paraId="44191A9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val="en-US" w:eastAsia="zh-CN"/>
        </w:rPr>
        <w:t>输送机</w:t>
      </w:r>
      <w:r>
        <w:rPr>
          <w:rFonts w:hint="eastAsia" w:ascii="仿宋" w:hAnsi="仿宋" w:eastAsia="仿宋" w:cs="仿宋"/>
          <w:b/>
          <w:color w:val="auto"/>
          <w:sz w:val="28"/>
          <w:szCs w:val="28"/>
          <w:highlight w:val="none"/>
        </w:rPr>
        <w:t>司机操作过程中的安全注意事项：</w:t>
      </w:r>
    </w:p>
    <w:p w14:paraId="64E5053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1.</w:t>
      </w:r>
      <w:r>
        <w:rPr>
          <w:rFonts w:hint="eastAsia" w:ascii="仿宋" w:hAnsi="仿宋" w:eastAsia="仿宋" w:cs="仿宋"/>
          <w:b/>
          <w:color w:val="auto"/>
          <w:sz w:val="28"/>
          <w:szCs w:val="28"/>
          <w:highlight w:val="none"/>
        </w:rPr>
        <w:t>看显示</w:t>
      </w:r>
      <w:r>
        <w:rPr>
          <w:rFonts w:hint="eastAsia" w:ascii="仿宋" w:hAnsi="仿宋" w:eastAsia="仿宋" w:cs="仿宋"/>
          <w:b/>
          <w:color w:val="auto"/>
          <w:sz w:val="28"/>
          <w:szCs w:val="28"/>
          <w:highlight w:val="none"/>
          <w:lang w:eastAsia="zh-CN"/>
        </w:rPr>
        <w:t>：</w:t>
      </w:r>
      <w:r>
        <w:rPr>
          <w:rFonts w:hint="eastAsia" w:ascii="仿宋" w:hAnsi="仿宋" w:eastAsia="仿宋" w:cs="仿宋"/>
          <w:color w:val="auto"/>
          <w:sz w:val="28"/>
          <w:szCs w:val="28"/>
        </w:rPr>
        <w:t>注意观察信号、保护显示，出现异常立即停机。</w:t>
      </w:r>
    </w:p>
    <w:p w14:paraId="2646C06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2.看设备：</w:t>
      </w:r>
      <w:r>
        <w:rPr>
          <w:rFonts w:hint="eastAsia" w:ascii="仿宋" w:hAnsi="仿宋" w:eastAsia="仿宋" w:cs="仿宋"/>
          <w:color w:val="auto"/>
          <w:sz w:val="28"/>
          <w:szCs w:val="28"/>
        </w:rPr>
        <w:t>随时观察输送机、输送带运行情况，出现设备故障、输送带撕裂、接头断裂和发现有大块煤矸、铁器、超长材料时立即停机处理。</w:t>
      </w:r>
    </w:p>
    <w:p w14:paraId="155EEC1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3.听信号：</w:t>
      </w:r>
      <w:r>
        <w:rPr>
          <w:rFonts w:hint="eastAsia" w:ascii="仿宋" w:hAnsi="仿宋" w:eastAsia="仿宋" w:cs="仿宋"/>
          <w:color w:val="auto"/>
          <w:sz w:val="28"/>
          <w:szCs w:val="28"/>
        </w:rPr>
        <w:t>严格按信号指令操作，出现情况不明的意外信号立即停机。</w:t>
      </w:r>
    </w:p>
    <w:p w14:paraId="0B1718C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4.听异响：</w:t>
      </w:r>
      <w:r>
        <w:rPr>
          <w:rFonts w:hint="eastAsia" w:ascii="仿宋" w:hAnsi="仿宋" w:eastAsia="仿宋" w:cs="仿宋"/>
          <w:color w:val="auto"/>
          <w:sz w:val="28"/>
          <w:szCs w:val="28"/>
        </w:rPr>
        <w:t>出现严重异响或非正常震动立即停机。</w:t>
      </w:r>
    </w:p>
    <w:p w14:paraId="58C3A98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5.嗅异味：</w:t>
      </w:r>
      <w:r>
        <w:rPr>
          <w:rFonts w:hint="eastAsia" w:ascii="仿宋" w:hAnsi="仿宋" w:eastAsia="仿宋" w:cs="仿宋"/>
          <w:color w:val="auto"/>
          <w:sz w:val="28"/>
          <w:szCs w:val="28"/>
        </w:rPr>
        <w:t>闻到异常气味立即停机。</w:t>
      </w:r>
    </w:p>
    <w:p w14:paraId="4790FF6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b/>
          <w:color w:val="auto"/>
          <w:sz w:val="28"/>
          <w:szCs w:val="28"/>
          <w:highlight w:val="none"/>
          <w:lang w:val="en-US" w:eastAsia="zh-CN"/>
        </w:rPr>
        <w:t>6.正常操作：</w:t>
      </w:r>
      <w:r>
        <w:rPr>
          <w:rFonts w:hint="eastAsia" w:ascii="仿宋" w:hAnsi="仿宋" w:eastAsia="仿宋" w:cs="仿宋"/>
          <w:color w:val="auto"/>
          <w:sz w:val="28"/>
          <w:szCs w:val="28"/>
        </w:rPr>
        <w:t>不准超负荷强行启动；严禁人员乘坐，严禁无措施运送设备和物料；严禁带负荷停机</w:t>
      </w:r>
      <w:r>
        <w:rPr>
          <w:rFonts w:hint="eastAsia" w:ascii="仿宋" w:hAnsi="仿宋" w:eastAsia="仿宋" w:cs="仿宋"/>
          <w:color w:val="auto"/>
          <w:sz w:val="28"/>
          <w:szCs w:val="28"/>
          <w:lang w:eastAsia="zh-CN"/>
        </w:rPr>
        <w:t>。</w:t>
      </w:r>
    </w:p>
    <w:p w14:paraId="025647C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7.紧急停机：</w:t>
      </w:r>
      <w:r>
        <w:rPr>
          <w:rFonts w:hint="eastAsia" w:ascii="仿宋" w:hAnsi="仿宋" w:eastAsia="仿宋" w:cs="仿宋"/>
          <w:color w:val="auto"/>
          <w:sz w:val="28"/>
          <w:szCs w:val="28"/>
        </w:rPr>
        <w:t>发现机械、电气部件温升超限、接力运输时下一台输送机停机和危及人身安全时立即停机。</w:t>
      </w:r>
    </w:p>
    <w:p w14:paraId="1D08763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8.站位：</w:t>
      </w:r>
      <w:r>
        <w:rPr>
          <w:rFonts w:hint="eastAsia" w:ascii="仿宋" w:hAnsi="仿宋" w:eastAsia="仿宋" w:cs="仿宋"/>
          <w:color w:val="auto"/>
          <w:sz w:val="28"/>
          <w:szCs w:val="28"/>
        </w:rPr>
        <w:t>严禁擅离工作岗位，禁止在输送机运转时进行维修、清理。</w:t>
      </w:r>
    </w:p>
    <w:p w14:paraId="2BB5A17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4"/>
          <w:highlight w:val="none"/>
        </w:rPr>
      </w:pPr>
      <w:r>
        <w:rPr>
          <w:rFonts w:hint="eastAsia" w:ascii="仿宋" w:hAnsi="仿宋" w:eastAsia="仿宋" w:cs="仿宋"/>
          <w:b/>
          <w:color w:val="auto"/>
          <w:sz w:val="28"/>
          <w:szCs w:val="28"/>
          <w:highlight w:val="none"/>
        </w:rPr>
        <w:t xml:space="preserve">七、全部注意事项  </w:t>
      </w:r>
    </w:p>
    <w:p w14:paraId="55B904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输送机司机必须熟悉输送机性能及构造原理，掌握输送机的一般维护保养和故障处理技能，懂得回采和巷道支护的基本知识，经过培训、考试合格，取得操作资格证后，持证上岗。</w:t>
      </w:r>
    </w:p>
    <w:p w14:paraId="74AFFE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作业范围内的顶帮有危及人身和设备安全时，必须及时汇报、处理后，方准作业。</w:t>
      </w:r>
    </w:p>
    <w:p w14:paraId="09060EA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开机前，应首先检查确认传动装置附近无杂物、管线吊挂整齐、各部位螺丝齐全紧固、盖板完整、油量适当、冷却系统良好、信号齐全清楚、闭锁灵敏。</w:t>
      </w:r>
    </w:p>
    <w:p w14:paraId="46E719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启动运输机前一定要发信号，并喊话，观察周围是否有人，确定人员离开机械运转部位后，开启喷雾装置，先点动2次，再启动试运转，检查传动链松紧程度，是否有跳动、刮底、跑偏、漂链等情况。对试运转中发现的问题要及时处理，处理时要先发出停机信号，并对控制开关进行停电闭锁，挂上停电牌。</w:t>
      </w:r>
    </w:p>
    <w:p w14:paraId="050A45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输送机运行时，司机不得离开岗位，若要离开必须停机停电。</w:t>
      </w:r>
    </w:p>
    <w:p w14:paraId="197DED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输送机运转过程中，岗位工要注意观察其运行状态，随时注意电动机、减速器等各部运转声音是否正常，是否有剧烈震动，电动机、轴承是否发热（一般规定：电动机温度不超过80℃，轴承温度不超过70℃）。</w:t>
      </w:r>
    </w:p>
    <w:p w14:paraId="77531E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输送机运行时，周围人员身体的任何部位严禁探入或伸入输送机机械运转的范围之内，严禁清理转动部位的煤粉，严禁人员倚靠或坐在电缆槽上。</w:t>
      </w:r>
    </w:p>
    <w:p w14:paraId="27F5F1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严禁人员蹬乘输送机或跨越运行过程中的输送机，人员在机道内作业时执行好相关措施规定。</w:t>
      </w:r>
    </w:p>
    <w:p w14:paraId="452531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输送机运行过程中，机头、机尾大架出链正对位置不准有人随意停留、通过，如确需通过时，必须确定输送机内无大块或锚杆等杂物时快速通过，防止发生意外事故。</w:t>
      </w:r>
    </w:p>
    <w:p w14:paraId="6A4CB67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输送机在运转过程中发现下列情况之一，要立即发出停机信号，停机进行妥善处理：</w:t>
      </w:r>
    </w:p>
    <w:p w14:paraId="13DC29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(1)超负荷运转，发生闷车时；</w:t>
      </w:r>
    </w:p>
    <w:p w14:paraId="277C937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(2)刮板链出槽，漂链，掉链，跳齿时；</w:t>
      </w:r>
    </w:p>
    <w:p w14:paraId="7C8BF6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(3)溜槽被拉开或被提起时；</w:t>
      </w:r>
    </w:p>
    <w:p w14:paraId="783505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(4)电气、机械部件温度超限或运转声音不正常时；</w:t>
      </w:r>
    </w:p>
    <w:p w14:paraId="1F8FD5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(5)发现杂料、单体支柱、大块煤矸等异物时；</w:t>
      </w:r>
    </w:p>
    <w:p w14:paraId="68220EA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(6)运输巷转载机或皮带输送机停止运转时；</w:t>
      </w:r>
    </w:p>
    <w:p w14:paraId="1B5280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(7)信号不明或发现有人在刮板输送机上时。</w:t>
      </w:r>
    </w:p>
    <w:p w14:paraId="5C18C6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生产过程中及时调整好输送机的状态，保证输送机平直，对刮板链上缠绕的锚杆等杂物及时停机处理，处理时必须停电闭锁。</w:t>
      </w:r>
    </w:p>
    <w:p w14:paraId="1C18591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12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及时调整好工作面状态，保证刮板输送机机头卸载口的搭接合理，保持机头大架下沿与转载机上沿保持一齐，高度合理。对卸载口搭接调整可采用以下方法</w:t>
      </w:r>
      <w:r>
        <w:rPr>
          <w:rFonts w:hint="eastAsia" w:ascii="仿宋" w:hAnsi="仿宋" w:eastAsia="仿宋" w:cs="仿宋"/>
          <w:color w:val="auto"/>
          <w:sz w:val="28"/>
          <w:szCs w:val="28"/>
          <w:lang w:eastAsia="zh-CN"/>
        </w:rPr>
        <w:t>。</w:t>
      </w:r>
    </w:p>
    <w:p w14:paraId="01BFEB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（1）当机头大架往上帮偏移时，可采用工作面先推进溜尾，然后从溜尾向溜头逐步推移刮板输送机的方式，或者采用溜尾调斜的方式使刮板输送机下窜，直至卸载口搭接合理。</w:t>
      </w:r>
    </w:p>
    <w:p w14:paraId="74279A4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（2）当机头大架往下帮偏移时，可采用工作面先推进溜头，然后从溜头向溜尾逐步推移刮板输送机的方式，或者采用溜头调斜的方式使刮板输送机上窜，直至卸载口搭接合理。</w:t>
      </w:r>
    </w:p>
    <w:p w14:paraId="547EBD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输送机不得重载开停车，严禁大块煤（矸）通过采煤机，有大块影响运输，应停机进行处理。输送机被大块煤矸卡别时，及时将输送机倒转，把大块煤矸倒出进行处理。</w:t>
      </w:r>
    </w:p>
    <w:p w14:paraId="30E1C03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本班工作结束后，待输送机内煤炭全部运出后，向下级运输机发出停机信号，并将输送机停电闭锁。</w:t>
      </w:r>
    </w:p>
    <w:p w14:paraId="199699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15</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工作面每间隔不超过15m安装一套语音信号装置，每套语音信号装置都具有打点及闭锁输送机功能，且能实现工作面内的直接对话和信号联系。</w:t>
      </w:r>
    </w:p>
    <w:p w14:paraId="6D43A63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八、停机后确认</w:t>
      </w:r>
    </w:p>
    <w:p w14:paraId="5DD9B8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1.输送带上无物料：接到停机信号后，将带式输送机上的煤完全拉净。</w:t>
      </w:r>
    </w:p>
    <w:p w14:paraId="70D6A5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2.停电闭锁：控制开关手柄扳到断电位置，锁紧闭锁螺栓。</w:t>
      </w:r>
    </w:p>
    <w:p w14:paraId="2A81CE9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3.喷雾：喷雾已关闭。</w:t>
      </w:r>
    </w:p>
    <w:p w14:paraId="098F451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九、事故案例教育</w:t>
      </w:r>
    </w:p>
    <w:p w14:paraId="2B773C4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628A73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某</w:t>
      </w:r>
      <w:r>
        <w:rPr>
          <w:rFonts w:hint="eastAsia" w:ascii="仿宋" w:hAnsi="仿宋" w:eastAsia="仿宋" w:cs="仿宋"/>
          <w:color w:val="auto"/>
          <w:sz w:val="28"/>
          <w:szCs w:val="28"/>
          <w:highlight w:val="none"/>
        </w:rPr>
        <w:t>年</w:t>
      </w:r>
      <w:r>
        <w:rPr>
          <w:rFonts w:hint="eastAsia" w:ascii="仿宋" w:hAnsi="仿宋" w:eastAsia="仿宋" w:cs="仿宋"/>
          <w:color w:val="auto"/>
          <w:sz w:val="28"/>
          <w:szCs w:val="28"/>
          <w:highlight w:val="none"/>
          <w:lang w:val="en-US" w:eastAsia="zh-CN"/>
        </w:rPr>
        <w:t>某</w:t>
      </w:r>
      <w:r>
        <w:rPr>
          <w:rFonts w:hint="eastAsia" w:ascii="仿宋" w:hAnsi="仿宋" w:eastAsia="仿宋" w:cs="仿宋"/>
          <w:color w:val="auto"/>
          <w:sz w:val="28"/>
          <w:szCs w:val="28"/>
          <w:highlight w:val="none"/>
        </w:rPr>
        <w:t>月</w:t>
      </w:r>
      <w:r>
        <w:rPr>
          <w:rFonts w:hint="eastAsia" w:ascii="仿宋" w:hAnsi="仿宋" w:eastAsia="仿宋" w:cs="仿宋"/>
          <w:color w:val="auto"/>
          <w:sz w:val="28"/>
          <w:szCs w:val="28"/>
          <w:highlight w:val="none"/>
          <w:lang w:val="en-US" w:eastAsia="zh-CN"/>
        </w:rPr>
        <w:t>某</w:t>
      </w:r>
      <w:r>
        <w:rPr>
          <w:rFonts w:hint="eastAsia" w:ascii="仿宋" w:hAnsi="仿宋" w:eastAsia="仿宋" w:cs="仿宋"/>
          <w:color w:val="auto"/>
          <w:sz w:val="28"/>
          <w:szCs w:val="28"/>
          <w:highlight w:val="none"/>
        </w:rPr>
        <w:t>日白班综采三队检修班工长朱××带领本班工人在N1W1运顺缩完胶带输送机后，由于胶带输送机清扫器变形严重没上，胶带输送机正常运转后，17时20分朱××发现胶带输送机尾滚上粘有粘货。朱××在没有停机的情况下，用铁锹去刮尾滚上的粘货，正在运行的胶带输送机将朱××的左手臂及铁锹一起卷入胶带输送机尾滚。班长王××听到喊声立即停机，但为时已晚，朱××当场死亡。</w:t>
      </w:r>
    </w:p>
    <w:p w14:paraId="3B1984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7C08B3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449BA4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造成这起事故的直接原因是死者本人违章作业，不停机清理胶带输送机尾滚上的粘货。</w:t>
      </w:r>
    </w:p>
    <w:p w14:paraId="525C71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793C05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综采三队对职工的安全教育不够，未能使职工真正树立安全第一的思想。</w:t>
      </w:r>
    </w:p>
    <w:p w14:paraId="2C71EC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20468B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继续加强对职工的安全意识教育，整顿班组长以上干部队伍，对冒险蛮干、违章指挥、违章作业的班组长及时撤换。</w:t>
      </w:r>
    </w:p>
    <w:p w14:paraId="1A170C6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加强安全检查，堵塞漏洞，对作业环境差的地点要死看死守。</w:t>
      </w:r>
    </w:p>
    <w:p w14:paraId="01B6E2C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十、常见三违</w:t>
      </w:r>
    </w:p>
    <w:p w14:paraId="039E49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工作面刮板输送机不按规定安设停止和启动的信号装置的</w:t>
      </w:r>
      <w:r>
        <w:rPr>
          <w:rFonts w:hint="eastAsia" w:ascii="仿宋" w:hAnsi="仿宋" w:eastAsia="仿宋" w:cs="仿宋"/>
          <w:color w:val="auto"/>
          <w:sz w:val="28"/>
          <w:szCs w:val="28"/>
          <w:highlight w:val="none"/>
          <w:lang w:eastAsia="zh-CN"/>
        </w:rPr>
        <w:t>；</w:t>
      </w:r>
    </w:p>
    <w:p w14:paraId="7CF91E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刮板输送机（转载机）司机开机之前未发出开机警示的</w:t>
      </w:r>
      <w:r>
        <w:rPr>
          <w:rFonts w:hint="eastAsia" w:ascii="仿宋" w:hAnsi="仿宋" w:eastAsia="仿宋" w:cs="仿宋"/>
          <w:color w:val="auto"/>
          <w:sz w:val="28"/>
          <w:szCs w:val="28"/>
          <w:highlight w:val="none"/>
          <w:lang w:eastAsia="zh-CN"/>
        </w:rPr>
        <w:t>；</w:t>
      </w:r>
    </w:p>
    <w:p w14:paraId="22137BD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刮板输送机（转载机）运行期间，人员从事捡锚杆等杂物的</w:t>
      </w:r>
      <w:r>
        <w:rPr>
          <w:rFonts w:hint="eastAsia" w:ascii="仿宋" w:hAnsi="仿宋" w:eastAsia="仿宋" w:cs="仿宋"/>
          <w:color w:val="auto"/>
          <w:sz w:val="28"/>
          <w:szCs w:val="28"/>
          <w:highlight w:val="none"/>
          <w:lang w:eastAsia="zh-CN"/>
        </w:rPr>
        <w:t>；</w:t>
      </w:r>
    </w:p>
    <w:p w14:paraId="2C378F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刮板输送机尾及皮带机尾未打点柱、地锚，或打设不合格的</w:t>
      </w:r>
      <w:r>
        <w:rPr>
          <w:rFonts w:hint="eastAsia" w:ascii="仿宋" w:hAnsi="仿宋" w:eastAsia="仿宋" w:cs="仿宋"/>
          <w:color w:val="auto"/>
          <w:sz w:val="28"/>
          <w:szCs w:val="28"/>
          <w:highlight w:val="none"/>
          <w:lang w:eastAsia="zh-CN"/>
        </w:rPr>
        <w:t>；</w:t>
      </w:r>
    </w:p>
    <w:p w14:paraId="0B4EF3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（五）无措施用输送带、刮板输送机运送超长或超重物料</w:t>
      </w:r>
      <w:r>
        <w:rPr>
          <w:rFonts w:hint="eastAsia" w:ascii="仿宋" w:hAnsi="仿宋" w:eastAsia="仿宋" w:cs="仿宋"/>
          <w:color w:val="auto"/>
          <w:sz w:val="28"/>
          <w:szCs w:val="28"/>
          <w:highlight w:val="none"/>
        </w:rPr>
        <w:t>的</w:t>
      </w:r>
      <w:r>
        <w:rPr>
          <w:rFonts w:hint="eastAsia" w:ascii="仿宋" w:hAnsi="仿宋" w:eastAsia="仿宋" w:cs="仿宋"/>
          <w:color w:val="auto"/>
          <w:sz w:val="28"/>
          <w:szCs w:val="28"/>
          <w:highlight w:val="none"/>
          <w:lang w:eastAsia="zh-CN"/>
        </w:rPr>
        <w:t>；</w:t>
      </w:r>
    </w:p>
    <w:p w14:paraId="5EE3CF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（六）带式输送机运行期间，人员直接跨越皮带到皮带另一帮作业的；</w:t>
      </w:r>
    </w:p>
    <w:p w14:paraId="16B151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（七）带式输送机开机时，没有按规定信号联系的；</w:t>
      </w:r>
    </w:p>
    <w:p w14:paraId="17B750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（八）带式输送机跑偏使用木板、铁管等不转动物体别皮带；</w:t>
      </w:r>
    </w:p>
    <w:p w14:paraId="35CAFFE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（九）带式输送机消防设施不全或失效；</w:t>
      </w:r>
    </w:p>
    <w:p w14:paraId="79779F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（十）带式输送机机头没按规定使用降尘水幕；</w:t>
      </w:r>
    </w:p>
    <w:p w14:paraId="4F2E74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（十一）带式输送机巷道内浮煤多磨皮带；</w:t>
      </w:r>
    </w:p>
    <w:p w14:paraId="5F67A41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（十二）带式输送机跑偏不及时调整；</w:t>
      </w:r>
    </w:p>
    <w:p w14:paraId="05EF0EA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（十三）带式输送机顶、底托滚不齐全或损坏后不及时更换；</w:t>
      </w:r>
    </w:p>
    <w:p w14:paraId="1E1285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（十四）带式输送机皮带下卧底和破帮防护网绑的不到位或不牢；</w:t>
      </w:r>
    </w:p>
    <w:p w14:paraId="285A39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（十五）带式输送机综合保护不齐全、不灵敏可靠或甩掉保护不用的。</w:t>
      </w:r>
    </w:p>
    <w:p w14:paraId="517C6FAD">
      <w:pPr>
        <w:rPr>
          <w:rFonts w:hint="eastAsia" w:ascii="仿宋" w:hAnsi="仿宋" w:eastAsia="仿宋" w:cs="仿宋"/>
          <w:b/>
          <w:color w:val="auto"/>
          <w:sz w:val="36"/>
          <w:szCs w:val="36"/>
          <w:highlight w:val="none"/>
          <w:lang w:val="en-US" w:eastAsia="zh-CN"/>
        </w:rPr>
      </w:pPr>
      <w:bookmarkStart w:id="101" w:name="_Toc10057"/>
      <w:bookmarkStart w:id="102" w:name="_Toc25088"/>
      <w:bookmarkStart w:id="103" w:name="_Toc13154"/>
      <w:bookmarkStart w:id="104" w:name="_Toc8962"/>
      <w:bookmarkStart w:id="105" w:name="_Toc13426"/>
      <w:bookmarkStart w:id="106" w:name="_Toc2467"/>
      <w:r>
        <w:rPr>
          <w:rFonts w:hint="eastAsia" w:ascii="仿宋" w:hAnsi="仿宋" w:eastAsia="仿宋" w:cs="仿宋"/>
          <w:b/>
          <w:color w:val="auto"/>
          <w:sz w:val="36"/>
          <w:szCs w:val="36"/>
          <w:highlight w:val="none"/>
          <w:lang w:val="en-US" w:eastAsia="zh-CN"/>
        </w:rPr>
        <w:br w:type="page"/>
      </w:r>
    </w:p>
    <w:p w14:paraId="2FC7ABE5">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rPr>
      </w:pPr>
      <w:bookmarkStart w:id="107" w:name="_Toc15825"/>
      <w:r>
        <w:rPr>
          <w:rFonts w:hint="eastAsia" w:ascii="仿宋" w:hAnsi="仿宋" w:eastAsia="仿宋" w:cs="仿宋"/>
          <w:b/>
          <w:color w:val="auto"/>
          <w:sz w:val="36"/>
          <w:szCs w:val="36"/>
          <w:highlight w:val="none"/>
          <w:lang w:val="en-US" w:eastAsia="zh-CN"/>
        </w:rPr>
        <w:t>维修</w:t>
      </w:r>
      <w:r>
        <w:rPr>
          <w:rFonts w:hint="eastAsia" w:ascii="仿宋" w:hAnsi="仿宋" w:eastAsia="仿宋" w:cs="仿宋"/>
          <w:b/>
          <w:color w:val="auto"/>
          <w:sz w:val="36"/>
          <w:szCs w:val="36"/>
          <w:highlight w:val="none"/>
        </w:rPr>
        <w:t>工</w:t>
      </w:r>
      <w:bookmarkEnd w:id="101"/>
      <w:bookmarkEnd w:id="102"/>
      <w:bookmarkEnd w:id="103"/>
      <w:bookmarkEnd w:id="104"/>
      <w:bookmarkEnd w:id="105"/>
      <w:bookmarkEnd w:id="106"/>
      <w:bookmarkEnd w:id="107"/>
    </w:p>
    <w:tbl>
      <w:tblPr>
        <w:tblStyle w:val="12"/>
        <w:tblW w:w="9020" w:type="dxa"/>
        <w:tblInd w:w="-164" w:type="dxa"/>
        <w:tblLayout w:type="fixed"/>
        <w:tblCellMar>
          <w:top w:w="0" w:type="dxa"/>
          <w:left w:w="108" w:type="dxa"/>
          <w:bottom w:w="0" w:type="dxa"/>
          <w:right w:w="108" w:type="dxa"/>
        </w:tblCellMar>
      </w:tblPr>
      <w:tblGrid>
        <w:gridCol w:w="679"/>
        <w:gridCol w:w="3277"/>
        <w:gridCol w:w="1157"/>
        <w:gridCol w:w="3907"/>
      </w:tblGrid>
      <w:tr w14:paraId="625F65D0">
        <w:tblPrEx>
          <w:tblCellMar>
            <w:top w:w="0" w:type="dxa"/>
            <w:left w:w="108" w:type="dxa"/>
            <w:bottom w:w="0" w:type="dxa"/>
            <w:right w:w="108" w:type="dxa"/>
          </w:tblCellMar>
        </w:tblPrEx>
        <w:trPr>
          <w:trHeight w:val="346" w:hRule="atLeast"/>
        </w:trPr>
        <w:tc>
          <w:tcPr>
            <w:tcW w:w="9020" w:type="dxa"/>
            <w:gridSpan w:val="4"/>
            <w:tcBorders>
              <w:top w:val="single" w:color="auto" w:sz="4" w:space="0"/>
              <w:left w:val="single" w:color="auto" w:sz="4" w:space="0"/>
              <w:bottom w:val="single" w:color="auto" w:sz="4" w:space="0"/>
              <w:right w:val="single" w:color="auto" w:sz="4" w:space="0"/>
            </w:tcBorders>
            <w:vAlign w:val="center"/>
          </w:tcPr>
          <w:p w14:paraId="262F9D40">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32"/>
                <w:szCs w:val="32"/>
                <w:highlight w:val="none"/>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工岗位风险告知卡</w:t>
            </w:r>
          </w:p>
        </w:tc>
      </w:tr>
      <w:tr w14:paraId="1CC8BDB5">
        <w:tblPrEx>
          <w:tblCellMar>
            <w:top w:w="0" w:type="dxa"/>
            <w:left w:w="108" w:type="dxa"/>
            <w:bottom w:w="0" w:type="dxa"/>
            <w:right w:w="108" w:type="dxa"/>
          </w:tblCellMar>
        </w:tblPrEx>
        <w:trPr>
          <w:trHeight w:val="1353" w:hRule="atLeast"/>
        </w:trPr>
        <w:tc>
          <w:tcPr>
            <w:tcW w:w="679" w:type="dxa"/>
            <w:tcBorders>
              <w:top w:val="nil"/>
              <w:left w:val="single" w:color="auto" w:sz="4" w:space="0"/>
              <w:bottom w:val="single" w:color="auto" w:sz="4" w:space="0"/>
              <w:right w:val="single" w:color="auto" w:sz="4" w:space="0"/>
            </w:tcBorders>
            <w:vAlign w:val="center"/>
          </w:tcPr>
          <w:p w14:paraId="51CEADE7">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风险</w:t>
            </w:r>
          </w:p>
          <w:p w14:paraId="7025BDD7">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类型</w:t>
            </w:r>
          </w:p>
        </w:tc>
        <w:tc>
          <w:tcPr>
            <w:tcW w:w="3277" w:type="dxa"/>
            <w:tcBorders>
              <w:top w:val="nil"/>
              <w:left w:val="nil"/>
              <w:bottom w:val="single" w:color="auto" w:sz="4" w:space="0"/>
              <w:right w:val="single" w:color="auto" w:sz="4" w:space="0"/>
            </w:tcBorders>
            <w:vAlign w:val="center"/>
          </w:tcPr>
          <w:p w14:paraId="3477CC0C">
            <w:pPr>
              <w:keepNext w:val="0"/>
              <w:keepLines w:val="0"/>
              <w:pageBreakBefore w:val="0"/>
              <w:widowControl/>
              <w:kinsoku/>
              <w:wordWrap/>
              <w:overflowPunct/>
              <w:topLinePunct w:val="0"/>
              <w:autoSpaceDE/>
              <w:autoSpaceDN/>
              <w:bidi w:val="0"/>
              <w:adjustRightInd/>
              <w:snapToGrid/>
              <w:jc w:val="both"/>
              <w:textAlignment w:val="auto"/>
              <w:outlineLvl w:val="9"/>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1"/>
                <w:szCs w:val="21"/>
                <w:highlight w:val="none"/>
              </w:rPr>
              <w:t>冒顶（片帮）、机电（触电、机械伤害）</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物体打击</w:t>
            </w:r>
            <w:r>
              <w:rPr>
                <w:rFonts w:hint="eastAsia" w:ascii="仿宋" w:hAnsi="仿宋" w:eastAsia="仿宋" w:cs="仿宋"/>
                <w:color w:val="auto"/>
                <w:kern w:val="0"/>
                <w:sz w:val="21"/>
                <w:szCs w:val="21"/>
                <w:highlight w:val="none"/>
                <w:lang w:eastAsia="zh-CN"/>
              </w:rPr>
              <w:t>、高处坠落、</w:t>
            </w:r>
            <w:r>
              <w:rPr>
                <w:rFonts w:hint="eastAsia" w:ascii="仿宋" w:hAnsi="仿宋" w:eastAsia="仿宋" w:cs="仿宋"/>
                <w:color w:val="auto"/>
                <w:kern w:val="0"/>
                <w:sz w:val="21"/>
                <w:szCs w:val="21"/>
                <w:highlight w:val="none"/>
              </w:rPr>
              <w:t>职业病危害</w:t>
            </w:r>
          </w:p>
        </w:tc>
        <w:tc>
          <w:tcPr>
            <w:tcW w:w="1157" w:type="dxa"/>
            <w:tcBorders>
              <w:top w:val="nil"/>
              <w:left w:val="nil"/>
              <w:bottom w:val="single" w:color="auto" w:sz="4" w:space="0"/>
              <w:right w:val="single" w:color="auto" w:sz="4" w:space="0"/>
            </w:tcBorders>
            <w:vAlign w:val="center"/>
          </w:tcPr>
          <w:p w14:paraId="26361062">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事故</w:t>
            </w:r>
          </w:p>
          <w:p w14:paraId="65E3ECFB">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报告</w:t>
            </w:r>
          </w:p>
        </w:tc>
        <w:tc>
          <w:tcPr>
            <w:tcW w:w="3907" w:type="dxa"/>
            <w:tcBorders>
              <w:top w:val="nil"/>
              <w:left w:val="nil"/>
              <w:bottom w:val="single" w:color="auto" w:sz="4" w:space="0"/>
              <w:right w:val="single" w:color="auto" w:sz="4" w:space="0"/>
            </w:tcBorders>
            <w:vAlign w:val="center"/>
          </w:tcPr>
          <w:p w14:paraId="3457DA36">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2"/>
                <w:szCs w:val="22"/>
                <w:highlight w:val="none"/>
                <w:lang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rPr>
              <w:t>工区值班：</w:t>
            </w:r>
            <w:r>
              <w:rPr>
                <w:rFonts w:hint="eastAsia" w:ascii="仿宋" w:hAnsi="仿宋" w:eastAsia="仿宋" w:cs="仿宋"/>
                <w:color w:val="auto"/>
                <w:kern w:val="0"/>
                <w:sz w:val="21"/>
                <w:szCs w:val="21"/>
                <w:highlight w:val="none"/>
                <w:lang w:val="en-US" w:eastAsia="zh-CN"/>
              </w:rPr>
              <w:t>8650385</w:t>
            </w: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lang w:eastAsia="zh-CN"/>
              </w:rPr>
              <w:t>安监科值班：8650512</w:t>
            </w:r>
          </w:p>
        </w:tc>
      </w:tr>
      <w:tr w14:paraId="6E5A451B">
        <w:tblPrEx>
          <w:tblCellMar>
            <w:top w:w="0" w:type="dxa"/>
            <w:left w:w="108" w:type="dxa"/>
            <w:bottom w:w="0" w:type="dxa"/>
            <w:right w:w="108" w:type="dxa"/>
          </w:tblCellMar>
        </w:tblPrEx>
        <w:trPr>
          <w:trHeight w:val="34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38C3D275">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主要危害因素</w:t>
            </w:r>
          </w:p>
        </w:tc>
        <w:tc>
          <w:tcPr>
            <w:tcW w:w="5064" w:type="dxa"/>
            <w:gridSpan w:val="2"/>
            <w:tcBorders>
              <w:top w:val="single" w:color="auto" w:sz="4" w:space="0"/>
              <w:left w:val="nil"/>
              <w:bottom w:val="single" w:color="auto" w:sz="4" w:space="0"/>
              <w:right w:val="single" w:color="auto" w:sz="4" w:space="0"/>
            </w:tcBorders>
            <w:vAlign w:val="center"/>
          </w:tcPr>
          <w:p w14:paraId="371641D0">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管控措施</w:t>
            </w:r>
          </w:p>
        </w:tc>
      </w:tr>
      <w:tr w14:paraId="353D71DB">
        <w:tblPrEx>
          <w:tblCellMar>
            <w:top w:w="0" w:type="dxa"/>
            <w:left w:w="108" w:type="dxa"/>
            <w:bottom w:w="0" w:type="dxa"/>
            <w:right w:w="108" w:type="dxa"/>
          </w:tblCellMar>
        </w:tblPrEx>
        <w:trPr>
          <w:trHeight w:val="681"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0CF23C7A">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1.顶帮掉落，砸伤人员</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14:paraId="04B92AC9">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1.严格执行敲帮问顶制度，对顶板进行重新安全确认</w:t>
            </w:r>
            <w:r>
              <w:rPr>
                <w:rFonts w:hint="eastAsia" w:ascii="仿宋" w:hAnsi="仿宋" w:eastAsia="仿宋" w:cs="仿宋"/>
                <w:color w:val="auto"/>
                <w:kern w:val="0"/>
                <w:sz w:val="21"/>
                <w:szCs w:val="21"/>
                <w:highlight w:val="none"/>
                <w:lang w:eastAsia="zh-CN"/>
              </w:rPr>
              <w:t>。</w:t>
            </w:r>
          </w:p>
        </w:tc>
      </w:tr>
      <w:tr w14:paraId="2C328D92">
        <w:tblPrEx>
          <w:tblCellMar>
            <w:top w:w="0" w:type="dxa"/>
            <w:left w:w="108" w:type="dxa"/>
            <w:bottom w:w="0" w:type="dxa"/>
            <w:right w:w="108" w:type="dxa"/>
          </w:tblCellMar>
        </w:tblPrEx>
        <w:trPr>
          <w:trHeight w:val="1017"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78568CE8">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检修时未停电</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各种保护失效</w:t>
            </w:r>
            <w:r>
              <w:rPr>
                <w:rFonts w:hint="eastAsia" w:ascii="仿宋" w:hAnsi="仿宋" w:eastAsia="仿宋" w:cs="仿宋"/>
                <w:color w:val="auto"/>
                <w:kern w:val="0"/>
                <w:sz w:val="21"/>
                <w:szCs w:val="21"/>
                <w:highlight w:val="none"/>
              </w:rPr>
              <w:t>；设备</w:t>
            </w:r>
            <w:r>
              <w:rPr>
                <w:rFonts w:hint="eastAsia" w:ascii="仿宋" w:hAnsi="仿宋" w:eastAsia="仿宋" w:cs="仿宋"/>
                <w:color w:val="auto"/>
                <w:kern w:val="0"/>
                <w:sz w:val="21"/>
                <w:szCs w:val="21"/>
                <w:highlight w:val="none"/>
                <w:lang w:val="en-US" w:eastAsia="zh-CN"/>
              </w:rPr>
              <w:t>试</w:t>
            </w:r>
            <w:r>
              <w:rPr>
                <w:rFonts w:hint="eastAsia" w:ascii="仿宋" w:hAnsi="仿宋" w:eastAsia="仿宋" w:cs="仿宋"/>
                <w:color w:val="auto"/>
                <w:kern w:val="0"/>
                <w:sz w:val="21"/>
                <w:szCs w:val="21"/>
                <w:highlight w:val="none"/>
              </w:rPr>
              <w:t>运行期间人员进入行程</w:t>
            </w:r>
            <w:r>
              <w:rPr>
                <w:rFonts w:hint="eastAsia" w:ascii="仿宋" w:hAnsi="仿宋" w:eastAsia="仿宋" w:cs="仿宋"/>
                <w:color w:val="auto"/>
                <w:kern w:val="0"/>
                <w:sz w:val="21"/>
                <w:szCs w:val="21"/>
                <w:highlight w:val="none"/>
                <w:lang w:eastAsia="zh-CN"/>
              </w:rPr>
              <w:t>；带电搬运。</w:t>
            </w:r>
          </w:p>
        </w:tc>
        <w:tc>
          <w:tcPr>
            <w:tcW w:w="5064" w:type="dxa"/>
            <w:gridSpan w:val="2"/>
            <w:tcBorders>
              <w:top w:val="single" w:color="auto" w:sz="4" w:space="0"/>
              <w:left w:val="nil"/>
              <w:bottom w:val="single" w:color="auto" w:sz="4" w:space="0"/>
              <w:right w:val="single" w:color="auto" w:sz="4" w:space="0"/>
            </w:tcBorders>
            <w:vAlign w:val="center"/>
          </w:tcPr>
          <w:p w14:paraId="5C0BCA3A">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2.严格执行好停送电制度，停电闭锁、人员监护到位；</w:t>
            </w:r>
            <w:r>
              <w:rPr>
                <w:rFonts w:hint="eastAsia" w:ascii="仿宋" w:hAnsi="仿宋" w:eastAsia="仿宋" w:cs="仿宋"/>
                <w:color w:val="auto"/>
                <w:kern w:val="0"/>
                <w:sz w:val="21"/>
                <w:szCs w:val="21"/>
                <w:highlight w:val="none"/>
                <w:lang w:val="en-US" w:eastAsia="zh-CN"/>
              </w:rPr>
              <w:t>各种保护必须完整好用</w:t>
            </w:r>
            <w:r>
              <w:rPr>
                <w:rFonts w:hint="eastAsia" w:ascii="仿宋" w:hAnsi="仿宋" w:eastAsia="仿宋" w:cs="仿宋"/>
                <w:color w:val="auto"/>
                <w:kern w:val="0"/>
                <w:sz w:val="21"/>
                <w:szCs w:val="21"/>
                <w:highlight w:val="none"/>
              </w:rPr>
              <w:t>；做好清人制度</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lang w:val="en-US" w:eastAsia="zh-CN"/>
              </w:rPr>
              <w:t>严禁带电搬运设备</w:t>
            </w:r>
            <w:r>
              <w:rPr>
                <w:rFonts w:hint="eastAsia" w:ascii="仿宋" w:hAnsi="仿宋" w:eastAsia="仿宋" w:cs="仿宋"/>
                <w:color w:val="auto"/>
                <w:kern w:val="0"/>
                <w:sz w:val="21"/>
                <w:szCs w:val="21"/>
                <w:highlight w:val="none"/>
                <w:lang w:eastAsia="zh-CN"/>
              </w:rPr>
              <w:t>。</w:t>
            </w:r>
          </w:p>
        </w:tc>
      </w:tr>
      <w:tr w14:paraId="2CCDDC0F">
        <w:tblPrEx>
          <w:tblCellMar>
            <w:top w:w="0" w:type="dxa"/>
            <w:left w:w="108" w:type="dxa"/>
            <w:bottom w:w="0" w:type="dxa"/>
            <w:right w:w="108" w:type="dxa"/>
          </w:tblCellMar>
        </w:tblPrEx>
        <w:trPr>
          <w:trHeight w:val="619"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0526DD85">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val="en-US" w:eastAsia="zh-CN"/>
              </w:rPr>
              <w:t>维</w:t>
            </w:r>
            <w:r>
              <w:rPr>
                <w:rFonts w:hint="eastAsia" w:ascii="仿宋" w:hAnsi="仿宋" w:eastAsia="仿宋" w:cs="仿宋"/>
                <w:color w:val="auto"/>
                <w:kern w:val="0"/>
                <w:sz w:val="21"/>
                <w:szCs w:val="21"/>
                <w:highlight w:val="none"/>
              </w:rPr>
              <w:t>修时使用风动工具时与管路间连接不牢，管头甩出打人；人员站位不当</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14:paraId="5424FCA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3.与管路连接后必须用专用卡子进行固定；人员合理站位</w:t>
            </w:r>
            <w:r>
              <w:rPr>
                <w:rFonts w:hint="eastAsia" w:ascii="仿宋" w:hAnsi="仿宋" w:eastAsia="仿宋" w:cs="仿宋"/>
                <w:color w:val="auto"/>
                <w:kern w:val="0"/>
                <w:sz w:val="21"/>
                <w:szCs w:val="21"/>
                <w:highlight w:val="none"/>
                <w:lang w:eastAsia="zh-CN"/>
              </w:rPr>
              <w:t>。</w:t>
            </w:r>
          </w:p>
        </w:tc>
      </w:tr>
      <w:tr w14:paraId="7907F145">
        <w:tblPrEx>
          <w:tblCellMar>
            <w:top w:w="0" w:type="dxa"/>
            <w:left w:w="108" w:type="dxa"/>
            <w:bottom w:w="0" w:type="dxa"/>
            <w:right w:w="108" w:type="dxa"/>
          </w:tblCellMar>
        </w:tblPrEx>
        <w:trPr>
          <w:trHeight w:val="62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08E1BA8E">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4.人员</w:t>
            </w:r>
            <w:r>
              <w:rPr>
                <w:rFonts w:hint="eastAsia" w:ascii="仿宋" w:hAnsi="仿宋" w:eastAsia="仿宋" w:cs="仿宋"/>
                <w:color w:val="auto"/>
                <w:kern w:val="0"/>
                <w:sz w:val="21"/>
                <w:szCs w:val="21"/>
                <w:highlight w:val="none"/>
                <w:lang w:val="en-US" w:eastAsia="zh-CN"/>
              </w:rPr>
              <w:t>维</w:t>
            </w:r>
            <w:r>
              <w:rPr>
                <w:rFonts w:hint="eastAsia" w:ascii="仿宋" w:hAnsi="仿宋" w:eastAsia="仿宋" w:cs="仿宋"/>
                <w:color w:val="auto"/>
                <w:kern w:val="0"/>
                <w:sz w:val="21"/>
                <w:szCs w:val="21"/>
                <w:highlight w:val="none"/>
              </w:rPr>
              <w:t>修时，登高作业</w:t>
            </w:r>
            <w:r>
              <w:rPr>
                <w:rFonts w:hint="eastAsia" w:ascii="仿宋" w:hAnsi="仿宋" w:eastAsia="仿宋" w:cs="仿宋"/>
                <w:color w:val="auto"/>
                <w:kern w:val="0"/>
                <w:sz w:val="21"/>
                <w:szCs w:val="21"/>
                <w:highlight w:val="none"/>
                <w:lang w:eastAsia="zh-CN"/>
              </w:rPr>
              <w:t>；作业平台施打不牢固。</w:t>
            </w:r>
          </w:p>
        </w:tc>
        <w:tc>
          <w:tcPr>
            <w:tcW w:w="5064" w:type="dxa"/>
            <w:gridSpan w:val="2"/>
            <w:tcBorders>
              <w:top w:val="single" w:color="auto" w:sz="4" w:space="0"/>
              <w:left w:val="nil"/>
              <w:bottom w:val="single" w:color="auto" w:sz="4" w:space="0"/>
              <w:right w:val="single" w:color="auto" w:sz="4" w:space="0"/>
            </w:tcBorders>
            <w:vAlign w:val="center"/>
          </w:tcPr>
          <w:p w14:paraId="676B62EF">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4.人员</w:t>
            </w:r>
            <w:r>
              <w:rPr>
                <w:rFonts w:hint="eastAsia" w:ascii="仿宋" w:hAnsi="仿宋" w:eastAsia="仿宋" w:cs="仿宋"/>
                <w:color w:val="auto"/>
                <w:kern w:val="0"/>
                <w:sz w:val="21"/>
                <w:szCs w:val="21"/>
                <w:highlight w:val="none"/>
                <w:lang w:val="en-US" w:eastAsia="zh-CN"/>
              </w:rPr>
              <w:t>登</w:t>
            </w:r>
            <w:r>
              <w:rPr>
                <w:rFonts w:hint="eastAsia" w:ascii="仿宋" w:hAnsi="仿宋" w:eastAsia="仿宋" w:cs="仿宋"/>
                <w:color w:val="auto"/>
                <w:kern w:val="0"/>
                <w:sz w:val="21"/>
                <w:szCs w:val="21"/>
                <w:highlight w:val="none"/>
              </w:rPr>
              <w:t>高时，必须安排人员监护</w:t>
            </w:r>
            <w:r>
              <w:rPr>
                <w:rFonts w:hint="eastAsia" w:ascii="仿宋" w:hAnsi="仿宋" w:eastAsia="仿宋" w:cs="仿宋"/>
                <w:color w:val="auto"/>
                <w:kern w:val="0"/>
                <w:sz w:val="21"/>
                <w:szCs w:val="21"/>
                <w:highlight w:val="none"/>
                <w:lang w:eastAsia="zh-CN"/>
              </w:rPr>
              <w:t>；作业平台的施打必须牢固可靠。</w:t>
            </w:r>
          </w:p>
        </w:tc>
      </w:tr>
      <w:tr w14:paraId="02AEF5E5">
        <w:tblPrEx>
          <w:tblCellMar>
            <w:top w:w="0" w:type="dxa"/>
            <w:left w:w="108" w:type="dxa"/>
            <w:bottom w:w="0" w:type="dxa"/>
            <w:right w:w="108" w:type="dxa"/>
          </w:tblCellMar>
        </w:tblPrEx>
        <w:trPr>
          <w:trHeight w:val="34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0A6FB9C5">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5.未佩戴防尘口罩等劳保用品</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14:paraId="50F172D3">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5.佩戴防尘口罩等劳保用品</w:t>
            </w:r>
            <w:r>
              <w:rPr>
                <w:rFonts w:hint="eastAsia" w:ascii="仿宋" w:hAnsi="仿宋" w:eastAsia="仿宋" w:cs="仿宋"/>
                <w:color w:val="auto"/>
                <w:kern w:val="0"/>
                <w:sz w:val="21"/>
                <w:szCs w:val="21"/>
                <w:highlight w:val="none"/>
                <w:lang w:eastAsia="zh-CN"/>
              </w:rPr>
              <w:t>。</w:t>
            </w:r>
          </w:p>
        </w:tc>
      </w:tr>
      <w:tr w14:paraId="41A81170">
        <w:tblPrEx>
          <w:tblCellMar>
            <w:top w:w="0" w:type="dxa"/>
            <w:left w:w="108" w:type="dxa"/>
            <w:bottom w:w="0" w:type="dxa"/>
            <w:right w:w="108" w:type="dxa"/>
          </w:tblCellMar>
        </w:tblPrEx>
        <w:trPr>
          <w:trHeight w:val="796" w:hRule="atLeast"/>
        </w:trPr>
        <w:tc>
          <w:tcPr>
            <w:tcW w:w="679" w:type="dxa"/>
            <w:tcBorders>
              <w:top w:val="single" w:color="auto" w:sz="4" w:space="0"/>
              <w:left w:val="single" w:color="auto" w:sz="4" w:space="0"/>
              <w:bottom w:val="single" w:color="auto" w:sz="4" w:space="0"/>
              <w:right w:val="single" w:color="auto" w:sz="4" w:space="0"/>
            </w:tcBorders>
            <w:vAlign w:val="center"/>
          </w:tcPr>
          <w:p w14:paraId="124F709D">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2F3EB7FC">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41" w:type="dxa"/>
            <w:gridSpan w:val="3"/>
            <w:tcBorders>
              <w:top w:val="single" w:color="auto" w:sz="4" w:space="0"/>
              <w:left w:val="nil"/>
              <w:bottom w:val="single" w:color="auto" w:sz="4" w:space="0"/>
              <w:right w:val="single" w:color="auto" w:sz="4" w:space="0"/>
            </w:tcBorders>
            <w:vAlign w:val="center"/>
          </w:tcPr>
          <w:p w14:paraId="456212EE">
            <w:pPr>
              <w:pStyle w:val="2"/>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7DB56C9D">
            <w:pPr>
              <w:pStyle w:val="2"/>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firstLine="420" w:firstLineChars="200"/>
              <w:textAlignment w:val="auto"/>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6383A3B3">
        <w:tblPrEx>
          <w:tblCellMar>
            <w:top w:w="0" w:type="dxa"/>
            <w:left w:w="108" w:type="dxa"/>
            <w:bottom w:w="0" w:type="dxa"/>
            <w:right w:w="108" w:type="dxa"/>
          </w:tblCellMar>
        </w:tblPrEx>
        <w:trPr>
          <w:trHeight w:val="1363" w:hRule="atLeast"/>
        </w:trPr>
        <w:tc>
          <w:tcPr>
            <w:tcW w:w="679" w:type="dxa"/>
            <w:tcBorders>
              <w:top w:val="single" w:color="auto" w:sz="4" w:space="0"/>
              <w:left w:val="single" w:color="auto" w:sz="4" w:space="0"/>
              <w:bottom w:val="single" w:color="auto" w:sz="4" w:space="0"/>
              <w:right w:val="single" w:color="auto" w:sz="4" w:space="0"/>
            </w:tcBorders>
            <w:vAlign w:val="center"/>
          </w:tcPr>
          <w:p w14:paraId="60FF0BC0">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14:paraId="4A467491">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14:paraId="03FCCCDA">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8341" w:type="dxa"/>
            <w:gridSpan w:val="3"/>
            <w:tcBorders>
              <w:top w:val="single" w:color="auto" w:sz="4" w:space="0"/>
              <w:left w:val="nil"/>
              <w:bottom w:val="single" w:color="auto" w:sz="4" w:space="0"/>
              <w:right w:val="single" w:color="auto" w:sz="4" w:space="0"/>
            </w:tcBorders>
            <w:vAlign w:val="center"/>
          </w:tcPr>
          <w:p w14:paraId="59A573EF">
            <w:pPr>
              <w:keepNext w:val="0"/>
              <w:keepLines w:val="0"/>
              <w:pageBreakBefore w:val="0"/>
              <w:widowControl/>
              <w:numPr>
                <w:ilvl w:val="0"/>
                <w:numId w:val="0"/>
              </w:numPr>
              <w:kinsoku/>
              <w:wordWrap/>
              <w:overflowPunct/>
              <w:topLinePunct w:val="0"/>
              <w:autoSpaceDE/>
              <w:autoSpaceDN/>
              <w:bidi w:val="0"/>
              <w:adjustRightInd/>
              <w:snapToGrid/>
              <w:ind w:firstLine="210" w:firstLineChars="100"/>
              <w:jc w:val="left"/>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出现紧急情况时，应立即停止工作，采取安全处理后，方可继续施工。</w:t>
            </w:r>
          </w:p>
          <w:p w14:paraId="39E4ADC0">
            <w:pPr>
              <w:keepNext w:val="0"/>
              <w:keepLines w:val="0"/>
              <w:pageBreakBefore w:val="0"/>
              <w:widowControl/>
              <w:numPr>
                <w:ilvl w:val="0"/>
                <w:numId w:val="0"/>
              </w:numPr>
              <w:kinsoku/>
              <w:wordWrap/>
              <w:overflowPunct/>
              <w:topLinePunct w:val="0"/>
              <w:autoSpaceDE/>
              <w:autoSpaceDN/>
              <w:bidi w:val="0"/>
              <w:adjustRightInd/>
              <w:snapToGrid/>
              <w:ind w:firstLine="210" w:firstLineChars="1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76832AA3">
      <w:pPr>
        <w:pStyle w:val="2"/>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045" w:type="dxa"/>
        <w:tblInd w:w="-164" w:type="dxa"/>
        <w:tblLayout w:type="fixed"/>
        <w:tblCellMar>
          <w:top w:w="0" w:type="dxa"/>
          <w:left w:w="108" w:type="dxa"/>
          <w:bottom w:w="0" w:type="dxa"/>
          <w:right w:w="108" w:type="dxa"/>
        </w:tblCellMar>
      </w:tblPr>
      <w:tblGrid>
        <w:gridCol w:w="1535"/>
        <w:gridCol w:w="1292"/>
        <w:gridCol w:w="1142"/>
        <w:gridCol w:w="5046"/>
        <w:gridCol w:w="30"/>
      </w:tblGrid>
      <w:tr w14:paraId="3C6E390A">
        <w:tblPrEx>
          <w:tblCellMar>
            <w:top w:w="0" w:type="dxa"/>
            <w:left w:w="108" w:type="dxa"/>
            <w:bottom w:w="0" w:type="dxa"/>
            <w:right w:w="108" w:type="dxa"/>
          </w:tblCellMar>
        </w:tblPrEx>
        <w:trPr>
          <w:gridAfter w:val="1"/>
          <w:wAfter w:w="30" w:type="dxa"/>
          <w:trHeight w:val="480" w:hRule="atLeast"/>
        </w:trPr>
        <w:tc>
          <w:tcPr>
            <w:tcW w:w="9015" w:type="dxa"/>
            <w:gridSpan w:val="4"/>
            <w:tcBorders>
              <w:top w:val="single" w:color="auto" w:sz="4" w:space="0"/>
              <w:left w:val="single" w:color="auto" w:sz="4" w:space="0"/>
              <w:bottom w:val="single" w:color="auto" w:sz="4" w:space="0"/>
              <w:right w:val="single" w:color="auto" w:sz="4" w:space="0"/>
            </w:tcBorders>
            <w:vAlign w:val="center"/>
          </w:tcPr>
          <w:p w14:paraId="02ABD7EB">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b/>
                <w:bCs/>
                <w:color w:val="auto"/>
                <w:kern w:val="0"/>
                <w:sz w:val="21"/>
                <w:szCs w:val="21"/>
                <w:highlight w:val="none"/>
                <w:lang w:val="en-US" w:eastAsia="zh-CN"/>
              </w:rPr>
              <w:t>维修</w:t>
            </w:r>
            <w:r>
              <w:rPr>
                <w:rFonts w:hint="eastAsia" w:ascii="仿宋" w:hAnsi="仿宋" w:eastAsia="仿宋" w:cs="仿宋"/>
                <w:b/>
                <w:bCs/>
                <w:color w:val="auto"/>
                <w:kern w:val="0"/>
                <w:sz w:val="21"/>
                <w:szCs w:val="21"/>
                <w:highlight w:val="none"/>
              </w:rPr>
              <w:t>工安全提示卡</w:t>
            </w:r>
          </w:p>
        </w:tc>
      </w:tr>
      <w:tr w14:paraId="5E4808B5">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7975DFF3">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前</w:t>
            </w:r>
            <w:r>
              <w:rPr>
                <w:rFonts w:hint="eastAsia" w:ascii="仿宋" w:hAnsi="仿宋" w:eastAsia="仿宋" w:cs="仿宋"/>
                <w:color w:val="auto"/>
                <w:kern w:val="0"/>
                <w:sz w:val="21"/>
                <w:szCs w:val="21"/>
                <w:highlight w:val="none"/>
                <w:lang w:val="en-US" w:eastAsia="zh-CN"/>
              </w:rPr>
              <w:t>检查</w:t>
            </w:r>
          </w:p>
        </w:tc>
        <w:tc>
          <w:tcPr>
            <w:tcW w:w="5046" w:type="dxa"/>
            <w:tcBorders>
              <w:top w:val="single" w:color="auto" w:sz="4" w:space="0"/>
              <w:left w:val="single" w:color="auto" w:sz="4" w:space="0"/>
              <w:bottom w:val="single" w:color="auto" w:sz="4" w:space="0"/>
              <w:right w:val="single" w:color="auto" w:sz="4" w:space="0"/>
            </w:tcBorders>
            <w:vAlign w:val="center"/>
          </w:tcPr>
          <w:p w14:paraId="55E8BD9A">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后</w:t>
            </w:r>
            <w:r>
              <w:rPr>
                <w:rFonts w:hint="eastAsia" w:ascii="仿宋" w:hAnsi="仿宋" w:eastAsia="仿宋" w:cs="仿宋"/>
                <w:color w:val="auto"/>
                <w:kern w:val="0"/>
                <w:sz w:val="21"/>
                <w:szCs w:val="21"/>
                <w:highlight w:val="none"/>
                <w:lang w:val="en-US" w:eastAsia="zh-CN"/>
              </w:rPr>
              <w:t>确认</w:t>
            </w:r>
          </w:p>
        </w:tc>
      </w:tr>
      <w:tr w14:paraId="303F5539">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72169526">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5046" w:type="dxa"/>
            <w:tcBorders>
              <w:top w:val="single" w:color="auto" w:sz="4" w:space="0"/>
              <w:left w:val="single" w:color="auto" w:sz="4" w:space="0"/>
              <w:bottom w:val="single" w:color="auto" w:sz="4" w:space="0"/>
              <w:right w:val="single" w:color="auto" w:sz="4" w:space="0"/>
            </w:tcBorders>
            <w:vAlign w:val="center"/>
          </w:tcPr>
          <w:p w14:paraId="4D0FD2E5">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1.零部件、连接</w:t>
            </w:r>
          </w:p>
        </w:tc>
      </w:tr>
      <w:tr w14:paraId="3308AD9E">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55C6FFF2">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2.停电闭锁</w:t>
            </w:r>
          </w:p>
        </w:tc>
        <w:tc>
          <w:tcPr>
            <w:tcW w:w="5046" w:type="dxa"/>
            <w:tcBorders>
              <w:top w:val="single" w:color="auto" w:sz="4" w:space="0"/>
              <w:left w:val="single" w:color="auto" w:sz="4" w:space="0"/>
              <w:bottom w:val="single" w:color="auto" w:sz="4" w:space="0"/>
              <w:right w:val="single" w:color="auto" w:sz="4" w:space="0"/>
            </w:tcBorders>
            <w:vAlign w:val="center"/>
          </w:tcPr>
          <w:p w14:paraId="4F8A41FD">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2.</w:t>
            </w:r>
            <w:r>
              <w:rPr>
                <w:rFonts w:hint="eastAsia" w:ascii="仿宋" w:hAnsi="仿宋" w:eastAsia="仿宋" w:cs="仿宋"/>
                <w:color w:val="auto"/>
                <w:kern w:val="0"/>
                <w:sz w:val="21"/>
                <w:szCs w:val="21"/>
                <w:highlight w:val="none"/>
                <w:lang w:val="en-US" w:eastAsia="zh-CN"/>
              </w:rPr>
              <w:t>工具、材料、备件</w:t>
            </w:r>
          </w:p>
        </w:tc>
      </w:tr>
      <w:tr w14:paraId="6E54C20C">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1B2B4F68">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 xml:space="preserve">  3.瓦斯</w:t>
            </w:r>
          </w:p>
        </w:tc>
        <w:tc>
          <w:tcPr>
            <w:tcW w:w="5046" w:type="dxa"/>
            <w:tcBorders>
              <w:top w:val="single" w:color="auto" w:sz="4" w:space="0"/>
              <w:left w:val="single" w:color="auto" w:sz="4" w:space="0"/>
              <w:bottom w:val="single" w:color="auto" w:sz="4" w:space="0"/>
              <w:right w:val="single" w:color="auto" w:sz="4" w:space="0"/>
            </w:tcBorders>
            <w:vAlign w:val="center"/>
          </w:tcPr>
          <w:p w14:paraId="683860BD">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3.</w:t>
            </w:r>
            <w:r>
              <w:rPr>
                <w:rFonts w:hint="eastAsia" w:ascii="仿宋" w:hAnsi="仿宋" w:eastAsia="仿宋" w:cs="仿宋"/>
                <w:color w:val="auto"/>
                <w:kern w:val="0"/>
                <w:sz w:val="21"/>
                <w:szCs w:val="21"/>
                <w:highlight w:val="none"/>
                <w:lang w:val="en-US" w:eastAsia="zh-CN"/>
              </w:rPr>
              <w:t>送电试运转</w:t>
            </w:r>
          </w:p>
        </w:tc>
      </w:tr>
      <w:tr w14:paraId="6778C7F4">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75FF70F2">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了解故障部位、性质</w:t>
            </w:r>
          </w:p>
        </w:tc>
        <w:tc>
          <w:tcPr>
            <w:tcW w:w="5046" w:type="dxa"/>
            <w:tcBorders>
              <w:top w:val="single" w:color="auto" w:sz="4" w:space="0"/>
              <w:left w:val="single" w:color="auto" w:sz="4" w:space="0"/>
              <w:bottom w:val="single" w:color="auto" w:sz="4" w:space="0"/>
              <w:right w:val="single" w:color="auto" w:sz="4" w:space="0"/>
            </w:tcBorders>
            <w:vAlign w:val="center"/>
          </w:tcPr>
          <w:p w14:paraId="5D0C9CEC">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停电闭锁</w:t>
            </w:r>
          </w:p>
        </w:tc>
      </w:tr>
      <w:tr w14:paraId="05FB71D1">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75EA1D1D">
            <w:pPr>
              <w:keepNext w:val="0"/>
              <w:keepLines w:val="0"/>
              <w:pageBreakBefore w:val="0"/>
              <w:widowControl/>
              <w:kinsoku/>
              <w:wordWrap/>
              <w:overflowPunct/>
              <w:topLinePunct w:val="0"/>
              <w:autoSpaceDE/>
              <w:autoSpaceDN/>
              <w:bidi w:val="0"/>
              <w:adjustRightInd/>
              <w:snapToGrid/>
              <w:ind w:firstLine="630" w:firstLineChars="3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工具、材料、备件</w:t>
            </w:r>
          </w:p>
        </w:tc>
        <w:tc>
          <w:tcPr>
            <w:tcW w:w="5046" w:type="dxa"/>
            <w:tcBorders>
              <w:top w:val="single" w:color="auto" w:sz="4" w:space="0"/>
              <w:left w:val="nil"/>
              <w:bottom w:val="single" w:color="auto" w:sz="4" w:space="0"/>
              <w:right w:val="single" w:color="auto" w:sz="4" w:space="0"/>
            </w:tcBorders>
            <w:vAlign w:val="center"/>
          </w:tcPr>
          <w:p w14:paraId="5BF23580">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p>
        </w:tc>
      </w:tr>
      <w:tr w14:paraId="273303B7">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38BF2DA7">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lang w:val="en-US" w:eastAsia="zh-CN"/>
              </w:rPr>
              <w:t xml:space="preserve"> 5</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清理维修设备现场杂物</w:t>
            </w:r>
          </w:p>
        </w:tc>
        <w:tc>
          <w:tcPr>
            <w:tcW w:w="5046" w:type="dxa"/>
            <w:vMerge w:val="restart"/>
            <w:tcBorders>
              <w:top w:val="single" w:color="auto" w:sz="4" w:space="0"/>
              <w:left w:val="single" w:color="auto" w:sz="4" w:space="0"/>
              <w:bottom w:val="single" w:color="auto" w:sz="4" w:space="0"/>
              <w:right w:val="single" w:color="auto" w:sz="4" w:space="0"/>
            </w:tcBorders>
            <w:vAlign w:val="center"/>
          </w:tcPr>
          <w:p w14:paraId="498D7E58">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注：第一次按操作前内容逐项检查并确认，存在问题整改后再确认；中间再次操作只检查带“★”部分；任务全部结束后按操作后内容逐项检查并确认。</w:t>
            </w:r>
          </w:p>
        </w:tc>
      </w:tr>
      <w:tr w14:paraId="551A9CC8">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4E26EF61">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7.口罩</w:t>
            </w:r>
          </w:p>
        </w:tc>
        <w:tc>
          <w:tcPr>
            <w:tcW w:w="5046" w:type="dxa"/>
            <w:vMerge w:val="continue"/>
            <w:tcBorders>
              <w:top w:val="single" w:color="auto" w:sz="4" w:space="0"/>
              <w:left w:val="single" w:color="auto" w:sz="4" w:space="0"/>
              <w:bottom w:val="single" w:color="auto" w:sz="4" w:space="0"/>
              <w:right w:val="single" w:color="auto" w:sz="4" w:space="0"/>
            </w:tcBorders>
            <w:vAlign w:val="center"/>
          </w:tcPr>
          <w:p w14:paraId="684D5442">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r w14:paraId="167F5E1F">
        <w:tblPrEx>
          <w:tblCellMar>
            <w:top w:w="0" w:type="dxa"/>
            <w:left w:w="108" w:type="dxa"/>
            <w:bottom w:w="0" w:type="dxa"/>
            <w:right w:w="108" w:type="dxa"/>
          </w:tblCellMar>
        </w:tblPrEx>
        <w:trPr>
          <w:gridAfter w:val="1"/>
          <w:wAfter w:w="30" w:type="dxa"/>
          <w:trHeight w:val="682"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14:paraId="68970DA8">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★8.</w:t>
            </w:r>
            <w:r>
              <w:rPr>
                <w:rFonts w:hint="eastAsia" w:ascii="仿宋" w:hAnsi="仿宋" w:eastAsia="仿宋" w:cs="仿宋"/>
                <w:color w:val="auto"/>
                <w:kern w:val="0"/>
                <w:sz w:val="21"/>
                <w:szCs w:val="21"/>
                <w:highlight w:val="none"/>
                <w:lang w:val="en-US" w:eastAsia="zh-CN"/>
              </w:rPr>
              <w:t>站位</w:t>
            </w:r>
          </w:p>
        </w:tc>
        <w:tc>
          <w:tcPr>
            <w:tcW w:w="5046" w:type="dxa"/>
            <w:vMerge w:val="continue"/>
            <w:tcBorders>
              <w:top w:val="single" w:color="auto" w:sz="4" w:space="0"/>
              <w:left w:val="single" w:color="auto" w:sz="4" w:space="0"/>
              <w:bottom w:val="single" w:color="auto" w:sz="4" w:space="0"/>
              <w:right w:val="single" w:color="auto" w:sz="4" w:space="0"/>
            </w:tcBorders>
            <w:vAlign w:val="center"/>
          </w:tcPr>
          <w:p w14:paraId="7B649D70">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r w14:paraId="768025E1">
        <w:tblPrEx>
          <w:tblCellMar>
            <w:top w:w="0" w:type="dxa"/>
            <w:left w:w="108" w:type="dxa"/>
            <w:bottom w:w="0" w:type="dxa"/>
            <w:right w:w="108" w:type="dxa"/>
          </w:tblCellMar>
        </w:tblPrEx>
        <w:trPr>
          <w:trHeight w:val="90" w:hRule="atLeast"/>
        </w:trPr>
        <w:tc>
          <w:tcPr>
            <w:tcW w:w="9045" w:type="dxa"/>
            <w:gridSpan w:val="5"/>
            <w:tcBorders>
              <w:top w:val="single" w:color="auto" w:sz="4" w:space="0"/>
              <w:left w:val="single" w:color="auto" w:sz="4" w:space="0"/>
              <w:bottom w:val="single" w:color="auto" w:sz="4" w:space="0"/>
              <w:right w:val="single" w:color="auto" w:sz="4" w:space="0"/>
            </w:tcBorders>
            <w:vAlign w:val="center"/>
          </w:tcPr>
          <w:p w14:paraId="1B9B3D33">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b/>
                <w:bCs/>
                <w:color w:val="auto"/>
                <w:kern w:val="0"/>
                <w:sz w:val="28"/>
                <w:szCs w:val="28"/>
                <w:highlight w:val="none"/>
              </w:rPr>
            </w:pPr>
            <w:r>
              <w:rPr>
                <w:rFonts w:hint="eastAsia" w:ascii="仿宋" w:hAnsi="仿宋" w:eastAsia="仿宋" w:cs="仿宋"/>
                <w:b/>
                <w:bCs/>
                <w:color w:val="auto"/>
                <w:kern w:val="0"/>
                <w:sz w:val="21"/>
                <w:szCs w:val="21"/>
                <w:highlight w:val="none"/>
                <w:lang w:val="en-US" w:eastAsia="zh-CN"/>
              </w:rPr>
              <w:t>维修工操作过程注意事项</w:t>
            </w:r>
          </w:p>
        </w:tc>
      </w:tr>
      <w:tr w14:paraId="199B6143">
        <w:tblPrEx>
          <w:tblCellMar>
            <w:top w:w="0" w:type="dxa"/>
            <w:left w:w="108" w:type="dxa"/>
            <w:bottom w:w="0" w:type="dxa"/>
            <w:right w:w="108" w:type="dxa"/>
          </w:tblCellMar>
        </w:tblPrEx>
        <w:trPr>
          <w:trHeight w:val="90" w:hRule="atLeast"/>
        </w:trPr>
        <w:tc>
          <w:tcPr>
            <w:tcW w:w="1535" w:type="dxa"/>
            <w:tcBorders>
              <w:top w:val="single" w:color="auto" w:sz="4" w:space="0"/>
              <w:left w:val="single" w:color="auto" w:sz="4" w:space="0"/>
              <w:bottom w:val="single" w:color="auto" w:sz="4" w:space="0"/>
              <w:right w:val="single" w:color="auto" w:sz="4" w:space="0"/>
            </w:tcBorders>
            <w:vAlign w:val="center"/>
          </w:tcPr>
          <w:p w14:paraId="13A03D4A">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操作顺序</w:t>
            </w:r>
          </w:p>
        </w:tc>
        <w:tc>
          <w:tcPr>
            <w:tcW w:w="1292" w:type="dxa"/>
            <w:tcBorders>
              <w:top w:val="single" w:color="auto" w:sz="4" w:space="0"/>
              <w:left w:val="nil"/>
              <w:bottom w:val="single" w:color="auto" w:sz="4" w:space="0"/>
              <w:right w:val="single" w:color="auto" w:sz="4" w:space="0"/>
            </w:tcBorders>
            <w:vAlign w:val="center"/>
          </w:tcPr>
          <w:p w14:paraId="4541B0C9">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提示词</w:t>
            </w:r>
          </w:p>
        </w:tc>
        <w:tc>
          <w:tcPr>
            <w:tcW w:w="6218" w:type="dxa"/>
            <w:gridSpan w:val="3"/>
            <w:tcBorders>
              <w:top w:val="single" w:color="auto" w:sz="4" w:space="0"/>
              <w:left w:val="nil"/>
              <w:bottom w:val="single" w:color="auto" w:sz="4" w:space="0"/>
              <w:right w:val="single" w:color="auto" w:sz="4" w:space="0"/>
            </w:tcBorders>
            <w:vAlign w:val="center"/>
          </w:tcPr>
          <w:p w14:paraId="06B936DD">
            <w:pPr>
              <w:keepNext w:val="0"/>
              <w:keepLines w:val="0"/>
              <w:pageBreakBefore w:val="0"/>
              <w:widowControl/>
              <w:kinsoku/>
              <w:wordWrap/>
              <w:overflowPunct/>
              <w:topLinePunct w:val="0"/>
              <w:autoSpaceDE/>
              <w:autoSpaceDN/>
              <w:bidi w:val="0"/>
              <w:adjustRightInd/>
              <w:snapToGrid/>
              <w:ind w:firstLine="482" w:firstLineChars="200"/>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操作注意事项解释</w:t>
            </w:r>
          </w:p>
        </w:tc>
      </w:tr>
      <w:tr w14:paraId="33C9F405">
        <w:tblPrEx>
          <w:tblCellMar>
            <w:top w:w="0" w:type="dxa"/>
            <w:left w:w="108" w:type="dxa"/>
            <w:bottom w:w="0" w:type="dxa"/>
            <w:right w:w="108" w:type="dxa"/>
          </w:tblCellMar>
        </w:tblPrEx>
        <w:trPr>
          <w:trHeight w:val="90" w:hRule="atLeast"/>
        </w:trPr>
        <w:tc>
          <w:tcPr>
            <w:tcW w:w="1535" w:type="dxa"/>
            <w:vMerge w:val="restart"/>
            <w:tcBorders>
              <w:top w:val="nil"/>
              <w:left w:val="single" w:color="auto" w:sz="4" w:space="0"/>
              <w:right w:val="single" w:color="auto" w:sz="4" w:space="0"/>
            </w:tcBorders>
            <w:vAlign w:val="center"/>
          </w:tcPr>
          <w:p w14:paraId="36902881">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维修</w:t>
            </w:r>
          </w:p>
        </w:tc>
        <w:tc>
          <w:tcPr>
            <w:tcW w:w="1292" w:type="dxa"/>
            <w:tcBorders>
              <w:top w:val="nil"/>
              <w:left w:val="nil"/>
              <w:bottom w:val="single" w:color="auto" w:sz="4" w:space="0"/>
              <w:right w:val="single" w:color="auto" w:sz="4" w:space="0"/>
            </w:tcBorders>
            <w:vAlign w:val="center"/>
          </w:tcPr>
          <w:p w14:paraId="785A9762">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6218" w:type="dxa"/>
            <w:gridSpan w:val="3"/>
            <w:tcBorders>
              <w:top w:val="nil"/>
              <w:left w:val="nil"/>
              <w:bottom w:val="single" w:color="auto" w:sz="4" w:space="0"/>
              <w:right w:val="single" w:color="auto" w:sz="4" w:space="0"/>
            </w:tcBorders>
            <w:vAlign w:val="center"/>
          </w:tcPr>
          <w:p w14:paraId="37622811">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顶板、煤壁是否完整</w:t>
            </w:r>
          </w:p>
        </w:tc>
      </w:tr>
      <w:tr w14:paraId="6DD3C290">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14:paraId="12272B39">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274E299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沟通</w:t>
            </w:r>
          </w:p>
        </w:tc>
        <w:tc>
          <w:tcPr>
            <w:tcW w:w="6218" w:type="dxa"/>
            <w:gridSpan w:val="3"/>
            <w:tcBorders>
              <w:top w:val="nil"/>
              <w:left w:val="nil"/>
              <w:bottom w:val="single" w:color="auto" w:sz="4" w:space="0"/>
              <w:right w:val="single" w:color="auto" w:sz="4" w:space="0"/>
            </w:tcBorders>
            <w:vAlign w:val="center"/>
          </w:tcPr>
          <w:p w14:paraId="6441328E">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设备是否停电闭锁、设备故障位置</w:t>
            </w:r>
          </w:p>
        </w:tc>
      </w:tr>
      <w:tr w14:paraId="6A916C9F">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14:paraId="2ADFDB1C">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3A6251F9">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准备</w:t>
            </w:r>
          </w:p>
        </w:tc>
        <w:tc>
          <w:tcPr>
            <w:tcW w:w="6218" w:type="dxa"/>
            <w:gridSpan w:val="3"/>
            <w:tcBorders>
              <w:top w:val="nil"/>
              <w:left w:val="nil"/>
              <w:bottom w:val="single" w:color="auto" w:sz="4" w:space="0"/>
              <w:right w:val="single" w:color="auto" w:sz="4" w:space="0"/>
            </w:tcBorders>
            <w:vAlign w:val="center"/>
          </w:tcPr>
          <w:p w14:paraId="6ABBC1FD">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工具、材料、备件</w:t>
            </w:r>
          </w:p>
        </w:tc>
      </w:tr>
      <w:tr w14:paraId="3C12A696">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14:paraId="5D4612F8">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24DABF21">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检查</w:t>
            </w:r>
          </w:p>
        </w:tc>
        <w:tc>
          <w:tcPr>
            <w:tcW w:w="6218" w:type="dxa"/>
            <w:gridSpan w:val="3"/>
            <w:tcBorders>
              <w:top w:val="nil"/>
              <w:left w:val="nil"/>
              <w:bottom w:val="single" w:color="auto" w:sz="4" w:space="0"/>
              <w:right w:val="single" w:color="auto" w:sz="4" w:space="0"/>
            </w:tcBorders>
            <w:vAlign w:val="center"/>
          </w:tcPr>
          <w:p w14:paraId="5F058DD9">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瓦斯</w:t>
            </w:r>
          </w:p>
        </w:tc>
      </w:tr>
      <w:tr w14:paraId="4D383605">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14:paraId="55C75F24">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6369B690">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218" w:type="dxa"/>
            <w:gridSpan w:val="3"/>
            <w:tcBorders>
              <w:top w:val="nil"/>
              <w:left w:val="nil"/>
              <w:bottom w:val="single" w:color="auto" w:sz="4" w:space="0"/>
              <w:right w:val="single" w:color="auto" w:sz="4" w:space="0"/>
            </w:tcBorders>
            <w:vAlign w:val="center"/>
          </w:tcPr>
          <w:p w14:paraId="005BC5DE">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人员站</w:t>
            </w:r>
            <w:r>
              <w:rPr>
                <w:rFonts w:hint="eastAsia" w:ascii="仿宋" w:hAnsi="仿宋" w:eastAsia="仿宋" w:cs="仿宋"/>
                <w:color w:val="auto"/>
                <w:kern w:val="0"/>
                <w:sz w:val="21"/>
                <w:szCs w:val="21"/>
                <w:highlight w:val="none"/>
                <w:lang w:val="en-US" w:eastAsia="zh-CN"/>
              </w:rPr>
              <w:t>位合理</w:t>
            </w:r>
          </w:p>
        </w:tc>
      </w:tr>
      <w:tr w14:paraId="61D1CC9E">
        <w:tblPrEx>
          <w:tblCellMar>
            <w:top w:w="0" w:type="dxa"/>
            <w:left w:w="108" w:type="dxa"/>
            <w:bottom w:w="0" w:type="dxa"/>
            <w:right w:w="108" w:type="dxa"/>
          </w:tblCellMar>
        </w:tblPrEx>
        <w:trPr>
          <w:trHeight w:val="90" w:hRule="atLeast"/>
        </w:trPr>
        <w:tc>
          <w:tcPr>
            <w:tcW w:w="1535" w:type="dxa"/>
            <w:vMerge w:val="continue"/>
            <w:tcBorders>
              <w:left w:val="single" w:color="auto" w:sz="4" w:space="0"/>
              <w:bottom w:val="single" w:color="auto" w:sz="4" w:space="0"/>
              <w:right w:val="single" w:color="auto" w:sz="4" w:space="0"/>
            </w:tcBorders>
            <w:vAlign w:val="center"/>
          </w:tcPr>
          <w:p w14:paraId="709E7DF2">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549181C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确认</w:t>
            </w:r>
          </w:p>
        </w:tc>
        <w:tc>
          <w:tcPr>
            <w:tcW w:w="6218" w:type="dxa"/>
            <w:gridSpan w:val="3"/>
            <w:tcBorders>
              <w:top w:val="nil"/>
              <w:left w:val="nil"/>
              <w:bottom w:val="single" w:color="auto" w:sz="4" w:space="0"/>
              <w:right w:val="single" w:color="auto" w:sz="4" w:space="0"/>
            </w:tcBorders>
            <w:vAlign w:val="center"/>
          </w:tcPr>
          <w:p w14:paraId="70943205">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零部件、连接</w:t>
            </w:r>
          </w:p>
        </w:tc>
      </w:tr>
    </w:tbl>
    <w:p w14:paraId="0D5100C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08" w:name="_Toc19905"/>
      <w:r>
        <w:rPr>
          <w:rFonts w:hint="eastAsia" w:ascii="仿宋" w:hAnsi="仿宋" w:eastAsia="仿宋" w:cs="仿宋"/>
          <w:b/>
          <w:color w:val="auto"/>
          <w:sz w:val="28"/>
          <w:szCs w:val="28"/>
          <w:highlight w:val="none"/>
        </w:rPr>
        <w:t>一、一般规定</w:t>
      </w:r>
    </w:p>
    <w:p w14:paraId="3F8DD21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14:paraId="40CD64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14:paraId="6CBDEA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14:paraId="051718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14:paraId="289769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14:paraId="751C52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14:paraId="2E33394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14:paraId="70CE9A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14:paraId="158E6B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14:paraId="22226D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14:paraId="33C8CC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14:paraId="7EE948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14:paraId="5C638F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14:paraId="0BB6712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14:paraId="4BFE4B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14:paraId="7B96500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14:paraId="3BA4CA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 在高度大于2米以上高空作业时，必须拴好安全带。</w:t>
      </w:r>
    </w:p>
    <w:p w14:paraId="204795B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3AFAE92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515E96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97229A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32C860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373365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79C368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2DE04AF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7D53031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3DD970E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26FC3F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31636A7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03E493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72CF42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2C10E8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711D5E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1D9651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4F55DD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2DB6C7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3BC3BC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550542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39EC1A3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548D27E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3266B9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55E952B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73BAD04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0FA089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3DA4C0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79A8CF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3B532B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51C10A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36FECD7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3F308D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24FE61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28F1B8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15DD36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0263CD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4247E5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1D3382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6184F0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47C4CB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78E0A0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28F9CA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20DA90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340912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7C59460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1BAF84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35CA1C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5E30CE5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14:paraId="4383EB2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14:paraId="005CC4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风险描述：施工现场顶板破碎，存在漏顶片帮伤人的风险。</w:t>
      </w:r>
    </w:p>
    <w:p w14:paraId="50AC4F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管控措施：加强顶板排查管理，</w:t>
      </w:r>
      <w:r>
        <w:rPr>
          <w:rFonts w:hint="eastAsia" w:ascii="仿宋" w:hAnsi="仿宋" w:eastAsia="仿宋" w:cs="仿宋"/>
          <w:b w:val="0"/>
          <w:bCs/>
          <w:color w:val="auto"/>
          <w:sz w:val="28"/>
          <w:szCs w:val="28"/>
          <w:highlight w:val="none"/>
          <w:lang w:val="en-US" w:eastAsia="zh-CN"/>
        </w:rPr>
        <w:t>严格敲帮问顶</w:t>
      </w:r>
      <w:r>
        <w:rPr>
          <w:rFonts w:hint="eastAsia" w:ascii="仿宋" w:hAnsi="仿宋" w:eastAsia="仿宋" w:cs="仿宋"/>
          <w:b w:val="0"/>
          <w:bCs/>
          <w:color w:val="auto"/>
          <w:sz w:val="28"/>
          <w:szCs w:val="28"/>
          <w:highlight w:val="none"/>
          <w:lang w:eastAsia="zh-CN"/>
        </w:rPr>
        <w:t>。</w:t>
      </w:r>
    </w:p>
    <w:p w14:paraId="6CECA0C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val="en-US" w:eastAsia="zh-CN"/>
        </w:rPr>
      </w:pPr>
      <w:r>
        <w:rPr>
          <w:rFonts w:hint="eastAsia" w:ascii="仿宋" w:hAnsi="仿宋" w:eastAsia="仿宋" w:cs="仿宋"/>
          <w:b/>
          <w:bCs w:val="0"/>
          <w:color w:val="auto"/>
          <w:sz w:val="28"/>
          <w:szCs w:val="28"/>
          <w:highlight w:val="none"/>
          <w:lang w:eastAsia="zh-CN"/>
        </w:rPr>
        <w:t>（</w:t>
      </w:r>
      <w:r>
        <w:rPr>
          <w:rFonts w:hint="eastAsia" w:ascii="仿宋" w:hAnsi="仿宋" w:eastAsia="仿宋" w:cs="仿宋"/>
          <w:b/>
          <w:bCs w:val="0"/>
          <w:color w:val="auto"/>
          <w:sz w:val="28"/>
          <w:szCs w:val="28"/>
          <w:highlight w:val="none"/>
          <w:lang w:val="en-US" w:eastAsia="zh-CN"/>
        </w:rPr>
        <w:t>二</w:t>
      </w:r>
      <w:r>
        <w:rPr>
          <w:rFonts w:hint="eastAsia" w:ascii="仿宋" w:hAnsi="仿宋" w:eastAsia="仿宋" w:cs="仿宋"/>
          <w:b/>
          <w:bCs w:val="0"/>
          <w:color w:val="auto"/>
          <w:sz w:val="28"/>
          <w:szCs w:val="28"/>
          <w:highlight w:val="none"/>
          <w:lang w:eastAsia="zh-CN"/>
        </w:rPr>
        <w:t>）</w:t>
      </w:r>
      <w:r>
        <w:rPr>
          <w:rFonts w:hint="eastAsia" w:ascii="仿宋" w:hAnsi="仿宋" w:eastAsia="仿宋" w:cs="仿宋"/>
          <w:b/>
          <w:bCs w:val="0"/>
          <w:color w:val="auto"/>
          <w:sz w:val="28"/>
          <w:szCs w:val="28"/>
          <w:highlight w:val="none"/>
          <w:lang w:val="en-US" w:eastAsia="zh-CN"/>
        </w:rPr>
        <w:t>专用部分</w:t>
      </w:r>
    </w:p>
    <w:bookmarkEnd w:id="108"/>
    <w:p w14:paraId="086F4B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bookmarkStart w:id="109" w:name="_Toc1729"/>
      <w:r>
        <w:rPr>
          <w:rFonts w:hint="eastAsia" w:ascii="仿宋" w:hAnsi="仿宋" w:eastAsia="仿宋" w:cs="仿宋"/>
          <w:b w:val="0"/>
          <w:bCs/>
          <w:color w:val="auto"/>
          <w:sz w:val="28"/>
          <w:szCs w:val="28"/>
          <w:highlight w:val="none"/>
          <w:lang w:eastAsia="zh-CN"/>
        </w:rPr>
        <w:t>1.操作前：</w:t>
      </w:r>
    </w:p>
    <w:p w14:paraId="6BB6370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①风险描述：防护用品不完好，不按规定佩带，存在人员受伤的风险。</w:t>
      </w:r>
    </w:p>
    <w:p w14:paraId="60A075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管控措施：检查好防护用品，确保齐全完好，作业前按规定佩带好安全防护用品。</w:t>
      </w:r>
    </w:p>
    <w:p w14:paraId="06480C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②风险描述：工具材料不齐全完好，存在设备检修不到位或人员伤亡的风险。</w:t>
      </w:r>
    </w:p>
    <w:p w14:paraId="38B15FA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管控措施：操作前，工具材料准备齐全完好。</w:t>
      </w:r>
    </w:p>
    <w:p w14:paraId="0D2C527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③风险描述：操作高压电气设备，监护人未到位，操作人员容易误操作，存在人员触电的风险。</w:t>
      </w:r>
    </w:p>
    <w:p w14:paraId="2AEF0B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管控措施：操作高压电气设备严格执行一人操作一人监护，监护人不到位严禁操作。</w:t>
      </w:r>
    </w:p>
    <w:p w14:paraId="215A115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④风险描述：检修地点人员站位不正确，存在设备碰伤人员、人员触电的风险。</w:t>
      </w:r>
    </w:p>
    <w:p w14:paraId="3635F4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管控措施：检修前规范站位，重物下方及可能倾向方向严禁有人，检修人员与带电设备保持安全距离。</w:t>
      </w:r>
    </w:p>
    <w:p w14:paraId="6CD8A2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⑤风险描述：检修电气设备，带电作业，未对上级电源停电，存在人员触电的风险。</w:t>
      </w:r>
    </w:p>
    <w:p w14:paraId="214F70A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管控措施：检修电气是设备必须对上级电源进行停电，并挂停电牌，谁停电谁送电，严禁带电检修作业。</w:t>
      </w:r>
    </w:p>
    <w:p w14:paraId="0A77AF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70916F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①风险描述：吊装作业时，人员站位不当或工具不完好导致受伤。</w:t>
      </w:r>
    </w:p>
    <w:p w14:paraId="44F512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14:paraId="724941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14:paraId="629DB3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14:paraId="718FDF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③风险描述：人员靠近转动部位，护罩或遮拦等不完好，存在转动部位伤人的风险。</w:t>
      </w:r>
    </w:p>
    <w:p w14:paraId="3AC238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14:paraId="74175E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④风险描述：带电搬迁电气设备，存在人员触电的风险。</w:t>
      </w:r>
    </w:p>
    <w:p w14:paraId="00B7908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管控措施：施工前将带电设备上级停电，无误后方可施工，严禁带电搬迁。</w:t>
      </w:r>
    </w:p>
    <w:p w14:paraId="5BC160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3.操作后</w:t>
      </w:r>
    </w:p>
    <w:p w14:paraId="79CBBE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①风险描述：设备检修不到位，零部件缺失、连接部位不完好等，设备带病运行，存在设备损坏的风险。</w:t>
      </w:r>
    </w:p>
    <w:p w14:paraId="087844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14:paraId="6A8BDA3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②风险描述：检修完成后工具材料未能及时清理，检修工具材料遗留在设备内，存在设备损坏的风险。</w:t>
      </w:r>
    </w:p>
    <w:p w14:paraId="252EC7D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14:paraId="1B754E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③风险描述：误送电、约时停送电，存在人员触电的风险。</w:t>
      </w:r>
    </w:p>
    <w:p w14:paraId="7CFC90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管控措施：严格执行停送电制度，停电后闭锁并挂停电牌，禁止约时送电。</w:t>
      </w:r>
    </w:p>
    <w:p w14:paraId="36FB314A">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四、维修前检查：</w:t>
      </w:r>
    </w:p>
    <w:p w14:paraId="195404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1.顶帮</w:t>
      </w:r>
      <w:r>
        <w:rPr>
          <w:rFonts w:hint="eastAsia" w:ascii="仿宋" w:hAnsi="仿宋" w:eastAsia="仿宋" w:cs="仿宋"/>
          <w:color w:val="auto"/>
          <w:sz w:val="28"/>
          <w:szCs w:val="28"/>
          <w:lang w:val="en-US" w:eastAsia="zh-CN"/>
        </w:rPr>
        <w:t>：顶、帮完好，严格执行敲帮问顶。</w:t>
      </w:r>
    </w:p>
    <w:p w14:paraId="52FF2C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2.停电闭锁</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必须严格执行停送电制度，切断前一级开关电源后再进行工作</w:t>
      </w:r>
      <w:r>
        <w:rPr>
          <w:rFonts w:hint="eastAsia" w:ascii="仿宋" w:hAnsi="仿宋" w:eastAsia="仿宋" w:cs="仿宋"/>
          <w:color w:val="auto"/>
          <w:sz w:val="28"/>
          <w:szCs w:val="28"/>
          <w:lang w:val="en-US" w:eastAsia="zh-CN"/>
        </w:rPr>
        <w:t>。</w:t>
      </w:r>
    </w:p>
    <w:p w14:paraId="52DE2A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3.瓦斯</w:t>
      </w:r>
      <w:r>
        <w:rPr>
          <w:rFonts w:hint="eastAsia" w:ascii="仿宋" w:hAnsi="仿宋" w:eastAsia="仿宋" w:cs="仿宋"/>
          <w:color w:val="auto"/>
          <w:sz w:val="28"/>
          <w:szCs w:val="28"/>
          <w:lang w:val="en-US" w:eastAsia="zh-CN"/>
        </w:rPr>
        <w:t>：按规定悬挂瓦检仪，</w:t>
      </w:r>
      <w:r>
        <w:rPr>
          <w:rFonts w:hint="eastAsia" w:ascii="仿宋" w:hAnsi="仿宋" w:eastAsia="仿宋" w:cs="仿宋"/>
          <w:color w:val="auto"/>
          <w:sz w:val="28"/>
          <w:szCs w:val="28"/>
        </w:rPr>
        <w:t>电气设备</w:t>
      </w:r>
      <w:r>
        <w:rPr>
          <w:rFonts w:hint="eastAsia" w:ascii="仿宋" w:hAnsi="仿宋" w:eastAsia="仿宋" w:cs="仿宋"/>
          <w:color w:val="auto"/>
          <w:sz w:val="28"/>
          <w:szCs w:val="28"/>
          <w:lang w:val="en-US" w:eastAsia="zh-CN"/>
        </w:rPr>
        <w:t>维修</w:t>
      </w:r>
      <w:r>
        <w:rPr>
          <w:rFonts w:hint="eastAsia" w:ascii="仿宋" w:hAnsi="仿宋" w:eastAsia="仿宋" w:cs="仿宋"/>
          <w:color w:val="auto"/>
          <w:sz w:val="28"/>
          <w:szCs w:val="28"/>
        </w:rPr>
        <w:t>应在周围环境瓦斯浓度在0.5%以下时工作。</w:t>
      </w:r>
    </w:p>
    <w:p w14:paraId="54485DA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4</w:t>
      </w:r>
      <w:r>
        <w:rPr>
          <w:rFonts w:hint="default" w:ascii="仿宋" w:hAnsi="仿宋" w:eastAsia="仿宋" w:cs="仿宋"/>
          <w:color w:val="auto"/>
          <w:sz w:val="28"/>
          <w:szCs w:val="28"/>
          <w:lang w:val="en-US" w:eastAsia="zh-CN"/>
        </w:rPr>
        <w:t>.了解故障部位、性质</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了解前一班机电设备运行情况，设备故障的处理情况及遗留问题，设备</w:t>
      </w:r>
      <w:r>
        <w:rPr>
          <w:rFonts w:hint="eastAsia" w:ascii="仿宋" w:hAnsi="仿宋" w:eastAsia="仿宋" w:cs="仿宋"/>
          <w:color w:val="auto"/>
          <w:sz w:val="28"/>
          <w:szCs w:val="28"/>
          <w:lang w:val="en-US" w:eastAsia="zh-CN"/>
        </w:rPr>
        <w:t>维</w:t>
      </w:r>
      <w:r>
        <w:rPr>
          <w:rFonts w:hint="eastAsia" w:ascii="仿宋" w:hAnsi="仿宋" w:eastAsia="仿宋" w:cs="仿宋"/>
          <w:color w:val="auto"/>
          <w:sz w:val="28"/>
          <w:szCs w:val="28"/>
        </w:rPr>
        <w:t>修、维护情况和停送电等方面的情况，安排本维修工作计划。</w:t>
      </w:r>
    </w:p>
    <w:p w14:paraId="33F86B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default" w:ascii="仿宋" w:hAnsi="仿宋" w:eastAsia="仿宋" w:cs="仿宋"/>
          <w:color w:val="auto"/>
          <w:sz w:val="28"/>
          <w:szCs w:val="28"/>
          <w:lang w:val="en-US" w:eastAsia="zh-CN"/>
        </w:rPr>
        <w:t>.工具、材料、备件</w:t>
      </w:r>
      <w:r>
        <w:rPr>
          <w:rFonts w:hint="eastAsia" w:ascii="仿宋" w:hAnsi="仿宋" w:eastAsia="仿宋" w:cs="仿宋"/>
          <w:color w:val="auto"/>
          <w:sz w:val="28"/>
          <w:szCs w:val="28"/>
          <w:lang w:val="en-US" w:eastAsia="zh-CN"/>
        </w:rPr>
        <w:t>：准备好设备维修、维护用的材料、配件、工具、测试仪表及工作中应用的其它工具。</w:t>
      </w:r>
    </w:p>
    <w:p w14:paraId="0703B8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6</w:t>
      </w:r>
      <w:r>
        <w:rPr>
          <w:rFonts w:hint="default" w:ascii="仿宋" w:hAnsi="仿宋" w:eastAsia="仿宋" w:cs="仿宋"/>
          <w:color w:val="auto"/>
          <w:sz w:val="28"/>
          <w:szCs w:val="28"/>
          <w:lang w:val="en-US" w:eastAsia="zh-CN"/>
        </w:rPr>
        <w:t>.清理维修设备现场杂物</w:t>
      </w:r>
      <w:r>
        <w:rPr>
          <w:rFonts w:hint="eastAsia" w:ascii="仿宋" w:hAnsi="仿宋" w:eastAsia="仿宋" w:cs="仿宋"/>
          <w:color w:val="auto"/>
          <w:sz w:val="28"/>
          <w:szCs w:val="28"/>
          <w:lang w:val="en-US" w:eastAsia="zh-CN"/>
        </w:rPr>
        <w:t>：清理现场影响设备正常维修的杂物。</w:t>
      </w:r>
    </w:p>
    <w:p w14:paraId="7D67A2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7.口罩</w:t>
      </w:r>
      <w:r>
        <w:rPr>
          <w:rFonts w:hint="eastAsia" w:ascii="仿宋" w:hAnsi="仿宋" w:eastAsia="仿宋" w:cs="仿宋"/>
          <w:color w:val="auto"/>
          <w:sz w:val="28"/>
          <w:szCs w:val="28"/>
          <w:lang w:val="en-US" w:eastAsia="zh-CN"/>
        </w:rPr>
        <w:t>：口罩已配带。</w:t>
      </w:r>
    </w:p>
    <w:p w14:paraId="63500E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8.站位</w:t>
      </w:r>
      <w:r>
        <w:rPr>
          <w:rFonts w:hint="eastAsia" w:ascii="仿宋" w:hAnsi="仿宋" w:eastAsia="仿宋" w:cs="仿宋"/>
          <w:color w:val="auto"/>
          <w:sz w:val="28"/>
          <w:szCs w:val="28"/>
          <w:lang w:val="en-US" w:eastAsia="zh-CN"/>
        </w:rPr>
        <w:t>：维修设备时注意人员站位，严禁从事其他作业。</w:t>
      </w:r>
    </w:p>
    <w:p w14:paraId="7543C8E7">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left"/>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五、维修工</w:t>
      </w:r>
      <w:r>
        <w:rPr>
          <w:rFonts w:hint="eastAsia" w:ascii="仿宋" w:hAnsi="仿宋" w:eastAsia="仿宋" w:cs="仿宋"/>
          <w:b/>
          <w:color w:val="auto"/>
          <w:sz w:val="28"/>
          <w:szCs w:val="28"/>
          <w:highlight w:val="none"/>
        </w:rPr>
        <w:t>操作过程中的安全注意事项：</w:t>
      </w:r>
    </w:p>
    <w:p w14:paraId="5B7E4E85">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1.看环境：</w:t>
      </w:r>
      <w:r>
        <w:rPr>
          <w:rFonts w:hint="eastAsia" w:ascii="仿宋" w:hAnsi="仿宋" w:eastAsia="仿宋" w:cs="仿宋"/>
          <w:color w:val="auto"/>
          <w:kern w:val="2"/>
          <w:sz w:val="28"/>
          <w:szCs w:val="28"/>
          <w:lang w:val="en-US" w:eastAsia="zh-CN" w:bidi="ar-SA"/>
        </w:rPr>
        <w:t>观察顶板、煤壁是否完整。</w:t>
      </w:r>
    </w:p>
    <w:p w14:paraId="06A7DAF4">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2.沟通：</w:t>
      </w:r>
      <w:r>
        <w:rPr>
          <w:rFonts w:hint="eastAsia" w:ascii="仿宋" w:hAnsi="仿宋" w:eastAsia="仿宋" w:cs="仿宋"/>
          <w:color w:val="auto"/>
          <w:kern w:val="2"/>
          <w:sz w:val="28"/>
          <w:szCs w:val="28"/>
          <w:lang w:val="en-US" w:eastAsia="zh-CN" w:bidi="ar-SA"/>
        </w:rPr>
        <w:t>设备是否停电闭锁、设备故障位置。</w:t>
      </w:r>
    </w:p>
    <w:p w14:paraId="6AA700F1">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3.准备：</w:t>
      </w:r>
      <w:r>
        <w:rPr>
          <w:rFonts w:hint="eastAsia" w:ascii="仿宋" w:hAnsi="仿宋" w:eastAsia="仿宋" w:cs="仿宋"/>
          <w:color w:val="auto"/>
          <w:kern w:val="2"/>
          <w:sz w:val="28"/>
          <w:szCs w:val="28"/>
          <w:lang w:val="en-US" w:eastAsia="zh-CN" w:bidi="ar-SA"/>
        </w:rPr>
        <w:t>准备好维修需要的工具、材料、备件。</w:t>
      </w:r>
    </w:p>
    <w:p w14:paraId="36DCB1CE">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4.检查：</w:t>
      </w:r>
      <w:r>
        <w:rPr>
          <w:rFonts w:hint="eastAsia" w:ascii="仿宋_GB2312" w:hAnsi="宋体" w:eastAsia="仿宋_GB2312"/>
          <w:color w:val="auto"/>
          <w:sz w:val="32"/>
          <w:szCs w:val="32"/>
        </w:rPr>
        <w:t>电气设备</w:t>
      </w:r>
      <w:r>
        <w:rPr>
          <w:rFonts w:hint="eastAsia" w:ascii="仿宋_GB2312" w:hAnsi="宋体" w:eastAsia="仿宋_GB2312"/>
          <w:color w:val="auto"/>
          <w:sz w:val="32"/>
          <w:szCs w:val="32"/>
          <w:lang w:val="en-US" w:eastAsia="zh-CN"/>
        </w:rPr>
        <w:t>维修应悬挂好瓦检仪检查好</w:t>
      </w:r>
      <w:r>
        <w:rPr>
          <w:rFonts w:hint="eastAsia" w:ascii="仿宋" w:hAnsi="仿宋" w:eastAsia="仿宋" w:cs="仿宋"/>
          <w:color w:val="auto"/>
          <w:kern w:val="2"/>
          <w:sz w:val="28"/>
          <w:szCs w:val="28"/>
          <w:lang w:val="en-US" w:eastAsia="zh-CN" w:bidi="ar-SA"/>
        </w:rPr>
        <w:t>瓦斯。</w:t>
      </w:r>
    </w:p>
    <w:p w14:paraId="1197A6F8">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5.站好位：</w:t>
      </w:r>
      <w:r>
        <w:rPr>
          <w:rFonts w:hint="eastAsia" w:ascii="仿宋" w:hAnsi="仿宋" w:eastAsia="仿宋" w:cs="仿宋"/>
          <w:color w:val="auto"/>
          <w:kern w:val="2"/>
          <w:sz w:val="28"/>
          <w:szCs w:val="28"/>
          <w:lang w:val="en-US" w:eastAsia="zh-CN" w:bidi="ar-SA"/>
        </w:rPr>
        <w:t>维修时人员站位合理。</w:t>
      </w:r>
    </w:p>
    <w:p w14:paraId="4E63C572">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default"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6.确认：</w:t>
      </w:r>
      <w:r>
        <w:rPr>
          <w:rFonts w:hint="eastAsia" w:ascii="仿宋" w:hAnsi="仿宋" w:eastAsia="仿宋" w:cs="仿宋"/>
          <w:color w:val="auto"/>
          <w:kern w:val="2"/>
          <w:sz w:val="28"/>
          <w:szCs w:val="28"/>
          <w:lang w:val="en-US" w:eastAsia="zh-CN" w:bidi="ar-SA"/>
        </w:rPr>
        <w:t>确认零部件、连接可靠。</w:t>
      </w:r>
    </w:p>
    <w:p w14:paraId="33D6B0A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六、全部</w:t>
      </w:r>
      <w:r>
        <w:rPr>
          <w:rFonts w:hint="eastAsia" w:ascii="仿宋" w:hAnsi="仿宋" w:eastAsia="仿宋" w:cs="仿宋"/>
          <w:b/>
          <w:bCs/>
          <w:color w:val="auto"/>
          <w:sz w:val="28"/>
          <w:szCs w:val="28"/>
        </w:rPr>
        <w:t>注意事项：</w:t>
      </w:r>
    </w:p>
    <w:p w14:paraId="196D30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14:paraId="152D12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.高处作业：必须佩戴安全帽和保险带，随身工具必须有防脱落措施。</w:t>
      </w:r>
    </w:p>
    <w:p w14:paraId="303136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电气设备开盖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检查前，必须用与电源电压等级相符合的验电笔验电，确认无电压后方可进行放电。放电完毕后再进行检测、检修工作。</w:t>
      </w:r>
    </w:p>
    <w:p w14:paraId="75EEFB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4.机道内作业：</w:t>
      </w:r>
      <w:r>
        <w:rPr>
          <w:rFonts w:hint="eastAsia" w:ascii="仿宋" w:hAnsi="仿宋" w:eastAsia="仿宋" w:cs="仿宋"/>
          <w:color w:val="auto"/>
          <w:sz w:val="28"/>
          <w:szCs w:val="28"/>
        </w:rPr>
        <w:t>要进入煤壁机道内作业时，必须</w:t>
      </w:r>
      <w:r>
        <w:rPr>
          <w:rFonts w:hint="eastAsia" w:ascii="仿宋" w:hAnsi="仿宋" w:eastAsia="仿宋" w:cs="仿宋"/>
          <w:color w:val="auto"/>
          <w:sz w:val="28"/>
          <w:szCs w:val="28"/>
          <w:lang w:eastAsia="zh-CN"/>
        </w:rPr>
        <w:t>将</w:t>
      </w:r>
      <w:r>
        <w:rPr>
          <w:rFonts w:hint="eastAsia" w:ascii="仿宋" w:hAnsi="仿宋" w:eastAsia="仿宋" w:cs="仿宋"/>
          <w:color w:val="auto"/>
          <w:sz w:val="28"/>
          <w:szCs w:val="28"/>
        </w:rPr>
        <w:t>刮板输送机、采煤机停电闭锁，执行</w:t>
      </w:r>
      <w:r>
        <w:rPr>
          <w:rFonts w:hint="eastAsia" w:ascii="仿宋" w:hAnsi="仿宋" w:eastAsia="仿宋" w:cs="仿宋"/>
          <w:color w:val="auto"/>
          <w:sz w:val="28"/>
          <w:szCs w:val="28"/>
          <w:lang w:eastAsia="zh-CN"/>
        </w:rPr>
        <w:t>好</w:t>
      </w:r>
      <w:r>
        <w:rPr>
          <w:rFonts w:hint="eastAsia" w:ascii="仿宋" w:hAnsi="仿宋" w:eastAsia="仿宋" w:cs="仿宋"/>
          <w:color w:val="auto"/>
          <w:sz w:val="28"/>
          <w:szCs w:val="28"/>
        </w:rPr>
        <w:t>敲帮问顶制度</w:t>
      </w:r>
      <w:r>
        <w:rPr>
          <w:rFonts w:hint="eastAsia" w:ascii="仿宋" w:hAnsi="仿宋" w:eastAsia="仿宋" w:cs="仿宋"/>
          <w:color w:val="auto"/>
          <w:sz w:val="28"/>
          <w:szCs w:val="28"/>
          <w:lang w:eastAsia="zh-CN"/>
        </w:rPr>
        <w:t>。</w:t>
      </w:r>
    </w:p>
    <w:p w14:paraId="0CA735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.站位：时刻保证正确站位，确保后退路畅通，注意顶帮支护安全。</w:t>
      </w:r>
    </w:p>
    <w:p w14:paraId="07DA9B4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lang w:val="en-US" w:eastAsia="zh-CN"/>
        </w:rPr>
        <w:t>七、</w:t>
      </w:r>
      <w:r>
        <w:rPr>
          <w:rFonts w:hint="eastAsia" w:ascii="仿宋" w:hAnsi="仿宋" w:eastAsia="仿宋" w:cs="仿宋"/>
          <w:b/>
          <w:bCs/>
          <w:color w:val="auto"/>
          <w:sz w:val="28"/>
          <w:szCs w:val="28"/>
        </w:rPr>
        <w:t>作业后确认</w:t>
      </w:r>
      <w:r>
        <w:rPr>
          <w:rFonts w:hint="eastAsia" w:ascii="仿宋" w:hAnsi="仿宋" w:eastAsia="仿宋" w:cs="仿宋"/>
          <w:color w:val="auto"/>
          <w:sz w:val="28"/>
          <w:szCs w:val="28"/>
        </w:rPr>
        <w:t>：</w:t>
      </w:r>
    </w:p>
    <w:p w14:paraId="10AE505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1.零部件、连接</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各零部件齐全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连接可靠。</w:t>
      </w:r>
    </w:p>
    <w:p w14:paraId="11680D8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2.工具、材料、备件</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工具已清点，无缺漏；材料</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备件</w:t>
      </w:r>
      <w:r>
        <w:rPr>
          <w:rFonts w:hint="eastAsia" w:ascii="仿宋" w:hAnsi="仿宋" w:eastAsia="仿宋" w:cs="仿宋"/>
          <w:color w:val="auto"/>
          <w:sz w:val="28"/>
          <w:szCs w:val="28"/>
        </w:rPr>
        <w:t>已清理。</w:t>
      </w:r>
    </w:p>
    <w:p w14:paraId="2B99289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3.送电试运转</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维修结束后对设备进行试运转，保证设备完整好用。</w:t>
      </w:r>
    </w:p>
    <w:p w14:paraId="0DE3888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4.停电闭锁</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试运转后对设备进行停电闭锁，将设备情况根下一班次交接清楚。</w:t>
      </w:r>
    </w:p>
    <w:bookmarkEnd w:id="109"/>
    <w:p w14:paraId="7A5AED5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、事故案例教育</w:t>
      </w:r>
    </w:p>
    <w:p w14:paraId="4D8532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6B7EA8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2009年10月10日早班7时，综放队副队长韩福兵主持召开班前会，强调了4216面开面前检修安全注意事项，安排副工长王官明带领11名职工到4216面检修。到达现场后，副工长王官明对现场工作进行安排，负责支架维修的4人，其中由支架维修包机长蒋建波与支架工邹善仁进行后部溜子连接杆销子和千斤顶销子维修工作，从溜尾开始处理到5＃与6＃架子之间后部溜子千斤顶时，蒋建波发现千斤顶连接销子不到位，即安排邹善仁处理千斤顶连接销子，为了使连接销子插到位，这时邹善仁左脚蹬在6＃架底座上沿，右脚站在5＃架上，左手操作阀组，约13：50时，邹善仁操作阀组时，左脚滑到千斤顶上，左手顺势带动阀组造成千斤顶弹起，将左脚挤在千斤顶与6＃支架底座上沿之间。现场立即组织人员抢救并汇报调度室。经医院鉴定，邹善仁左脚小拇指骨裂。</w:t>
      </w:r>
    </w:p>
    <w:p w14:paraId="7C55E41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7686A3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088FA87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伤者邹善仁自我防护不到位，操作不规范，在没有站稳的情况下操作阀组，是事故发生的直接原因。</w:t>
      </w:r>
    </w:p>
    <w:p w14:paraId="0299E9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5B4299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支架维修包机长蒋建波互保联保不到位，对邹善仁不规范站位行为没有及时制止，是事故发生的重要原因。</w:t>
      </w:r>
    </w:p>
    <w:p w14:paraId="59BF31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副工长王官明班组管理不到位，对隐患人物排查管理不到位，是事故发生的一个原因。</w:t>
      </w:r>
    </w:p>
    <w:p w14:paraId="2313A8C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综放队区长曲延涛、书记李子琛对4216面工作重视程度不够，安全管理和安全教育不到位，是事故发生一个原因。</w:t>
      </w:r>
    </w:p>
    <w:p w14:paraId="4A17EC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安监员现场安全督查不到位，对安全重点盯靠不到位，落实不到位，是事故发生一个原因。</w:t>
      </w:r>
    </w:p>
    <w:p w14:paraId="7DC562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0ABCA4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1.综放队要认真吸取事故教训，进一步规范员工操作行为，明确支架操作标准，认真组织员工学习，抓好现场落实。</w:t>
      </w:r>
    </w:p>
    <w:p w14:paraId="3F2604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2.综放队要进一步加强班组安全管理，现场工作必须明确安全负责人，确保履职履责到位，及时制止不规范行为。</w:t>
      </w:r>
    </w:p>
    <w:p w14:paraId="579528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各单位要进一步加强区队安全管理，加强隐患排查治理，从人机物环各方面排查隐患，并继续加大隐患人物排查力度，对排查出的隐患人物进行结对帮教，对看惯了、干惯了、习惯了的习以为常行为要进行严厉打击。</w:t>
      </w:r>
    </w:p>
    <w:p w14:paraId="12C0D9B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4.加强精细化管理，进一步提高班组精细管理程度，消除现场管理漏洞，做到每一个环节都到达“五精”管理，坚决做到“不安全不生产、隐患不排除不生产、问题不整改不生产”，确保现场安全。</w:t>
      </w:r>
    </w:p>
    <w:p w14:paraId="5980078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九</w:t>
      </w:r>
      <w:r>
        <w:rPr>
          <w:rFonts w:hint="eastAsia" w:ascii="仿宋" w:hAnsi="仿宋" w:eastAsia="仿宋" w:cs="仿宋"/>
          <w:b/>
          <w:bCs/>
          <w:color w:val="auto"/>
          <w:sz w:val="28"/>
          <w:szCs w:val="28"/>
          <w:highlight w:val="none"/>
        </w:rPr>
        <w:t>、常见三违</w:t>
      </w:r>
    </w:p>
    <w:p w14:paraId="66941FE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（一）无证或证件过期上岗作业的；</w:t>
      </w:r>
    </w:p>
    <w:p w14:paraId="7BE559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（二）脱岗、睡岗的；</w:t>
      </w:r>
    </w:p>
    <w:p w14:paraId="73FB75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（三）设备修时，不闭锁、不打开离合器，或打开离合器不安限位销子；</w:t>
      </w:r>
    </w:p>
    <w:p w14:paraId="5B2DEB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（四）人员进入煤壁检修采煤机时煤壁无防护或无人监护；</w:t>
      </w:r>
    </w:p>
    <w:p w14:paraId="75317C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（五）起吊器具不符合措施规定要求使用；</w:t>
      </w:r>
    </w:p>
    <w:p w14:paraId="4DEFDD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（六）高温、高压、高空作业场所，设备安全防护设施不全或不使用进行作业；</w:t>
      </w:r>
    </w:p>
    <w:p w14:paraId="310ABA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（七）葫芦起吊大件使用单链；</w:t>
      </w:r>
    </w:p>
    <w:p w14:paraId="5A0DB7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（八）拆卸设备未完全卸下来时人员离开后,没有带螺丝固定。</w:t>
      </w:r>
    </w:p>
    <w:p w14:paraId="28DB0CAC">
      <w:pPr>
        <w:rPr>
          <w:rFonts w:hint="eastAsia" w:ascii="仿宋" w:hAnsi="仿宋" w:eastAsia="仿宋" w:cs="仿宋"/>
          <w:b/>
          <w:color w:val="auto"/>
          <w:sz w:val="36"/>
          <w:szCs w:val="36"/>
          <w:highlight w:val="none"/>
          <w:lang w:val="en-US" w:eastAsia="zh-CN"/>
        </w:rPr>
      </w:pPr>
      <w:bookmarkStart w:id="110" w:name="_Toc16997"/>
      <w:bookmarkStart w:id="111" w:name="_Toc22017"/>
      <w:r>
        <w:rPr>
          <w:rFonts w:hint="eastAsia" w:ascii="仿宋" w:hAnsi="仿宋" w:eastAsia="仿宋" w:cs="仿宋"/>
          <w:b/>
          <w:color w:val="auto"/>
          <w:sz w:val="36"/>
          <w:szCs w:val="36"/>
          <w:highlight w:val="none"/>
          <w:lang w:val="en-US" w:eastAsia="zh-CN"/>
        </w:rPr>
        <w:br w:type="page"/>
      </w:r>
    </w:p>
    <w:bookmarkEnd w:id="110"/>
    <w:bookmarkEnd w:id="111"/>
    <w:p w14:paraId="263771E5">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36"/>
          <w:szCs w:val="36"/>
          <w:highlight w:val="none"/>
          <w:lang w:val="en-US" w:eastAsia="zh-CN"/>
        </w:rPr>
      </w:pPr>
      <w:bookmarkStart w:id="112" w:name="_Toc25505"/>
      <w:bookmarkStart w:id="113" w:name="_Toc8525"/>
      <w:bookmarkStart w:id="114" w:name="_Toc25412"/>
      <w:r>
        <w:rPr>
          <w:rFonts w:hint="eastAsia" w:ascii="仿宋" w:hAnsi="仿宋" w:eastAsia="仿宋" w:cs="仿宋"/>
          <w:b/>
          <w:bCs/>
          <w:color w:val="auto"/>
          <w:kern w:val="0"/>
          <w:sz w:val="36"/>
          <w:szCs w:val="36"/>
          <w:highlight w:val="none"/>
          <w:lang w:val="en-US" w:eastAsia="zh-CN"/>
        </w:rPr>
        <w:t>回柱绞车司机</w:t>
      </w:r>
      <w:bookmarkEnd w:id="112"/>
    </w:p>
    <w:tbl>
      <w:tblPr>
        <w:tblStyle w:val="12"/>
        <w:tblW w:w="9038" w:type="dxa"/>
        <w:jc w:val="center"/>
        <w:tblLayout w:type="fixed"/>
        <w:tblCellMar>
          <w:top w:w="0" w:type="dxa"/>
          <w:left w:w="108" w:type="dxa"/>
          <w:bottom w:w="0" w:type="dxa"/>
          <w:right w:w="108" w:type="dxa"/>
        </w:tblCellMar>
      </w:tblPr>
      <w:tblGrid>
        <w:gridCol w:w="908"/>
        <w:gridCol w:w="3819"/>
        <w:gridCol w:w="711"/>
        <w:gridCol w:w="3600"/>
      </w:tblGrid>
      <w:tr w14:paraId="355A3C1B">
        <w:tblPrEx>
          <w:tblCellMar>
            <w:top w:w="0" w:type="dxa"/>
            <w:left w:w="108" w:type="dxa"/>
            <w:bottom w:w="0" w:type="dxa"/>
            <w:right w:w="108" w:type="dxa"/>
          </w:tblCellMar>
        </w:tblPrEx>
        <w:trPr>
          <w:trHeight w:val="471" w:hRule="atLeast"/>
          <w:jc w:val="center"/>
        </w:trPr>
        <w:tc>
          <w:tcPr>
            <w:tcW w:w="9038" w:type="dxa"/>
            <w:gridSpan w:val="4"/>
            <w:tcBorders>
              <w:top w:val="single" w:color="auto" w:sz="4" w:space="0"/>
              <w:left w:val="single" w:color="auto" w:sz="4" w:space="0"/>
              <w:bottom w:val="single" w:color="auto" w:sz="4" w:space="0"/>
              <w:right w:val="single" w:color="auto" w:sz="4" w:space="0"/>
            </w:tcBorders>
            <w:vAlign w:val="center"/>
          </w:tcPr>
          <w:p w14:paraId="1AAEC7F4">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回柱绞车</w:t>
            </w:r>
            <w:r>
              <w:rPr>
                <w:rFonts w:hint="eastAsia" w:ascii="仿宋" w:hAnsi="仿宋" w:eastAsia="仿宋" w:cs="仿宋"/>
                <w:color w:val="auto"/>
                <w:kern w:val="0"/>
                <w:sz w:val="21"/>
                <w:szCs w:val="21"/>
              </w:rPr>
              <w:t>司机岗位风险告知卡</w:t>
            </w:r>
          </w:p>
        </w:tc>
      </w:tr>
      <w:tr w14:paraId="7F4ABEC6">
        <w:tblPrEx>
          <w:tblCellMar>
            <w:top w:w="0" w:type="dxa"/>
            <w:left w:w="108" w:type="dxa"/>
            <w:bottom w:w="0" w:type="dxa"/>
            <w:right w:w="108" w:type="dxa"/>
          </w:tblCellMar>
        </w:tblPrEx>
        <w:trPr>
          <w:trHeight w:val="997" w:hRule="atLeast"/>
          <w:jc w:val="center"/>
        </w:trPr>
        <w:tc>
          <w:tcPr>
            <w:tcW w:w="908" w:type="dxa"/>
            <w:tcBorders>
              <w:top w:val="nil"/>
              <w:left w:val="single" w:color="auto" w:sz="4" w:space="0"/>
              <w:bottom w:val="single" w:color="auto" w:sz="4" w:space="0"/>
              <w:right w:val="single" w:color="auto" w:sz="4" w:space="0"/>
            </w:tcBorders>
            <w:vAlign w:val="center"/>
          </w:tcPr>
          <w:p w14:paraId="7AAFA635">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597EAB7D">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3819" w:type="dxa"/>
            <w:tcBorders>
              <w:top w:val="nil"/>
              <w:left w:val="nil"/>
              <w:bottom w:val="single" w:color="auto" w:sz="4" w:space="0"/>
              <w:right w:val="single" w:color="auto" w:sz="4" w:space="0"/>
            </w:tcBorders>
            <w:vAlign w:val="center"/>
          </w:tcPr>
          <w:p w14:paraId="34BFCEE0">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w:t>
            </w:r>
            <w:r>
              <w:rPr>
                <w:rFonts w:hint="eastAsia" w:ascii="仿宋" w:hAnsi="仿宋" w:eastAsia="仿宋" w:cs="仿宋"/>
                <w:color w:val="auto"/>
                <w:kern w:val="0"/>
                <w:sz w:val="21"/>
                <w:szCs w:val="21"/>
                <w:lang w:eastAsia="zh-CN"/>
              </w:rPr>
              <w:t>甲烷</w:t>
            </w:r>
            <w:r>
              <w:rPr>
                <w:rFonts w:hint="eastAsia" w:ascii="仿宋" w:hAnsi="仿宋" w:eastAsia="仿宋" w:cs="仿宋"/>
                <w:color w:val="auto"/>
                <w:kern w:val="0"/>
                <w:sz w:val="21"/>
                <w:szCs w:val="21"/>
              </w:rPr>
              <w:t>、运输、物体打击、职业病危害</w:t>
            </w:r>
          </w:p>
        </w:tc>
        <w:tc>
          <w:tcPr>
            <w:tcW w:w="711" w:type="dxa"/>
            <w:tcBorders>
              <w:top w:val="nil"/>
              <w:left w:val="nil"/>
              <w:bottom w:val="single" w:color="auto" w:sz="4" w:space="0"/>
              <w:right w:val="single" w:color="auto" w:sz="4" w:space="0"/>
            </w:tcBorders>
            <w:vAlign w:val="center"/>
          </w:tcPr>
          <w:p w14:paraId="60E9575C">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eastAsia="zh-CN"/>
              </w:rPr>
              <w:t>事</w:t>
            </w:r>
            <w:r>
              <w:rPr>
                <w:rFonts w:hint="eastAsia" w:ascii="仿宋" w:hAnsi="仿宋" w:eastAsia="仿宋" w:cs="仿宋"/>
                <w:b/>
                <w:bCs/>
                <w:color w:val="auto"/>
                <w:kern w:val="0"/>
                <w:sz w:val="21"/>
                <w:szCs w:val="21"/>
              </w:rPr>
              <w:t>故报告</w:t>
            </w:r>
          </w:p>
        </w:tc>
        <w:tc>
          <w:tcPr>
            <w:tcW w:w="3600" w:type="dxa"/>
            <w:tcBorders>
              <w:top w:val="nil"/>
              <w:left w:val="nil"/>
              <w:bottom w:val="single" w:color="auto" w:sz="4" w:space="0"/>
              <w:right w:val="single" w:color="auto" w:sz="4" w:space="0"/>
            </w:tcBorders>
            <w:vAlign w:val="center"/>
          </w:tcPr>
          <w:p w14:paraId="0173B907">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highlight w:val="none"/>
                <w:lang w:eastAsia="zh-CN"/>
              </w:rPr>
              <w:t>8650200、8650202、“#”</w:t>
            </w:r>
          </w:p>
          <w:p w14:paraId="57D4B06A">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工区值班：8</w:t>
            </w:r>
            <w:r>
              <w:rPr>
                <w:rFonts w:hint="eastAsia" w:ascii="仿宋" w:hAnsi="仿宋" w:eastAsia="仿宋" w:cs="仿宋"/>
                <w:color w:val="auto"/>
                <w:kern w:val="0"/>
                <w:sz w:val="21"/>
                <w:szCs w:val="21"/>
                <w:lang w:val="en-US" w:eastAsia="zh-CN"/>
              </w:rPr>
              <w:t>650807</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405CC7A7">
        <w:tblPrEx>
          <w:tblCellMar>
            <w:top w:w="0" w:type="dxa"/>
            <w:left w:w="108" w:type="dxa"/>
            <w:bottom w:w="0" w:type="dxa"/>
            <w:right w:w="108" w:type="dxa"/>
          </w:tblCellMar>
        </w:tblPrEx>
        <w:trPr>
          <w:trHeight w:val="489"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1CD63E4C">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311" w:type="dxa"/>
            <w:gridSpan w:val="2"/>
            <w:tcBorders>
              <w:top w:val="single" w:color="auto" w:sz="4" w:space="0"/>
              <w:left w:val="nil"/>
              <w:bottom w:val="single" w:color="auto" w:sz="4" w:space="0"/>
              <w:right w:val="single" w:color="auto" w:sz="4" w:space="0"/>
            </w:tcBorders>
            <w:vAlign w:val="center"/>
          </w:tcPr>
          <w:p w14:paraId="0BEFF4CB">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672BB40B">
        <w:tblPrEx>
          <w:tblCellMar>
            <w:top w:w="0" w:type="dxa"/>
            <w:left w:w="108" w:type="dxa"/>
            <w:bottom w:w="0" w:type="dxa"/>
            <w:right w:w="108" w:type="dxa"/>
          </w:tblCellMar>
        </w:tblPrEx>
        <w:trPr>
          <w:trHeight w:val="1176"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0696CC48">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202520B0">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1.经培训合格后，持证上岗；佩戴好安全帽、口罩、耳塞，执行好“三紧两不要；检查好顶帮支护情况，确保顶帮支护合格后方可上岗作业</w:t>
            </w:r>
            <w:r>
              <w:rPr>
                <w:rFonts w:hint="eastAsia" w:ascii="仿宋" w:hAnsi="仿宋" w:eastAsia="仿宋" w:cs="仿宋"/>
                <w:color w:val="auto"/>
                <w:kern w:val="0"/>
                <w:sz w:val="21"/>
                <w:szCs w:val="21"/>
                <w:lang w:eastAsia="zh-CN"/>
              </w:rPr>
              <w:t>。</w:t>
            </w:r>
          </w:p>
        </w:tc>
      </w:tr>
      <w:tr w14:paraId="5D75D983">
        <w:tblPrEx>
          <w:tblCellMar>
            <w:top w:w="0" w:type="dxa"/>
            <w:left w:w="108" w:type="dxa"/>
            <w:bottom w:w="0" w:type="dxa"/>
            <w:right w:w="108" w:type="dxa"/>
          </w:tblCellMar>
        </w:tblPrEx>
        <w:trPr>
          <w:trHeight w:val="984"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73E94E78">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2.开关、照明、信号或按钮不完好；固定不牢固；钢丝绳断丝超限或不符合规定</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0A2F0ADD">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2.开车前必须检查好开关、照明、信号、按钮；各部件完好，固定牢固；检查钢丝绳，确认完好，断丝不超限</w:t>
            </w:r>
            <w:r>
              <w:rPr>
                <w:rFonts w:hint="eastAsia" w:ascii="仿宋" w:hAnsi="仿宋" w:eastAsia="仿宋" w:cs="仿宋"/>
                <w:color w:val="auto"/>
                <w:kern w:val="0"/>
                <w:sz w:val="21"/>
                <w:szCs w:val="21"/>
                <w:lang w:eastAsia="zh-CN"/>
              </w:rPr>
              <w:t>。</w:t>
            </w:r>
          </w:p>
        </w:tc>
      </w:tr>
      <w:tr w14:paraId="7E1B2B8B">
        <w:tblPrEx>
          <w:tblCellMar>
            <w:top w:w="0" w:type="dxa"/>
            <w:left w:w="108" w:type="dxa"/>
            <w:bottom w:w="0" w:type="dxa"/>
            <w:right w:w="108" w:type="dxa"/>
          </w:tblCellMar>
        </w:tblPrEx>
        <w:trPr>
          <w:trHeight w:val="760"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41041C84">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3.靠近运转部位，造成人身伤害；制动闸、调速手柄不能正常使用</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256F9B86">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3.运行前确认稳车运行形成附近无人；检查稳车各部位，确保完好、正常</w:t>
            </w:r>
            <w:r>
              <w:rPr>
                <w:rFonts w:hint="eastAsia" w:ascii="仿宋" w:hAnsi="仿宋" w:eastAsia="仿宋" w:cs="仿宋"/>
                <w:color w:val="auto"/>
                <w:kern w:val="0"/>
                <w:sz w:val="21"/>
                <w:szCs w:val="21"/>
                <w:lang w:eastAsia="zh-CN"/>
              </w:rPr>
              <w:t>。</w:t>
            </w:r>
          </w:p>
        </w:tc>
      </w:tr>
      <w:tr w14:paraId="03B48799">
        <w:tblPrEx>
          <w:tblCellMar>
            <w:top w:w="0" w:type="dxa"/>
            <w:left w:w="108" w:type="dxa"/>
            <w:bottom w:w="0" w:type="dxa"/>
            <w:right w:w="108" w:type="dxa"/>
          </w:tblCellMar>
        </w:tblPrEx>
        <w:trPr>
          <w:trHeight w:val="1249"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1C45752B">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4.稳车不排绳、容绳超规定；运行过程中发生异常或出现异响</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6ED68DE6">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4.稳车必须按照轨道中心线安设，因条件限制无法沿轨道中心线安设时必须使用导向轮，否则不得使用；发生异响或出现异常时立即停车处理</w:t>
            </w:r>
            <w:r>
              <w:rPr>
                <w:rFonts w:hint="eastAsia" w:ascii="仿宋" w:hAnsi="仿宋" w:eastAsia="仿宋" w:cs="仿宋"/>
                <w:color w:val="auto"/>
                <w:kern w:val="0"/>
                <w:sz w:val="21"/>
                <w:szCs w:val="21"/>
                <w:lang w:eastAsia="zh-CN"/>
              </w:rPr>
              <w:t>。</w:t>
            </w:r>
          </w:p>
        </w:tc>
      </w:tr>
      <w:tr w14:paraId="6F73C5DB">
        <w:tblPrEx>
          <w:tblCellMar>
            <w:top w:w="0" w:type="dxa"/>
            <w:left w:w="108" w:type="dxa"/>
            <w:bottom w:w="0" w:type="dxa"/>
            <w:right w:w="108" w:type="dxa"/>
          </w:tblCellMar>
        </w:tblPrEx>
        <w:trPr>
          <w:trHeight w:val="654"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32C30186">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5.信号器不完好，信号不清，无法发出警示；未停电闭锁</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1495515D">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5.检查信号是否完好，信号不清不得提升；停车后立即停电闭锁</w:t>
            </w:r>
            <w:r>
              <w:rPr>
                <w:rFonts w:hint="eastAsia" w:ascii="仿宋" w:hAnsi="仿宋" w:eastAsia="仿宋" w:cs="仿宋"/>
                <w:color w:val="auto"/>
                <w:kern w:val="0"/>
                <w:sz w:val="21"/>
                <w:szCs w:val="21"/>
                <w:lang w:eastAsia="zh-CN"/>
              </w:rPr>
              <w:t>。</w:t>
            </w:r>
          </w:p>
        </w:tc>
      </w:tr>
      <w:tr w14:paraId="538B71C9">
        <w:tblPrEx>
          <w:tblCellMar>
            <w:top w:w="0" w:type="dxa"/>
            <w:left w:w="108" w:type="dxa"/>
            <w:bottom w:w="0" w:type="dxa"/>
            <w:right w:w="108" w:type="dxa"/>
          </w:tblCellMar>
        </w:tblPrEx>
        <w:trPr>
          <w:trHeight w:val="1172" w:hRule="atLeast"/>
          <w:jc w:val="center"/>
        </w:trPr>
        <w:tc>
          <w:tcPr>
            <w:tcW w:w="908" w:type="dxa"/>
            <w:tcBorders>
              <w:top w:val="nil"/>
              <w:left w:val="single" w:color="auto" w:sz="4" w:space="0"/>
              <w:bottom w:val="single" w:color="auto" w:sz="4" w:space="0"/>
              <w:right w:val="single" w:color="auto" w:sz="4" w:space="0"/>
            </w:tcBorders>
            <w:vAlign w:val="center"/>
          </w:tcPr>
          <w:p w14:paraId="4252FE80">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24466BD1">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30" w:type="dxa"/>
            <w:gridSpan w:val="3"/>
            <w:tcBorders>
              <w:top w:val="single" w:color="auto" w:sz="4" w:space="0"/>
              <w:left w:val="nil"/>
              <w:bottom w:val="single" w:color="auto" w:sz="4" w:space="0"/>
              <w:right w:val="single" w:color="auto" w:sz="4" w:space="0"/>
            </w:tcBorders>
            <w:vAlign w:val="center"/>
          </w:tcPr>
          <w:p w14:paraId="2AFCC9E4">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074C020D">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77A73D72">
        <w:tblPrEx>
          <w:tblCellMar>
            <w:top w:w="0" w:type="dxa"/>
            <w:left w:w="108" w:type="dxa"/>
            <w:bottom w:w="0" w:type="dxa"/>
            <w:right w:w="108" w:type="dxa"/>
          </w:tblCellMar>
        </w:tblPrEx>
        <w:trPr>
          <w:trHeight w:val="1497" w:hRule="atLeast"/>
          <w:jc w:val="center"/>
        </w:trPr>
        <w:tc>
          <w:tcPr>
            <w:tcW w:w="908" w:type="dxa"/>
            <w:tcBorders>
              <w:top w:val="nil"/>
              <w:left w:val="single" w:color="auto" w:sz="4" w:space="0"/>
              <w:bottom w:val="single" w:color="auto" w:sz="4" w:space="0"/>
              <w:right w:val="single" w:color="auto" w:sz="4" w:space="0"/>
            </w:tcBorders>
            <w:vAlign w:val="center"/>
          </w:tcPr>
          <w:p w14:paraId="2939C273">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1D8608A1">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58153D86">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130" w:type="dxa"/>
            <w:gridSpan w:val="3"/>
            <w:tcBorders>
              <w:top w:val="single" w:color="auto" w:sz="4" w:space="0"/>
              <w:left w:val="nil"/>
              <w:bottom w:val="single" w:color="auto" w:sz="4" w:space="0"/>
              <w:right w:val="single" w:color="auto" w:sz="4" w:space="0"/>
            </w:tcBorders>
            <w:vAlign w:val="center"/>
          </w:tcPr>
          <w:p w14:paraId="331CAE85">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出现紧急情况时，立即停车闭锁，找出故障点并将故障排除检查完毕方可开车。</w:t>
            </w:r>
          </w:p>
          <w:p w14:paraId="051328F0">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1B6A3272">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color w:val="auto"/>
          <w:sz w:val="21"/>
          <w:szCs w:val="21"/>
        </w:rPr>
      </w:pPr>
    </w:p>
    <w:p w14:paraId="74754229">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lang w:val="en-US" w:eastAsia="zh-CN"/>
        </w:rPr>
        <w:t>回柱绞车</w:t>
      </w:r>
      <w:r>
        <w:rPr>
          <w:rFonts w:hint="eastAsia" w:ascii="仿宋" w:hAnsi="仿宋" w:eastAsia="仿宋" w:cs="仿宋"/>
          <w:b/>
          <w:color w:val="auto"/>
          <w:sz w:val="21"/>
          <w:szCs w:val="21"/>
        </w:rPr>
        <w:t>司机安全提示卡</w:t>
      </w:r>
    </w:p>
    <w:tbl>
      <w:tblPr>
        <w:tblStyle w:val="12"/>
        <w:tblpPr w:leftFromText="180" w:rightFromText="180" w:vertAnchor="text" w:horzAnchor="margin" w:tblpXSpec="center" w:tblpY="159"/>
        <w:tblW w:w="90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03"/>
        <w:gridCol w:w="4427"/>
      </w:tblGrid>
      <w:tr w14:paraId="497A20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0A446561">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开车前检查</w:t>
            </w:r>
          </w:p>
        </w:tc>
        <w:tc>
          <w:tcPr>
            <w:tcW w:w="4427" w:type="dxa"/>
            <w:vAlign w:val="center"/>
          </w:tcPr>
          <w:p w14:paraId="5759D091">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停车后确认</w:t>
            </w:r>
          </w:p>
        </w:tc>
      </w:tr>
      <w:tr w14:paraId="5C757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7A268D24">
            <w:pPr>
              <w:keepNext w:val="0"/>
              <w:keepLines w:val="0"/>
              <w:pageBreakBefore w:val="0"/>
              <w:kinsoku/>
              <w:wordWrap/>
              <w:overflowPunct/>
              <w:topLinePunct w:val="0"/>
              <w:autoSpaceDE/>
              <w:bidi w:val="0"/>
              <w:adjustRightInd/>
              <w:snapToGrid/>
              <w:spacing w:line="240" w:lineRule="auto"/>
              <w:ind w:firstLine="205" w:firstLineChars="98"/>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4427" w:type="dxa"/>
            <w:vAlign w:val="center"/>
          </w:tcPr>
          <w:p w14:paraId="600FE17F">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★1.闸把</w:t>
            </w:r>
          </w:p>
        </w:tc>
      </w:tr>
      <w:tr w14:paraId="55BC9F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5E080831">
            <w:pPr>
              <w:keepNext w:val="0"/>
              <w:keepLines w:val="0"/>
              <w:pageBreakBefore w:val="0"/>
              <w:kinsoku/>
              <w:wordWrap/>
              <w:overflowPunct/>
              <w:topLinePunct w:val="0"/>
              <w:autoSpaceDE/>
              <w:bidi w:val="0"/>
              <w:adjustRightInd/>
              <w:snapToGrid/>
              <w:spacing w:line="240" w:lineRule="auto"/>
              <w:ind w:firstLine="210" w:firstLineChars="100"/>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2.照明</w:t>
            </w:r>
          </w:p>
        </w:tc>
        <w:tc>
          <w:tcPr>
            <w:tcW w:w="4427" w:type="dxa"/>
            <w:vAlign w:val="center"/>
          </w:tcPr>
          <w:p w14:paraId="11D49DBE">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★2.停电闭锁</w:t>
            </w:r>
          </w:p>
        </w:tc>
      </w:tr>
      <w:tr w14:paraId="4B58C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3508CC93">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★3.人员、障碍物</w:t>
            </w:r>
          </w:p>
        </w:tc>
        <w:tc>
          <w:tcPr>
            <w:tcW w:w="4427" w:type="dxa"/>
            <w:vAlign w:val="center"/>
          </w:tcPr>
          <w:p w14:paraId="51579D2B">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c>
      </w:tr>
      <w:tr w14:paraId="5032D4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559CE36F">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★4.站位</w:t>
            </w:r>
          </w:p>
        </w:tc>
        <w:tc>
          <w:tcPr>
            <w:tcW w:w="4427" w:type="dxa"/>
            <w:vAlign w:val="center"/>
          </w:tcPr>
          <w:p w14:paraId="313C3AC3">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c>
      </w:tr>
      <w:tr w14:paraId="1AF082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9030" w:type="dxa"/>
            <w:gridSpan w:val="2"/>
            <w:vAlign w:val="top"/>
          </w:tcPr>
          <w:p w14:paraId="53DE6CCF">
            <w:pPr>
              <w:keepNext w:val="0"/>
              <w:keepLines w:val="0"/>
              <w:pageBreakBefore w:val="0"/>
              <w:kinsoku/>
              <w:wordWrap/>
              <w:overflowPunct/>
              <w:topLinePunct w:val="0"/>
              <w:autoSpaceDE/>
              <w:bidi w:val="0"/>
              <w:adjustRightInd/>
              <w:snapToGrid/>
              <w:spacing w:line="240" w:lineRule="auto"/>
              <w:ind w:firstLine="411" w:firstLineChars="196"/>
              <w:jc w:val="both"/>
              <w:textAlignment w:val="auto"/>
              <w:outlineLvl w:val="9"/>
              <w:rPr>
                <w:rFonts w:hint="eastAsia" w:ascii="仿宋" w:hAnsi="仿宋" w:eastAsia="仿宋" w:cs="仿宋"/>
                <w:b/>
                <w:color w:val="auto"/>
                <w:w w:val="95"/>
                <w:sz w:val="21"/>
                <w:szCs w:val="21"/>
              </w:rPr>
            </w:pPr>
            <w:r>
              <w:rPr>
                <w:rFonts w:hint="eastAsia" w:ascii="仿宋" w:hAnsi="仿宋" w:eastAsia="仿宋" w:cs="仿宋"/>
                <w:b w:val="0"/>
                <w:bCs/>
                <w:color w:val="auto"/>
                <w:sz w:val="21"/>
                <w:szCs w:val="21"/>
              </w:rPr>
              <w:t>注：第一次按开车前内容逐项检查并确认，存在问题整改后再确认；中间再次开车只检查带“★”部分；提升任务全部结束后按停车后确认内容逐项检查并确认。</w:t>
            </w:r>
          </w:p>
        </w:tc>
      </w:tr>
    </w:tbl>
    <w:p w14:paraId="183E88CA">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val="0"/>
          <w:bCs/>
          <w:color w:val="auto"/>
          <w:sz w:val="21"/>
          <w:szCs w:val="21"/>
        </w:rPr>
      </w:pPr>
    </w:p>
    <w:p w14:paraId="70C15675">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lang w:val="en-US" w:eastAsia="zh-CN"/>
        </w:rPr>
        <w:t>回柱</w:t>
      </w:r>
      <w:r>
        <w:rPr>
          <w:rFonts w:hint="eastAsia" w:ascii="仿宋" w:hAnsi="仿宋" w:eastAsia="仿宋" w:cs="仿宋"/>
          <w:b w:val="0"/>
          <w:bCs/>
          <w:color w:val="auto"/>
          <w:sz w:val="21"/>
          <w:szCs w:val="21"/>
        </w:rPr>
        <w:t>绞车单元检查表</w:t>
      </w:r>
    </w:p>
    <w:tbl>
      <w:tblPr>
        <w:tblStyle w:val="12"/>
        <w:tblpPr w:leftFromText="180" w:rightFromText="180" w:vertAnchor="text" w:horzAnchor="margin" w:tblpXSpec="center" w:tblpY="202"/>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0"/>
      </w:tblGrid>
      <w:tr w14:paraId="76BBB0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14:paraId="0EDABC82">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1.记录、信号、按钮</w:t>
            </w:r>
          </w:p>
        </w:tc>
      </w:tr>
      <w:tr w14:paraId="2F72FC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14:paraId="071ECA81">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2.固定</w:t>
            </w:r>
          </w:p>
        </w:tc>
      </w:tr>
      <w:tr w14:paraId="7FF0A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14:paraId="200AE44A">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3.电机</w:t>
            </w:r>
          </w:p>
        </w:tc>
      </w:tr>
      <w:tr w14:paraId="0CBAF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trPr>
        <w:tc>
          <w:tcPr>
            <w:tcW w:w="8920" w:type="dxa"/>
            <w:vAlign w:val="center"/>
          </w:tcPr>
          <w:p w14:paraId="13179C2C">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4.制动闸、调速手把</w:t>
            </w:r>
          </w:p>
        </w:tc>
      </w:tr>
      <w:tr w14:paraId="15418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exact"/>
        </w:trPr>
        <w:tc>
          <w:tcPr>
            <w:tcW w:w="8920" w:type="dxa"/>
            <w:vAlign w:val="center"/>
          </w:tcPr>
          <w:p w14:paraId="4DD2DF34">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5.钢丝绳</w:t>
            </w:r>
          </w:p>
        </w:tc>
      </w:tr>
      <w:tr w14:paraId="1657ED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exact"/>
        </w:trPr>
        <w:tc>
          <w:tcPr>
            <w:tcW w:w="8920" w:type="dxa"/>
            <w:vAlign w:val="center"/>
          </w:tcPr>
          <w:p w14:paraId="1716CA86">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b w:val="0"/>
                <w:bCs/>
                <w:color w:val="auto"/>
                <w:sz w:val="21"/>
                <w:szCs w:val="21"/>
              </w:rPr>
              <w:t>接班后检查一次，单元检查表检查前，先进行停电闭锁确认。</w:t>
            </w:r>
          </w:p>
        </w:tc>
      </w:tr>
    </w:tbl>
    <w:p w14:paraId="5D11B7A9">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bl>
      <w:tblPr>
        <w:tblStyle w:val="12"/>
        <w:tblW w:w="9040" w:type="dxa"/>
        <w:jc w:val="center"/>
        <w:tblLayout w:type="fixed"/>
        <w:tblCellMar>
          <w:top w:w="0" w:type="dxa"/>
          <w:left w:w="108" w:type="dxa"/>
          <w:bottom w:w="0" w:type="dxa"/>
          <w:right w:w="108" w:type="dxa"/>
        </w:tblCellMar>
      </w:tblPr>
      <w:tblGrid>
        <w:gridCol w:w="798"/>
        <w:gridCol w:w="1916"/>
        <w:gridCol w:w="6326"/>
      </w:tblGrid>
      <w:tr w14:paraId="22E078BB">
        <w:tblPrEx>
          <w:tblCellMar>
            <w:top w:w="0" w:type="dxa"/>
            <w:left w:w="108" w:type="dxa"/>
            <w:bottom w:w="0" w:type="dxa"/>
            <w:right w:w="108" w:type="dxa"/>
          </w:tblCellMar>
        </w:tblPrEx>
        <w:trPr>
          <w:trHeight w:val="482" w:hRule="atLeast"/>
          <w:jc w:val="center"/>
        </w:trPr>
        <w:tc>
          <w:tcPr>
            <w:tcW w:w="9040" w:type="dxa"/>
            <w:gridSpan w:val="3"/>
            <w:tcBorders>
              <w:top w:val="single" w:color="auto" w:sz="4" w:space="0"/>
              <w:left w:val="single" w:color="auto" w:sz="4" w:space="0"/>
              <w:bottom w:val="single" w:color="auto" w:sz="4" w:space="0"/>
              <w:right w:val="single" w:color="auto" w:sz="4" w:space="0"/>
            </w:tcBorders>
            <w:vAlign w:val="center"/>
          </w:tcPr>
          <w:p w14:paraId="2245233B">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val="en-US" w:eastAsia="zh-CN"/>
              </w:rPr>
              <w:t>回柱</w:t>
            </w:r>
            <w:r>
              <w:rPr>
                <w:rFonts w:hint="eastAsia" w:ascii="仿宋" w:hAnsi="仿宋" w:eastAsia="仿宋" w:cs="仿宋"/>
                <w:b/>
                <w:color w:val="auto"/>
                <w:sz w:val="21"/>
                <w:szCs w:val="21"/>
              </w:rPr>
              <w:t>绞车司机操作过程注意事项</w:t>
            </w:r>
          </w:p>
        </w:tc>
      </w:tr>
      <w:tr w14:paraId="738D31FB">
        <w:tblPrEx>
          <w:tblCellMar>
            <w:top w:w="0" w:type="dxa"/>
            <w:left w:w="108" w:type="dxa"/>
            <w:bottom w:w="0" w:type="dxa"/>
            <w:right w:w="108" w:type="dxa"/>
          </w:tblCellMar>
        </w:tblPrEx>
        <w:trPr>
          <w:trHeight w:val="482" w:hRule="atLeast"/>
          <w:jc w:val="center"/>
        </w:trPr>
        <w:tc>
          <w:tcPr>
            <w:tcW w:w="798" w:type="dxa"/>
            <w:tcBorders>
              <w:top w:val="single" w:color="auto" w:sz="4" w:space="0"/>
              <w:left w:val="single" w:color="auto" w:sz="4" w:space="0"/>
              <w:bottom w:val="single" w:color="auto" w:sz="4" w:space="0"/>
              <w:right w:val="single" w:color="auto" w:sz="4" w:space="0"/>
            </w:tcBorders>
            <w:vAlign w:val="center"/>
          </w:tcPr>
          <w:p w14:paraId="08A2039C">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916" w:type="dxa"/>
            <w:tcBorders>
              <w:top w:val="single" w:color="auto" w:sz="4" w:space="0"/>
              <w:left w:val="nil"/>
              <w:bottom w:val="single" w:color="auto" w:sz="4" w:space="0"/>
              <w:right w:val="single" w:color="auto" w:sz="4" w:space="0"/>
            </w:tcBorders>
            <w:vAlign w:val="center"/>
          </w:tcPr>
          <w:p w14:paraId="7A743DCF">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326" w:type="dxa"/>
            <w:tcBorders>
              <w:top w:val="single" w:color="auto" w:sz="4" w:space="0"/>
              <w:left w:val="nil"/>
              <w:bottom w:val="single" w:color="auto" w:sz="4" w:space="0"/>
              <w:right w:val="single" w:color="auto" w:sz="4" w:space="0"/>
            </w:tcBorders>
            <w:vAlign w:val="center"/>
          </w:tcPr>
          <w:p w14:paraId="5FB5516F">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14:paraId="7C8DF9C4">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7FCF5815">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916" w:type="dxa"/>
            <w:tcBorders>
              <w:top w:val="nil"/>
              <w:left w:val="nil"/>
              <w:bottom w:val="single" w:color="auto" w:sz="4" w:space="0"/>
              <w:right w:val="single" w:color="auto" w:sz="4" w:space="0"/>
            </w:tcBorders>
            <w:vAlign w:val="center"/>
          </w:tcPr>
          <w:p w14:paraId="398A7638">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看钢丝绳</w:t>
            </w:r>
          </w:p>
        </w:tc>
        <w:tc>
          <w:tcPr>
            <w:tcW w:w="6326" w:type="dxa"/>
            <w:tcBorders>
              <w:top w:val="nil"/>
              <w:left w:val="nil"/>
              <w:bottom w:val="single" w:color="auto" w:sz="4" w:space="0"/>
              <w:right w:val="single" w:color="auto" w:sz="4" w:space="0"/>
            </w:tcBorders>
            <w:vAlign w:val="center"/>
          </w:tcPr>
          <w:p w14:paraId="2B5F1C45">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随时观察钢丝绳有无异常跳动、松弛及排列情况，出现异常立即停车。</w:t>
            </w:r>
          </w:p>
        </w:tc>
      </w:tr>
      <w:tr w14:paraId="70404441">
        <w:tblPrEx>
          <w:tblCellMar>
            <w:top w:w="0" w:type="dxa"/>
            <w:left w:w="108" w:type="dxa"/>
            <w:bottom w:w="0" w:type="dxa"/>
            <w:right w:w="108" w:type="dxa"/>
          </w:tblCellMar>
        </w:tblPrEx>
        <w:trPr>
          <w:trHeight w:val="482" w:hRule="atLeast"/>
          <w:jc w:val="center"/>
        </w:trPr>
        <w:tc>
          <w:tcPr>
            <w:tcW w:w="798" w:type="dxa"/>
            <w:vMerge w:val="restart"/>
            <w:tcBorders>
              <w:top w:val="nil"/>
              <w:left w:val="single" w:color="auto" w:sz="4" w:space="0"/>
              <w:bottom w:val="single" w:color="000000" w:sz="4" w:space="0"/>
              <w:right w:val="single" w:color="auto" w:sz="4" w:space="0"/>
            </w:tcBorders>
            <w:vAlign w:val="center"/>
          </w:tcPr>
          <w:p w14:paraId="418E7AC0">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916" w:type="dxa"/>
            <w:tcBorders>
              <w:top w:val="nil"/>
              <w:left w:val="nil"/>
              <w:bottom w:val="single" w:color="auto" w:sz="4" w:space="0"/>
              <w:right w:val="single" w:color="auto" w:sz="4" w:space="0"/>
            </w:tcBorders>
            <w:vAlign w:val="center"/>
          </w:tcPr>
          <w:p w14:paraId="70CBF9AF">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326" w:type="dxa"/>
            <w:tcBorders>
              <w:top w:val="nil"/>
              <w:left w:val="nil"/>
              <w:bottom w:val="single" w:color="auto" w:sz="4" w:space="0"/>
              <w:right w:val="single" w:color="auto" w:sz="4" w:space="0"/>
            </w:tcBorders>
            <w:vAlign w:val="center"/>
          </w:tcPr>
          <w:p w14:paraId="67AE4381">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严格按信号指令操作。</w:t>
            </w:r>
          </w:p>
        </w:tc>
      </w:tr>
      <w:tr w14:paraId="1773902A">
        <w:tblPrEx>
          <w:tblCellMar>
            <w:top w:w="0" w:type="dxa"/>
            <w:left w:w="108" w:type="dxa"/>
            <w:bottom w:w="0" w:type="dxa"/>
            <w:right w:w="108" w:type="dxa"/>
          </w:tblCellMar>
        </w:tblPrEx>
        <w:trPr>
          <w:trHeight w:val="482" w:hRule="atLeast"/>
          <w:jc w:val="center"/>
        </w:trPr>
        <w:tc>
          <w:tcPr>
            <w:tcW w:w="798" w:type="dxa"/>
            <w:vMerge w:val="continue"/>
            <w:tcBorders>
              <w:top w:val="nil"/>
              <w:left w:val="single" w:color="auto" w:sz="4" w:space="0"/>
              <w:bottom w:val="single" w:color="000000" w:sz="4" w:space="0"/>
              <w:right w:val="single" w:color="auto" w:sz="4" w:space="0"/>
            </w:tcBorders>
            <w:vAlign w:val="center"/>
          </w:tcPr>
          <w:p w14:paraId="6A92B2A7">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p>
        </w:tc>
        <w:tc>
          <w:tcPr>
            <w:tcW w:w="1916" w:type="dxa"/>
            <w:tcBorders>
              <w:top w:val="nil"/>
              <w:left w:val="nil"/>
              <w:bottom w:val="single" w:color="auto" w:sz="4" w:space="0"/>
              <w:right w:val="single" w:color="auto" w:sz="4" w:space="0"/>
            </w:tcBorders>
            <w:vAlign w:val="center"/>
          </w:tcPr>
          <w:p w14:paraId="2722B2F1">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326" w:type="dxa"/>
            <w:tcBorders>
              <w:top w:val="nil"/>
              <w:left w:val="nil"/>
              <w:bottom w:val="single" w:color="auto" w:sz="4" w:space="0"/>
              <w:right w:val="single" w:color="auto" w:sz="4" w:space="0"/>
            </w:tcBorders>
            <w:vAlign w:val="center"/>
          </w:tcPr>
          <w:p w14:paraId="4654BC28">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设备出现严重异响或非正常震动立即停车。</w:t>
            </w:r>
          </w:p>
        </w:tc>
      </w:tr>
      <w:tr w14:paraId="20F528BB">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59E9BFF5">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916" w:type="dxa"/>
            <w:tcBorders>
              <w:top w:val="nil"/>
              <w:left w:val="nil"/>
              <w:bottom w:val="single" w:color="auto" w:sz="4" w:space="0"/>
              <w:right w:val="single" w:color="auto" w:sz="4" w:space="0"/>
            </w:tcBorders>
            <w:vAlign w:val="center"/>
          </w:tcPr>
          <w:p w14:paraId="060A649E">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6326" w:type="dxa"/>
            <w:tcBorders>
              <w:top w:val="nil"/>
              <w:left w:val="nil"/>
              <w:bottom w:val="single" w:color="auto" w:sz="4" w:space="0"/>
              <w:right w:val="single" w:color="auto" w:sz="4" w:space="0"/>
            </w:tcBorders>
            <w:vAlign w:val="center"/>
          </w:tcPr>
          <w:p w14:paraId="3C24A4CC">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闻到异常气味立即停车。</w:t>
            </w:r>
          </w:p>
        </w:tc>
      </w:tr>
      <w:tr w14:paraId="7CEFE0A1">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170F3CC8">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916" w:type="dxa"/>
            <w:tcBorders>
              <w:top w:val="nil"/>
              <w:left w:val="nil"/>
              <w:bottom w:val="single" w:color="auto" w:sz="4" w:space="0"/>
              <w:right w:val="single" w:color="auto" w:sz="4" w:space="0"/>
            </w:tcBorders>
            <w:vAlign w:val="center"/>
          </w:tcPr>
          <w:p w14:paraId="05740ACC">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握手柄</w:t>
            </w:r>
          </w:p>
        </w:tc>
        <w:tc>
          <w:tcPr>
            <w:tcW w:w="6326" w:type="dxa"/>
            <w:tcBorders>
              <w:top w:val="nil"/>
              <w:left w:val="nil"/>
              <w:bottom w:val="single" w:color="auto" w:sz="4" w:space="0"/>
              <w:right w:val="single" w:color="auto" w:sz="4" w:space="0"/>
            </w:tcBorders>
            <w:vAlign w:val="center"/>
          </w:tcPr>
          <w:p w14:paraId="76D6901B">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右手不准离开工作闸控制手柄，严禁一手开车，一手处理爬绳；严禁放飞车。</w:t>
            </w:r>
          </w:p>
        </w:tc>
      </w:tr>
      <w:tr w14:paraId="61812F47">
        <w:tblPrEx>
          <w:tblCellMar>
            <w:top w:w="0" w:type="dxa"/>
            <w:left w:w="108" w:type="dxa"/>
            <w:bottom w:w="0" w:type="dxa"/>
            <w:right w:w="108" w:type="dxa"/>
          </w:tblCellMar>
        </w:tblPrEx>
        <w:trPr>
          <w:trHeight w:val="610" w:hRule="atLeast"/>
          <w:jc w:val="center"/>
        </w:trPr>
        <w:tc>
          <w:tcPr>
            <w:tcW w:w="798" w:type="dxa"/>
            <w:tcBorders>
              <w:top w:val="nil"/>
              <w:left w:val="single" w:color="auto" w:sz="4" w:space="0"/>
              <w:bottom w:val="single" w:color="auto" w:sz="4" w:space="0"/>
              <w:right w:val="single" w:color="auto" w:sz="4" w:space="0"/>
            </w:tcBorders>
            <w:vAlign w:val="center"/>
          </w:tcPr>
          <w:p w14:paraId="5D5B3A23">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916" w:type="dxa"/>
            <w:tcBorders>
              <w:top w:val="nil"/>
              <w:left w:val="nil"/>
              <w:bottom w:val="single" w:color="auto" w:sz="4" w:space="0"/>
              <w:right w:val="single" w:color="auto" w:sz="4" w:space="0"/>
            </w:tcBorders>
            <w:vAlign w:val="center"/>
          </w:tcPr>
          <w:p w14:paraId="64E8356A">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四超车辆</w:t>
            </w:r>
          </w:p>
        </w:tc>
        <w:tc>
          <w:tcPr>
            <w:tcW w:w="6326" w:type="dxa"/>
            <w:tcBorders>
              <w:top w:val="nil"/>
              <w:left w:val="nil"/>
              <w:bottom w:val="single" w:color="auto" w:sz="4" w:space="0"/>
              <w:right w:val="single" w:color="auto" w:sz="4" w:space="0"/>
            </w:tcBorders>
            <w:vAlign w:val="center"/>
          </w:tcPr>
          <w:p w14:paraId="0BE46B55">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tr w14:paraId="5A4D5BD0">
        <w:tblPrEx>
          <w:tblCellMar>
            <w:top w:w="0" w:type="dxa"/>
            <w:left w:w="108" w:type="dxa"/>
            <w:bottom w:w="0" w:type="dxa"/>
            <w:right w:w="108" w:type="dxa"/>
          </w:tblCellMar>
        </w:tblPrEx>
        <w:trPr>
          <w:trHeight w:val="458" w:hRule="atLeast"/>
          <w:jc w:val="center"/>
        </w:trPr>
        <w:tc>
          <w:tcPr>
            <w:tcW w:w="798" w:type="dxa"/>
            <w:tcBorders>
              <w:top w:val="nil"/>
              <w:left w:val="single" w:color="auto" w:sz="4" w:space="0"/>
              <w:bottom w:val="single" w:color="auto" w:sz="4" w:space="0"/>
              <w:right w:val="single" w:color="auto" w:sz="4" w:space="0"/>
            </w:tcBorders>
            <w:vAlign w:val="center"/>
          </w:tcPr>
          <w:p w14:paraId="2C123DA6">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916" w:type="dxa"/>
            <w:tcBorders>
              <w:top w:val="nil"/>
              <w:left w:val="nil"/>
              <w:bottom w:val="single" w:color="auto" w:sz="4" w:space="0"/>
              <w:right w:val="single" w:color="auto" w:sz="4" w:space="0"/>
            </w:tcBorders>
            <w:vAlign w:val="center"/>
          </w:tcPr>
          <w:p w14:paraId="47137802">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326" w:type="dxa"/>
            <w:tcBorders>
              <w:top w:val="nil"/>
              <w:left w:val="nil"/>
              <w:bottom w:val="single" w:color="auto" w:sz="4" w:space="0"/>
              <w:right w:val="single" w:color="auto" w:sz="4" w:space="0"/>
            </w:tcBorders>
            <w:vAlign w:val="center"/>
          </w:tcPr>
          <w:p w14:paraId="59D34978">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禁止用小绞车硬拉复位。</w:t>
            </w:r>
          </w:p>
        </w:tc>
      </w:tr>
      <w:tr w14:paraId="3FD6E5BB">
        <w:tblPrEx>
          <w:tblCellMar>
            <w:top w:w="0" w:type="dxa"/>
            <w:left w:w="108" w:type="dxa"/>
            <w:bottom w:w="0" w:type="dxa"/>
            <w:right w:w="108" w:type="dxa"/>
          </w:tblCellMar>
        </w:tblPrEx>
        <w:trPr>
          <w:trHeight w:val="579" w:hRule="atLeast"/>
          <w:jc w:val="center"/>
        </w:trPr>
        <w:tc>
          <w:tcPr>
            <w:tcW w:w="798" w:type="dxa"/>
            <w:tcBorders>
              <w:top w:val="nil"/>
              <w:left w:val="single" w:color="auto" w:sz="4" w:space="0"/>
              <w:bottom w:val="single" w:color="auto" w:sz="4" w:space="0"/>
              <w:right w:val="single" w:color="auto" w:sz="4" w:space="0"/>
            </w:tcBorders>
            <w:vAlign w:val="center"/>
          </w:tcPr>
          <w:p w14:paraId="0EEFF6D3">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7</w:t>
            </w:r>
          </w:p>
        </w:tc>
        <w:tc>
          <w:tcPr>
            <w:tcW w:w="1916" w:type="dxa"/>
            <w:tcBorders>
              <w:top w:val="nil"/>
              <w:left w:val="nil"/>
              <w:bottom w:val="single" w:color="auto" w:sz="4" w:space="0"/>
              <w:right w:val="single" w:color="auto" w:sz="4" w:space="0"/>
            </w:tcBorders>
            <w:vAlign w:val="center"/>
          </w:tcPr>
          <w:p w14:paraId="1C3792B9">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6326" w:type="dxa"/>
            <w:tcBorders>
              <w:top w:val="nil"/>
              <w:left w:val="nil"/>
              <w:bottom w:val="single" w:color="auto" w:sz="4" w:space="0"/>
              <w:right w:val="single" w:color="auto" w:sz="4" w:space="0"/>
            </w:tcBorders>
            <w:vAlign w:val="center"/>
          </w:tcPr>
          <w:p w14:paraId="6ED7CBDE">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严禁在稳车滚筒前面（出绳侧）操作，不得擅自离岗。</w:t>
            </w:r>
          </w:p>
        </w:tc>
      </w:tr>
    </w:tbl>
    <w:p w14:paraId="78B9CBB0">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14:paraId="1ED09C16">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14:paraId="1AB8CB9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14:paraId="3B94491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14:paraId="2FC4700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14:paraId="19D9CE5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14:paraId="457E25F5">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14:paraId="551B318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14:paraId="2C9F7F3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14:paraId="41FE497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14:paraId="39F7947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14:paraId="6AEFAA7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14:paraId="6F68C6C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14:paraId="3B8C279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14:paraId="0FE1E17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14:paraId="51990AA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14:paraId="5D0ABDF9">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06FA3C4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09BD06E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3940E6F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6C66CCA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022613B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59A1C6C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14:paraId="66F5740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39DC8FF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0B4AF24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257DFFA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14:paraId="43D4FCF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14:paraId="21389EB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14:paraId="2408B64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14:paraId="342C6A2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14:paraId="71F3242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14:paraId="0B1791ED">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794B8C15">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1C38418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嗜好饮酒的“迷糊人”：是指爱好喝酒、酗酒甚至容易醉酒的人。</w:t>
      </w:r>
    </w:p>
    <w:p w14:paraId="015766F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婚期前后的“甜蜜人”：是指正在筹备或者刚刚完成婚姻大事的人。</w:t>
      </w:r>
    </w:p>
    <w:p w14:paraId="5058FA6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家有丧事的“失落人”：是指家庭有亲人离世导致情绪失落波动。</w:t>
      </w:r>
    </w:p>
    <w:p w14:paraId="0651AAC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经常违章的“大胆人”：是指自律能力差，对违章屡教不改的人。</w:t>
      </w:r>
    </w:p>
    <w:p w14:paraId="71ECF4A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挨批受罚的“情绪人”：是指受到批评处罚情绪低落的人。</w:t>
      </w:r>
    </w:p>
    <w:p w14:paraId="428D3D4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重新上岗的“三长人”：是指长伤、长病、长旷的返岗人员。</w:t>
      </w:r>
    </w:p>
    <w:p w14:paraId="0FA01AF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极度疲劳的“硬撑人”：是指班后从事体力劳动极度疲惫的人。</w:t>
      </w:r>
    </w:p>
    <w:p w14:paraId="4CAE485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临近退休的“老年人”：是指年龄偏大（50岁以上）的老工人。</w:t>
      </w:r>
    </w:p>
    <w:p w14:paraId="3D0F6A0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随时发病的“体弱人”：是指被医院诊断患有高血压、心脏病、脑血栓、</w:t>
      </w:r>
      <w:r>
        <w:rPr>
          <w:rFonts w:hint="eastAsia" w:ascii="仿宋" w:hAnsi="仿宋" w:eastAsia="仿宋" w:cs="仿宋"/>
          <w:color w:val="auto"/>
          <w:sz w:val="28"/>
          <w:szCs w:val="28"/>
          <w:lang w:val="en-US" w:eastAsia="zh-CN"/>
        </w:rPr>
        <w:t>抑郁症</w:t>
      </w:r>
      <w:r>
        <w:rPr>
          <w:rFonts w:hint="eastAsia" w:ascii="仿宋" w:hAnsi="仿宋" w:eastAsia="仿宋" w:cs="仿宋"/>
          <w:color w:val="auto"/>
          <w:sz w:val="28"/>
          <w:szCs w:val="28"/>
          <w:lang w:eastAsia="zh-CN"/>
        </w:rPr>
        <w:t>等病情的人。</w:t>
      </w:r>
    </w:p>
    <w:p w14:paraId="1009491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家境特殊的“纠结人”：是指频发家庭矛盾影响工作情绪的人。</w:t>
      </w:r>
    </w:p>
    <w:p w14:paraId="3E23010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岗位调整的“转行人”：是指转换了工作岗位、改变了工作性质的人。</w:t>
      </w:r>
    </w:p>
    <w:p w14:paraId="74F8512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初来乍到的“新工人”：是指刚入矿或者从外单位调入的人。</w:t>
      </w:r>
    </w:p>
    <w:p w14:paraId="1D89432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班前教育的“落空人”：是指未参加班前会的人。</w:t>
      </w:r>
    </w:p>
    <w:p w14:paraId="435F62E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心力交瘁的“上访人”：是指由于社会矛盾得不到及时解决有上访倾向的人。</w:t>
      </w:r>
    </w:p>
    <w:p w14:paraId="0394A6D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八小时以外的“网络人”：是指工作之余，喜欢上网的年轻员工，班前休息不好，上班精力不集中。</w:t>
      </w:r>
    </w:p>
    <w:p w14:paraId="7DBDA65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性格粗暴的“鲁莽人”：是指性格简单粗暴的员工，工作急躁毛躁浮躁。</w:t>
      </w:r>
    </w:p>
    <w:p w14:paraId="2305CE5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反应迟钝的“麻木人”：是指工作麻痹大意、马虎凑付不在乎、反应迟钝的员工。</w:t>
      </w:r>
    </w:p>
    <w:p w14:paraId="09A5C2A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不安心工作的“跳槽人”：是指不安心本职工作，意欲调动工作的人。</w:t>
      </w:r>
    </w:p>
    <w:p w14:paraId="0994795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不服从管理的“顶牛人”：是指与管理人员或员工有矛盾，不服从管理的员工。</w:t>
      </w:r>
    </w:p>
    <w:p w14:paraId="415E778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肩负第二职业的“经济人”：是指挣钱不要命，工作之余另有第二职业的人。</w:t>
      </w:r>
    </w:p>
    <w:p w14:paraId="2A2C35A7">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3C6B5EF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岁以上老员工、患有疾病人员、其他人员等。当事人状况发生转变脱离了薄弱人物范畴的，及时予以“销号”。</w:t>
      </w:r>
    </w:p>
    <w:p w14:paraId="0D6DF299">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1AE5AAB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月度定性排查：深入掌握员工的思想、身体、爱好、家庭等情况，动态保持排查的敏感性，善于捕捉不良苗头，对薄弱人物进行分类定性，列出详细名单，根据分类定性情况，制定出具体防范措施。</w:t>
      </w:r>
    </w:p>
    <w:p w14:paraId="673E4A0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每天班前排查：各单位召开班前会之前，首先由值班人员进行排查，对确定为薄弱人物的员工或者疑似薄弱人物的员工采取针对性措施，原则上“宁信其可能勿信其不可能”。</w:t>
      </w:r>
    </w:p>
    <w:p w14:paraId="5501F1B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color w:val="auto"/>
          <w:sz w:val="28"/>
          <w:szCs w:val="28"/>
          <w:lang w:val="en-US" w:eastAsia="zh-CN"/>
        </w:rPr>
        <w:t>洪亮</w:t>
      </w:r>
      <w:r>
        <w:rPr>
          <w:rFonts w:hint="eastAsia" w:ascii="仿宋" w:hAnsi="仿宋" w:eastAsia="仿宋" w:cs="仿宋"/>
          <w:color w:val="auto"/>
          <w:sz w:val="28"/>
          <w:szCs w:val="28"/>
          <w:lang w:eastAsia="zh-CN"/>
        </w:rPr>
        <w:t>、气息是否流畅，询“问”员工身体心理健康状况，“测”量员工血压等状况。值班人员根据排查情况，落实各项管理措施，填写专项记录。</w:t>
      </w:r>
    </w:p>
    <w:p w14:paraId="0E116C5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342D074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138EABE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现场排查：通过管理人员、班组长和安监员现场巡查，特别是结对子人员，值班安全员，对言谈举止出现异常者给予特别关注，必须立即采取应急措施，严重者及时护送至医院进行诊治。</w:t>
      </w:r>
    </w:p>
    <w:p w14:paraId="1DA71DAE">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2BC20DC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对于岗前饮酒者，坚决禁止上岗作业。轻者责令其回家休息，重者在区队原地休息或者安排人员护送回家。</w:t>
      </w:r>
    </w:p>
    <w:p w14:paraId="09DC8ED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对于有喜事或丧事的人员，要通过面谈掌握当事人的心理状态，无异议后方可下井。</w:t>
      </w:r>
    </w:p>
    <w:p w14:paraId="009F418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对于经常违章的人员，要加强日常的教育，在班前会上注重提问，安排岗位要合理，原则上做到“疑人不用”。</w:t>
      </w:r>
    </w:p>
    <w:p w14:paraId="14B06D8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对于受到批评和处罚的员工，要加强心理疏导，让当事人放下思想包袱，解除心里抱怨，避免带着情绪上岗。</w:t>
      </w:r>
    </w:p>
    <w:p w14:paraId="59F3B0B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对于“三长”人员，必须加强岗前教育培训，考试合格后方可上岗。上岗过程中，要作为重点的巡查盯靠对象，</w:t>
      </w:r>
      <w:r>
        <w:rPr>
          <w:rFonts w:hint="eastAsia" w:ascii="仿宋" w:hAnsi="仿宋" w:eastAsia="仿宋" w:cs="仿宋"/>
          <w:color w:val="auto"/>
          <w:sz w:val="28"/>
          <w:szCs w:val="28"/>
          <w:lang w:val="en-US" w:eastAsia="zh-CN"/>
        </w:rPr>
        <w:t>实施跟踪观察</w:t>
      </w:r>
      <w:r>
        <w:rPr>
          <w:rFonts w:hint="eastAsia" w:ascii="仿宋" w:hAnsi="仿宋" w:eastAsia="仿宋" w:cs="仿宋"/>
          <w:color w:val="auto"/>
          <w:sz w:val="28"/>
          <w:szCs w:val="28"/>
          <w:lang w:eastAsia="zh-CN"/>
        </w:rPr>
        <w:t>。</w:t>
      </w:r>
    </w:p>
    <w:p w14:paraId="02D0463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对于有高血压、心脏病等病史的人，一旦发现异常情况，应立即安排其原地休息，必要的时候，到医院检查就医,并适时参加矿上统一组织的劳鉴工作。</w:t>
      </w:r>
    </w:p>
    <w:p w14:paraId="5BB85F9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对于家庭矛盾突出的员工，应通过谈心或者家访的方式，及时为员工解决家庭矛盾，解开症结，保证员工轻装上岗。</w:t>
      </w:r>
    </w:p>
    <w:p w14:paraId="289A915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对于临近退休的老工人，在安排岗位上首要考虑安全因素，原则上不安排攀高、抬重、高温等急难险重类型的作业。</w:t>
      </w:r>
    </w:p>
    <w:p w14:paraId="167E333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对于转岗员工当成新工人尽心管理，严格履行以师带徒合同，在老工人的带领下作业。</w:t>
      </w:r>
    </w:p>
    <w:p w14:paraId="6A1143E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对于刚入伍或者新调入的员工，第一时间建立“员工信息档案”，详细掌握员工的综合状况，加强日常培训，经常开展交流谈心，由经验丰富的老工人与其签订师徒合同。</w:t>
      </w:r>
    </w:p>
    <w:p w14:paraId="60F1521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凡是没有参加班前会学习教育的人员，一律严禁上岗作业。</w:t>
      </w:r>
    </w:p>
    <w:p w14:paraId="369092A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对于喜欢上网的年轻员工，要加强引导，多沟通勤交流，促使他们培养健康向上的生活工作情趣。</w:t>
      </w:r>
    </w:p>
    <w:p w14:paraId="65FBF73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对于有上访倾向的人，要及时了解情况，掌握思想状态，活血化瘀，必要时可申请法律援助，解决实际困难。</w:t>
      </w:r>
    </w:p>
    <w:p w14:paraId="1354E8C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对于反应迟钝、工作急躁毛躁浮躁的员工，要加强教育，使其克服缺点，结对子人员，必须安排一名沉稳人员带领，尽量避免让其承担单项工程和零星工程。</w:t>
      </w:r>
    </w:p>
    <w:p w14:paraId="1F40FD2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对于不服从管理的员工，单位管理人员要及时做好一人一事的思想工作，解决存在的矛盾，使其心悦诚服、心情舒畅的投入工作。</w:t>
      </w:r>
    </w:p>
    <w:p w14:paraId="5033F6D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对于不安心工作或肩负第二职业的员工，单位主要领导要格外进行关注，进行一对一的帮教，使其回心转意，爱岗敬业，干好本职工作，时刻注意安全。</w:t>
      </w:r>
    </w:p>
    <w:p w14:paraId="665782B2">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三.安全风险辨识与管控措施</w:t>
      </w:r>
    </w:p>
    <w:p w14:paraId="6E22F73C">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（一）通用部分</w:t>
      </w:r>
    </w:p>
    <w:p w14:paraId="6865E08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14:paraId="667CAC1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14:paraId="1CB42ED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14:paraId="2CC7555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14:paraId="51A739C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14:paraId="1C47A69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14:paraId="2628A22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14:paraId="19F2D9E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14:paraId="746A84D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14:paraId="45FA634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15E281A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14:paraId="33B6D56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14:paraId="4804107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14:paraId="79A6113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14:paraId="6F588B6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14:paraId="1B73BAF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0D3B702C">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14:paraId="15E42458">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14:paraId="0962B4EB">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14:paraId="3D7CAFEE">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14:paraId="26547FD3">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14:paraId="0336F2F1">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14:paraId="18B92F00">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14:paraId="79464603">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4653F0D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14:paraId="05E94896">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14:paraId="14D56FD1">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14:paraId="4CFE0B2D">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（4）一旦出现瓦斯浓度超限，立即按照规定要求的撤人路线进行避灾。</w:t>
      </w:r>
    </w:p>
    <w:p w14:paraId="211A5EC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14:paraId="16B0392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3275B69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（1）抬运物料时，人员做好相互配合，轻拿轻放物料，步调、口号一致。</w:t>
      </w:r>
    </w:p>
    <w:p w14:paraId="6429714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14:paraId="5D1E8F08">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14:paraId="710276B2">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（二）专用部分</w:t>
      </w:r>
    </w:p>
    <w:p w14:paraId="55F6027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1.开车前：</w:t>
      </w:r>
    </w:p>
    <w:p w14:paraId="36FF6AE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（1）风险描述：局部喷层开裂、破碎，存在掉矸伤人、冒顶的风险。</w:t>
      </w:r>
    </w:p>
    <w:p w14:paraId="6946EDC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进入施工地点后，首先使用敲帮问顶专用工具对施工地点顶板及帮部进行敲帮问顶，找掉危岩活矸。敲帮问顶应从完好支护的地点开始，由外向里、自上而下、先顶部后两帮依次进行，敲帮问顶范围内严禁其他人员进入。</w:t>
      </w:r>
    </w:p>
    <w:p w14:paraId="101455C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（2）风险描述：工作地点无照明或照明灯损坏，作业人员可能存在碰伤风险。</w:t>
      </w:r>
    </w:p>
    <w:p w14:paraId="32FC7F9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管控措施：作业地点保证充足照明；发现照明灯损坏时，及时联系电工更换。</w:t>
      </w:r>
    </w:p>
    <w:p w14:paraId="55A4D80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（3）风险描述：绞车提升巷道内有影响运输的人员和障碍物，可能发生运输事故风险。</w:t>
      </w:r>
    </w:p>
    <w:p w14:paraId="593DBE8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管控措施：绞车提升巷道不得有影响运输的人员和障碍物；开车前，发出警示信号，提醒过往行人。</w:t>
      </w:r>
    </w:p>
    <w:p w14:paraId="57A47B6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2.操作过程中：</w:t>
      </w:r>
    </w:p>
    <w:p w14:paraId="1CB791F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（1）风险描述：未根据信号指令开车，可能发生运输事故风险。</w:t>
      </w:r>
    </w:p>
    <w:p w14:paraId="14AC5B1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班长要求信号把钩工按规定收发信号；跟班班长对运输过程进行监督，发现信号把钩工收发信号失误的，立即中止作业，对责任人进行处罚，并批评教育；安检员对运输过程进行监督，发现不规范作业的，按违章处理。</w:t>
      </w:r>
    </w:p>
    <w:p w14:paraId="3389B30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（2）风险描述：绞车司机站位不当，可能造成人身伤害或跑车风险。</w:t>
      </w:r>
    </w:p>
    <w:p w14:paraId="43F3F46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管控措施：严禁站在绞车滚筒前方（出绳侧）操作，严禁靠近设备转动部位，防止衣物卷入造成伤害。</w:t>
      </w:r>
    </w:p>
    <w:p w14:paraId="365D83E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（3）风险描述：绞车运行过程中出现异响、异味、不明信号等异常情况，未及时处理可能发生运输事故风险。</w:t>
      </w:r>
    </w:p>
    <w:p w14:paraId="7F51F01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管控措施：运行中发现下列情况必须立即停车，妥善处理后方可继续运行：</w:t>
      </w:r>
    </w:p>
    <w:p w14:paraId="29BF334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有异常响声、异味、异状；钢丝绳有异常跳动，负载增大或突然松弛；绞车固定出现异常；有严重咬绳、爬绳现象；电机异常；收到不明信号；突然断电或有其他险情。</w:t>
      </w:r>
    </w:p>
    <w:p w14:paraId="66C70AF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（4）风险描述：未严格执行“行车不行人，行人不行车”制度，可能发生运输事故风险。</w:t>
      </w:r>
    </w:p>
    <w:p w14:paraId="282FC02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班组长应严格管理、监督职工的作业行为，发现违反规定作业的人员进行处罚并教育；安检员、机电科管理人员应做好监督管理工作，发现违规行为应立即制止，并作出相应处罚。</w:t>
      </w:r>
    </w:p>
    <w:p w14:paraId="150FEDC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（5）风险描述：处理掉道车辆不当，可能发生运输事故风险。</w:t>
      </w:r>
    </w:p>
    <w:p w14:paraId="0747268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管控措施：严格按照规定处理掉道车辆，严禁强行硬拉复轨；安检员现场监督，发现处理方法不当进行制止纠正。</w:t>
      </w:r>
    </w:p>
    <w:p w14:paraId="12D3121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（6）风险描述：运输“四超”车辆，可能发生运输事故风险。</w:t>
      </w:r>
    </w:p>
    <w:p w14:paraId="441FFC5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班组长安排信号把钩工检查“四超”装载情况，制定相应的安全措施；当班班组长应严格管理、监督职工的作业行为，发现违反规定作业的人员进行处罚并教育；安检员、机电科管理人员应做好监督管理工作，发现违规行为应立即制止，并作出相应处罚。</w:t>
      </w:r>
    </w:p>
    <w:p w14:paraId="436EB8D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14:paraId="705DFCE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（1）风险描述：闸把未在施闸位置，可能存在运输事故风险。</w:t>
      </w:r>
    </w:p>
    <w:p w14:paraId="1A607F9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管控措施：绞车停止运行后，闸把必须在施闸位置。</w:t>
      </w:r>
    </w:p>
    <w:p w14:paraId="3417456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（2）风险描述：绞车电源开关未停电闭锁，人员误操作或设备误动作可能发生运输事故风险。</w:t>
      </w:r>
    </w:p>
    <w:p w14:paraId="7C0BD17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停机后将绞车电源开关停电闭锁；对绞车司机进行业务技能培训，熟记停送电流程，提高安全意识；班组长负责班组管理和现场管理，发现问题及时整改；机电管理人员、安全检查员负责对停送电流程的检查监督。</w:t>
      </w:r>
    </w:p>
    <w:p w14:paraId="16CAECC0">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14:paraId="2832D3A0">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14:paraId="29B1687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14:paraId="61DA828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2.照明：照明灯明亮、完好。</w:t>
      </w:r>
    </w:p>
    <w:p w14:paraId="1ED8394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3.人员、障碍物：绳道及提升车辆前后无人员站立、行走，无障碍物。</w:t>
      </w:r>
    </w:p>
    <w:p w14:paraId="2152E8F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4.站位：站位正确。</w:t>
      </w:r>
    </w:p>
    <w:p w14:paraId="0EB4228F">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14:paraId="2FD5C25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1.记录、信号、按钮：记录正常，按钮灵敏可靠，信号声光兼备，声音清晰，准确可靠。</w:t>
      </w:r>
    </w:p>
    <w:p w14:paraId="4019CAA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2.固定</w:t>
      </w:r>
      <w:r>
        <w:rPr>
          <w:rFonts w:hint="eastAsia" w:ascii="仿宋" w:hAnsi="仿宋" w:eastAsia="仿宋" w:cs="仿宋"/>
          <w:color w:val="auto"/>
          <w:sz w:val="28"/>
          <w:szCs w:val="28"/>
          <w:lang w:val="en-US" w:eastAsia="zh-CN"/>
        </w:rPr>
        <w:t>回柱绞车</w:t>
      </w:r>
      <w:r>
        <w:rPr>
          <w:rFonts w:hint="eastAsia" w:ascii="仿宋" w:hAnsi="仿宋" w:eastAsia="仿宋" w:cs="仿宋"/>
          <w:color w:val="auto"/>
          <w:sz w:val="28"/>
          <w:szCs w:val="28"/>
        </w:rPr>
        <w:t>固定牢靠。</w:t>
      </w:r>
    </w:p>
    <w:p w14:paraId="72C384D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3.电机:电机固定牢靠，外观清洁。</w:t>
      </w:r>
    </w:p>
    <w:p w14:paraId="03AFD6A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4.制动闸、调速手把:制动闸在施闸位置，调速手把在零位。</w:t>
      </w:r>
    </w:p>
    <w:p w14:paraId="7C490ED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5.钢丝绳：钢丝绳无严重锈蚀，断丝不超限，无严重咬绳、爬绳，滚筒排绳、容绳、余绳符合标准。</w:t>
      </w:r>
    </w:p>
    <w:p w14:paraId="34EC237D">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14:paraId="6F1ACC4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1.信号指令</w:t>
      </w:r>
    </w:p>
    <w:p w14:paraId="7FB8556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严格按信号指令开车，严禁无信号动车；信号不清、有疑问或接到信号因故未能执行时，应联系信号工重发信号。</w:t>
      </w:r>
    </w:p>
    <w:p w14:paraId="6D2A1A6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2.司机位置</w:t>
      </w:r>
    </w:p>
    <w:p w14:paraId="44A9214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必须在护绳板后操作，严禁在绞车侧面或滚筒前面（出绳侧）操作，不得擅自离岗。</w:t>
      </w:r>
    </w:p>
    <w:p w14:paraId="211127E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3.正常提升</w:t>
      </w:r>
    </w:p>
    <w:p w14:paraId="2A3E6E1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严格执行“行车不行人，行人不行车”的规定。</w:t>
      </w:r>
    </w:p>
    <w:p w14:paraId="6FD84C3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下放车辆时严禁留有余绳，上提车辆时严禁过卷或停车不到位。</w:t>
      </w:r>
    </w:p>
    <w:p w14:paraId="0CADB01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绞车运行中双手不得离开闸把，禁止两闸把同时压紧，严禁一手开车，一手处理爬绳。</w:t>
      </w:r>
    </w:p>
    <w:p w14:paraId="3B6F98F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严禁不带电放飞车。</w:t>
      </w:r>
    </w:p>
    <w:p w14:paraId="5E1C5F1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4.正常停车</w:t>
      </w:r>
    </w:p>
    <w:p w14:paraId="4E8C295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听到停车信号后，应闸紧制动闸，松开离合闸，停车停电；如需离开岗位，必须对供电开关停电闭锁。</w:t>
      </w:r>
    </w:p>
    <w:p w14:paraId="335A6FB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5.四超车辆</w:t>
      </w:r>
    </w:p>
    <w:p w14:paraId="3085795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运送“四超”车辆时，应严格按专项措施执行。</w:t>
      </w:r>
    </w:p>
    <w:p w14:paraId="01FDF2A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6.车辆复轨</w:t>
      </w:r>
    </w:p>
    <w:p w14:paraId="52556AB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脱轨时应立即停车，及时汇报现场当班负责人，复轨时应服从指挥，禁止用小绞车硬拉复位。</w:t>
      </w:r>
    </w:p>
    <w:p w14:paraId="5514732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7.异常处置</w:t>
      </w:r>
    </w:p>
    <w:p w14:paraId="77DD49C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运行中发现下列情况是必须立即停车，妥善处理后方可继续运行：</w:t>
      </w:r>
    </w:p>
    <w:p w14:paraId="0EB5C53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rPr>
        <w:t>有异常响声、异味、异状。</w:t>
      </w:r>
    </w:p>
    <w:p w14:paraId="2F04EDC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钢丝绳有异常跳动，负载增大或突然松弛。</w:t>
      </w:r>
    </w:p>
    <w:p w14:paraId="45CDC86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绞车固定出现异常。</w:t>
      </w:r>
    </w:p>
    <w:p w14:paraId="6284907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有严重咬绳、爬绳现象。</w:t>
      </w:r>
    </w:p>
    <w:p w14:paraId="21B6046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电机异常。</w:t>
      </w:r>
    </w:p>
    <w:p w14:paraId="52ADCA3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收到不明信号</w:t>
      </w:r>
      <w:r>
        <w:rPr>
          <w:rFonts w:hint="eastAsia" w:ascii="仿宋" w:hAnsi="仿宋" w:eastAsia="仿宋" w:cs="仿宋"/>
          <w:color w:val="auto"/>
          <w:sz w:val="28"/>
          <w:szCs w:val="28"/>
          <w:lang w:eastAsia="zh-CN"/>
        </w:rPr>
        <w:t>。</w:t>
      </w:r>
    </w:p>
    <w:p w14:paraId="0C785C4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突然断电或有其他险情。</w:t>
      </w:r>
    </w:p>
    <w:p w14:paraId="2260795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（三）操作后确认：</w:t>
      </w:r>
    </w:p>
    <w:p w14:paraId="166A007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1.闸把：制动闸在施闸位置。</w:t>
      </w:r>
    </w:p>
    <w:p w14:paraId="2F4A8EE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2.停电闭锁：绞车开关已停电闭锁。</w:t>
      </w:r>
    </w:p>
    <w:p w14:paraId="3DB924FD">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、事故案例教育</w:t>
      </w:r>
    </w:p>
    <w:p w14:paraId="387FBB2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03DDE8F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2001年10月9日早班7时30分，综采队职工王洪华和孙龙一起下井，到2402面打扫卫生。打扫完卫生后，两人从下顺拉4 车老料至四采轨道上部车场， 然后将一个装有 4 根立柱的车和一个装有零散材料的车放至2402上顺车场。因车场底膨，中部有一定坡度，两人往里推不动。王洪华便往里走到三岔口右侧25KW绞车处开绞车，孙龙在车场连钩，用绞车往里拉。因现场无信号设施，两人便通过摇晃矿灯和喊话联系。车行至鱼尾岔处，因道岔尖轨跟部插锥钻底，尖轨根部与岔盘无连接，前车较轻，顺利通过，后车装有4根大立柱较重（约2.8T），通过尖轨时， 尖轨外挤，导致后车掉道，倒向巷道右帮，车上的大立柱滑向右侧，将跟在车右侧后部随行的孙龙右大腿挤在帮上致伤。</w:t>
      </w:r>
    </w:p>
    <w:p w14:paraId="4787508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1BC2E7C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１</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王洪华在现场无信号设施的情况下，违章操作，无证开绞车，是造成事故的主要原因。</w:t>
      </w:r>
    </w:p>
    <w:p w14:paraId="5FD971F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２</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孙龙在行车前对不合格道岔未采取相应措施，在行车时跟在车的一侧同行，是造成事故的直接原因。</w:t>
      </w:r>
    </w:p>
    <w:p w14:paraId="4C18E6A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３</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综采队安全管理不到位，对道岔维修不及时，是造成事故的一个原因。</w:t>
      </w:r>
    </w:p>
    <w:p w14:paraId="031E583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４</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综采队对职工安全教育不够，职工安全意识淡薄，是造成事故的一个原因。</w:t>
      </w:r>
    </w:p>
    <w:p w14:paraId="660A08C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５</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综采队对上级指示精神、会议内容不贯彻、不落实，存在漏洞和死角，没有传达到每位职工，走形式，走过场，应付凑付，也是造成事故的一个原因。</w:t>
      </w:r>
    </w:p>
    <w:p w14:paraId="5779F28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11F3B64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１</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加强特殊工种管理，严禁无证上岗现象。</w:t>
      </w:r>
    </w:p>
    <w:p w14:paraId="6ACC256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２</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加强小提升运输安全管理，对运输设备和轨道质量要定期检查，及时维修，确保运输安全。</w:t>
      </w:r>
    </w:p>
    <w:p w14:paraId="50B5010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３</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加强职工安全教育，进一步提高职工的安全意识和自主保安能力。</w:t>
      </w:r>
    </w:p>
    <w:p w14:paraId="7DB14E0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４</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认真传达贯彻落实上级一系列会议精神，要传达到每一位职工。</w:t>
      </w:r>
    </w:p>
    <w:p w14:paraId="2262E49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５</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认真吸取事故教训，在全矿开展“反三违”、“反事故”活动，加大对三违人员的处罚力度</w:t>
      </w:r>
      <w:r>
        <w:rPr>
          <w:rFonts w:hint="eastAsia" w:ascii="仿宋" w:hAnsi="仿宋" w:eastAsia="仿宋" w:cs="仿宋"/>
          <w:color w:val="auto"/>
          <w:sz w:val="28"/>
          <w:szCs w:val="28"/>
          <w:highlight w:val="none"/>
          <w:lang w:eastAsia="zh-CN"/>
        </w:rPr>
        <w:t>。</w:t>
      </w:r>
    </w:p>
    <w:p w14:paraId="5EE0EF66">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六</w:t>
      </w:r>
      <w:r>
        <w:rPr>
          <w:rFonts w:hint="eastAsia" w:ascii="仿宋" w:hAnsi="仿宋" w:eastAsia="仿宋" w:cs="仿宋"/>
          <w:b/>
          <w:bCs/>
          <w:color w:val="auto"/>
          <w:sz w:val="28"/>
          <w:szCs w:val="28"/>
        </w:rPr>
        <w:t>、常见三违</w:t>
      </w:r>
    </w:p>
    <w:p w14:paraId="66E6238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14:paraId="533A540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w:t>
      </w:r>
      <w:r>
        <w:rPr>
          <w:rFonts w:hint="eastAsia" w:ascii="仿宋" w:hAnsi="仿宋" w:eastAsia="仿宋" w:cs="仿宋"/>
          <w:color w:val="auto"/>
          <w:sz w:val="28"/>
          <w:szCs w:val="28"/>
        </w:rPr>
        <w:t>无证上岗、证件过期的；</w:t>
      </w:r>
    </w:p>
    <w:p w14:paraId="187949B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w:t>
      </w:r>
      <w:r>
        <w:rPr>
          <w:rFonts w:hint="eastAsia" w:ascii="仿宋" w:hAnsi="仿宋" w:eastAsia="仿宋" w:cs="仿宋"/>
          <w:color w:val="auto"/>
          <w:sz w:val="28"/>
          <w:szCs w:val="28"/>
        </w:rPr>
        <w:t>违反“行车不行人，行人不行车”制度的；</w:t>
      </w:r>
    </w:p>
    <w:p w14:paraId="3B24D86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w:t>
      </w:r>
      <w:r>
        <w:rPr>
          <w:rFonts w:hint="eastAsia" w:ascii="仿宋" w:hAnsi="仿宋" w:eastAsia="仿宋" w:cs="仿宋"/>
          <w:color w:val="auto"/>
          <w:sz w:val="28"/>
          <w:szCs w:val="28"/>
        </w:rPr>
        <w:t>扒车、跳车和坐矿车的；</w:t>
      </w:r>
    </w:p>
    <w:p w14:paraId="6206CBD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w:t>
      </w:r>
      <w:r>
        <w:rPr>
          <w:rFonts w:hint="eastAsia" w:ascii="仿宋" w:hAnsi="仿宋" w:eastAsia="仿宋" w:cs="仿宋"/>
          <w:color w:val="auto"/>
          <w:sz w:val="28"/>
          <w:szCs w:val="28"/>
        </w:rPr>
        <w:t>人力推车放飞车或在坡度大于7‰的巷道内人力推车的；</w:t>
      </w:r>
    </w:p>
    <w:p w14:paraId="629DC2D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（六）</w:t>
      </w:r>
      <w:r>
        <w:rPr>
          <w:rFonts w:hint="eastAsia" w:ascii="仿宋" w:hAnsi="仿宋" w:eastAsia="仿宋" w:cs="仿宋"/>
          <w:color w:val="auto"/>
          <w:sz w:val="28"/>
          <w:szCs w:val="28"/>
        </w:rPr>
        <w:t>岗位工睡岗的；</w:t>
      </w:r>
    </w:p>
    <w:p w14:paraId="16849D5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（七）</w:t>
      </w:r>
      <w:r>
        <w:rPr>
          <w:rFonts w:hint="eastAsia" w:ascii="仿宋" w:hAnsi="仿宋" w:eastAsia="仿宋" w:cs="仿宋"/>
          <w:color w:val="auto"/>
          <w:sz w:val="28"/>
          <w:szCs w:val="28"/>
        </w:rPr>
        <w:t>设备运行时，人员接触设备的机械转动和传动部位或带电体的；</w:t>
      </w:r>
    </w:p>
    <w:p w14:paraId="37FB453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（八）</w:t>
      </w:r>
      <w:r>
        <w:rPr>
          <w:rFonts w:hint="eastAsia" w:ascii="仿宋" w:hAnsi="仿宋" w:eastAsia="仿宋" w:cs="仿宋"/>
          <w:color w:val="auto"/>
          <w:sz w:val="28"/>
          <w:szCs w:val="28"/>
        </w:rPr>
        <w:t>无措施施工或不按措施施工造成严重后果的；</w:t>
      </w:r>
    </w:p>
    <w:p w14:paraId="72628B6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14:paraId="0379E88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井下打架斗殴的；</w:t>
      </w:r>
    </w:p>
    <w:p w14:paraId="3D3053E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对“三违”处罚无理取闹或辱骂安监员、管理人员的；</w:t>
      </w:r>
    </w:p>
    <w:p w14:paraId="5DAC100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带电检修、搬迁电气设备的；</w:t>
      </w:r>
    </w:p>
    <w:p w14:paraId="39B95E5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起吊或拉移重物时，在重物下方或可能倒向的位置工作或逗留的；</w:t>
      </w:r>
    </w:p>
    <w:p w14:paraId="108B4FC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私自打开栅栏、密闭或擅自进入栅栏区、无风区及带有警示标志危险区的；</w:t>
      </w:r>
    </w:p>
    <w:p w14:paraId="6D8B2EE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地面岗位工上班期间抽烟及携带烟草、火机、手机的；</w:t>
      </w:r>
    </w:p>
    <w:p w14:paraId="2E62C8E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人为造成安全隐患的；</w:t>
      </w:r>
    </w:p>
    <w:p w14:paraId="4129077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跨越运行的皮带不走过桥的；</w:t>
      </w:r>
    </w:p>
    <w:p w14:paraId="7F71B26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电气设备出现失爆的；</w:t>
      </w:r>
    </w:p>
    <w:p w14:paraId="75E2CB6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擅自进入限员管理区域导致人员超规定的；</w:t>
      </w:r>
    </w:p>
    <w:p w14:paraId="68C3DD7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串岗、脱岗、空岗的；</w:t>
      </w:r>
    </w:p>
    <w:p w14:paraId="71907AD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违章指挥的；</w:t>
      </w:r>
    </w:p>
    <w:p w14:paraId="036AD66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用水冲洗电气、通讯设备的；</w:t>
      </w:r>
    </w:p>
    <w:p w14:paraId="5DCCA90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带压拆卸风水管路的；</w:t>
      </w:r>
    </w:p>
    <w:p w14:paraId="29F4797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不随身携带、不按规定使用矿灯、安全帽、自救器的；</w:t>
      </w:r>
    </w:p>
    <w:p w14:paraId="61E2774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乘罐或行走期间起哄，人为造成人员拥挤的；</w:t>
      </w:r>
    </w:p>
    <w:p w14:paraId="6BA60C2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不按规定路线行走的；</w:t>
      </w:r>
    </w:p>
    <w:p w14:paraId="6C6D658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斜巷运输巷道片盘口、上、下车场蹲坐、逗留的；</w:t>
      </w:r>
    </w:p>
    <w:p w14:paraId="1845070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不按规定乘坐架空乘人装置的；</w:t>
      </w:r>
    </w:p>
    <w:p w14:paraId="557D20A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（二十九）</w:t>
      </w:r>
      <w:r>
        <w:rPr>
          <w:rFonts w:hint="eastAsia" w:ascii="仿宋" w:hAnsi="仿宋" w:eastAsia="仿宋" w:cs="仿宋"/>
          <w:color w:val="auto"/>
          <w:sz w:val="28"/>
          <w:szCs w:val="28"/>
        </w:rPr>
        <w:t>跨越皮带不走人行过桥的；</w:t>
      </w:r>
    </w:p>
    <w:p w14:paraId="0A0EC51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w:t>
      </w:r>
      <w:r>
        <w:rPr>
          <w:rFonts w:hint="eastAsia" w:ascii="仿宋" w:hAnsi="仿宋" w:eastAsia="仿宋" w:cs="仿宋"/>
          <w:color w:val="auto"/>
          <w:sz w:val="28"/>
          <w:szCs w:val="28"/>
        </w:rPr>
        <w:t>过风门未及时关闭的；</w:t>
      </w:r>
    </w:p>
    <w:p w14:paraId="77732B3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w:t>
      </w:r>
      <w:r>
        <w:rPr>
          <w:rFonts w:hint="eastAsia" w:ascii="仿宋" w:hAnsi="仿宋" w:eastAsia="仿宋" w:cs="仿宋"/>
          <w:color w:val="auto"/>
          <w:sz w:val="28"/>
          <w:szCs w:val="28"/>
        </w:rPr>
        <w:t>各种保护、安全设施不按规定装设、使用、检查、检修、检测、试验或不灵敏可靠；</w:t>
      </w:r>
    </w:p>
    <w:p w14:paraId="056A865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（三十二）</w:t>
      </w:r>
      <w:r>
        <w:rPr>
          <w:rFonts w:hint="eastAsia" w:ascii="仿宋" w:hAnsi="仿宋" w:eastAsia="仿宋" w:cs="仿宋"/>
          <w:color w:val="auto"/>
          <w:sz w:val="28"/>
          <w:szCs w:val="28"/>
        </w:rPr>
        <w:t>操作按钮失灵继续使用或未按规定使用的；</w:t>
      </w:r>
    </w:p>
    <w:p w14:paraId="5DECFE2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（三十三）</w:t>
      </w:r>
      <w:r>
        <w:rPr>
          <w:rFonts w:hint="eastAsia" w:ascii="仿宋" w:hAnsi="仿宋" w:eastAsia="仿宋" w:cs="仿宋"/>
          <w:color w:val="auto"/>
          <w:sz w:val="28"/>
          <w:szCs w:val="28"/>
        </w:rPr>
        <w:t>风水管不正常使用U型卡的；</w:t>
      </w:r>
    </w:p>
    <w:p w14:paraId="753AFF9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（三十四）</w:t>
      </w:r>
      <w:r>
        <w:rPr>
          <w:rFonts w:hint="eastAsia" w:ascii="仿宋" w:hAnsi="仿宋" w:eastAsia="仿宋" w:cs="仿宋"/>
          <w:color w:val="auto"/>
          <w:sz w:val="28"/>
          <w:szCs w:val="28"/>
        </w:rPr>
        <w:t>登高作业不按规定佩戴保险带、保险绳等的；</w:t>
      </w:r>
    </w:p>
    <w:p w14:paraId="26BE39D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（三十五）</w:t>
      </w:r>
      <w:r>
        <w:rPr>
          <w:rFonts w:hint="eastAsia" w:ascii="仿宋" w:hAnsi="仿宋" w:eastAsia="仿宋" w:cs="仿宋"/>
          <w:color w:val="auto"/>
          <w:sz w:val="28"/>
          <w:szCs w:val="28"/>
        </w:rPr>
        <w:t>让（替）他人捎带人员定位卡下井的；</w:t>
      </w:r>
    </w:p>
    <w:p w14:paraId="48438E1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（三十六）</w:t>
      </w:r>
      <w:r>
        <w:rPr>
          <w:rFonts w:hint="eastAsia" w:ascii="仿宋" w:hAnsi="仿宋" w:eastAsia="仿宋" w:cs="仿宋"/>
          <w:color w:val="auto"/>
          <w:sz w:val="28"/>
          <w:szCs w:val="28"/>
        </w:rPr>
        <w:t>未按规定携带</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便携仪的；</w:t>
      </w:r>
    </w:p>
    <w:p w14:paraId="654E7D5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（三十七）</w:t>
      </w:r>
      <w:r>
        <w:rPr>
          <w:rFonts w:hint="eastAsia" w:ascii="仿宋" w:hAnsi="仿宋" w:eastAsia="仿宋" w:cs="仿宋"/>
          <w:color w:val="auto"/>
          <w:sz w:val="28"/>
          <w:szCs w:val="28"/>
        </w:rPr>
        <w:t>各类回头轮、起吊钩头无防脱闭锁或闭锁失效、不完好的；</w:t>
      </w:r>
    </w:p>
    <w:p w14:paraId="0E60061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（三十八）</w:t>
      </w:r>
      <w:r>
        <w:rPr>
          <w:rFonts w:hint="eastAsia" w:ascii="仿宋" w:hAnsi="仿宋" w:eastAsia="仿宋" w:cs="仿宋"/>
          <w:color w:val="auto"/>
          <w:sz w:val="28"/>
          <w:szCs w:val="28"/>
        </w:rPr>
        <w:t>开关未及时停电、闭锁的；</w:t>
      </w:r>
    </w:p>
    <w:p w14:paraId="4261155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（三十九）</w:t>
      </w:r>
      <w:r>
        <w:rPr>
          <w:rFonts w:hint="eastAsia" w:ascii="仿宋" w:hAnsi="仿宋" w:eastAsia="仿宋" w:cs="仿宋"/>
          <w:color w:val="auto"/>
          <w:sz w:val="28"/>
          <w:szCs w:val="28"/>
        </w:rPr>
        <w:t>容易碰到的和裸露的带电体及机械外露的转动和传动部位未加装护罩或遮拦等防护设施的；</w:t>
      </w:r>
    </w:p>
    <w:p w14:paraId="5E8A45A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w:t>
      </w:r>
      <w:r>
        <w:rPr>
          <w:rFonts w:hint="eastAsia" w:ascii="仿宋" w:hAnsi="仿宋" w:eastAsia="仿宋" w:cs="仿宋"/>
          <w:color w:val="auto"/>
          <w:sz w:val="28"/>
          <w:szCs w:val="28"/>
        </w:rPr>
        <w:t>自救器损坏或过期未及时更换的；</w:t>
      </w:r>
    </w:p>
    <w:p w14:paraId="431A8F8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（四十一）</w:t>
      </w:r>
      <w:r>
        <w:rPr>
          <w:rFonts w:hint="eastAsia" w:ascii="仿宋" w:hAnsi="仿宋" w:eastAsia="仿宋" w:cs="仿宋"/>
          <w:color w:val="auto"/>
          <w:sz w:val="28"/>
          <w:szCs w:val="28"/>
        </w:rPr>
        <w:t>携带非防爆电子产品入井的；</w:t>
      </w:r>
    </w:p>
    <w:p w14:paraId="53D466B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（四十二）</w:t>
      </w:r>
      <w:r>
        <w:rPr>
          <w:rFonts w:hint="eastAsia" w:ascii="仿宋" w:hAnsi="仿宋" w:eastAsia="仿宋" w:cs="仿宋"/>
          <w:color w:val="auto"/>
          <w:sz w:val="28"/>
          <w:szCs w:val="28"/>
        </w:rPr>
        <w:t>其他违反《煤矿安全规程》、《操作规程》及《作业规程》等有关规定的。</w:t>
      </w:r>
    </w:p>
    <w:p w14:paraId="14DE3BA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（四十三）</w:t>
      </w:r>
      <w:r>
        <w:rPr>
          <w:rFonts w:hint="eastAsia" w:ascii="仿宋" w:hAnsi="仿宋" w:eastAsia="仿宋" w:cs="仿宋"/>
          <w:color w:val="auto"/>
          <w:sz w:val="28"/>
          <w:szCs w:val="28"/>
        </w:rPr>
        <w:t>绞车不带电放车的；</w:t>
      </w:r>
    </w:p>
    <w:p w14:paraId="7BDE2E8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（四十四）</w:t>
      </w:r>
      <w:r>
        <w:rPr>
          <w:rFonts w:hint="eastAsia" w:ascii="仿宋" w:hAnsi="仿宋" w:eastAsia="仿宋" w:cs="仿宋"/>
          <w:color w:val="auto"/>
          <w:sz w:val="28"/>
          <w:szCs w:val="28"/>
        </w:rPr>
        <w:t>绞车运行时，司机离开操作台的；</w:t>
      </w:r>
    </w:p>
    <w:p w14:paraId="214A13C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（四十五）</w:t>
      </w:r>
      <w:r>
        <w:rPr>
          <w:rFonts w:hint="eastAsia" w:ascii="仿宋" w:hAnsi="仿宋" w:eastAsia="仿宋" w:cs="仿宋"/>
          <w:color w:val="auto"/>
          <w:sz w:val="28"/>
          <w:szCs w:val="28"/>
        </w:rPr>
        <w:t>司机不按信号或信号不清开机的；</w:t>
      </w:r>
    </w:p>
    <w:p w14:paraId="06BF8D5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（四十六）</w:t>
      </w:r>
      <w:r>
        <w:rPr>
          <w:rFonts w:hint="eastAsia" w:ascii="仿宋" w:hAnsi="仿宋" w:eastAsia="仿宋" w:cs="仿宋"/>
          <w:color w:val="auto"/>
          <w:sz w:val="28"/>
          <w:szCs w:val="28"/>
        </w:rPr>
        <w:t>绞车启动困难未查明原因强行启动开机的；</w:t>
      </w:r>
    </w:p>
    <w:p w14:paraId="19DFDBB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（四十七）</w:t>
      </w:r>
      <w:r>
        <w:rPr>
          <w:rFonts w:hint="eastAsia" w:ascii="仿宋" w:hAnsi="仿宋" w:eastAsia="仿宋" w:cs="仿宋"/>
          <w:color w:val="auto"/>
          <w:sz w:val="28"/>
          <w:szCs w:val="28"/>
        </w:rPr>
        <w:t>斜巷提升变坡点以上留有余绳放车的；</w:t>
      </w:r>
    </w:p>
    <w:p w14:paraId="6BBD21F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（四十八）</w:t>
      </w:r>
      <w:r>
        <w:rPr>
          <w:rFonts w:hint="eastAsia" w:ascii="仿宋" w:hAnsi="仿宋" w:eastAsia="仿宋" w:cs="仿宋"/>
          <w:color w:val="auto"/>
          <w:sz w:val="28"/>
          <w:szCs w:val="28"/>
        </w:rPr>
        <w:t>提升斜巷中途停车后，绞车司机双手离开闸把的；</w:t>
      </w:r>
    </w:p>
    <w:p w14:paraId="03B300F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（四十九）</w:t>
      </w:r>
      <w:r>
        <w:rPr>
          <w:rFonts w:hint="eastAsia" w:ascii="仿宋" w:hAnsi="仿宋" w:eastAsia="仿宋" w:cs="仿宋"/>
          <w:color w:val="auto"/>
          <w:sz w:val="28"/>
          <w:szCs w:val="28"/>
        </w:rPr>
        <w:t>操作不当造成绞车钢丝绳挤绳、咬绳影响排绳的；</w:t>
      </w:r>
    </w:p>
    <w:p w14:paraId="50772E2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（五十）小绞车未经验收或固定安装不合格、闸把不合格而使用的；</w:t>
      </w:r>
    </w:p>
    <w:p w14:paraId="235780A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（五十一）提升装置存在隐患，继续走钩的。</w:t>
      </w:r>
    </w:p>
    <w:p w14:paraId="6E375913">
      <w:pPr>
        <w:rPr>
          <w:rFonts w:hint="eastAsia" w:ascii="仿宋" w:hAnsi="仿宋" w:eastAsia="仿宋" w:cs="仿宋"/>
          <w:b/>
          <w:color w:val="auto"/>
          <w:sz w:val="36"/>
          <w:szCs w:val="36"/>
          <w:highlight w:val="none"/>
          <w:lang w:val="en-US" w:eastAsia="zh-CN"/>
        </w:rPr>
      </w:pPr>
      <w:r>
        <w:rPr>
          <w:rFonts w:hint="eastAsia" w:ascii="仿宋" w:hAnsi="仿宋" w:eastAsia="仿宋" w:cs="仿宋"/>
          <w:b/>
          <w:color w:val="auto"/>
          <w:sz w:val="36"/>
          <w:szCs w:val="36"/>
          <w:highlight w:val="none"/>
          <w:lang w:val="en-US" w:eastAsia="zh-CN"/>
        </w:rPr>
        <w:br w:type="page"/>
      </w:r>
    </w:p>
    <w:p w14:paraId="66FADB57">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rPr>
      </w:pPr>
      <w:bookmarkStart w:id="115" w:name="_Toc17095"/>
      <w:r>
        <w:rPr>
          <w:rFonts w:hint="eastAsia" w:ascii="仿宋" w:hAnsi="仿宋" w:eastAsia="仿宋" w:cs="仿宋"/>
          <w:b/>
          <w:color w:val="auto"/>
          <w:sz w:val="36"/>
          <w:szCs w:val="36"/>
          <w:highlight w:val="none"/>
          <w:lang w:val="en-US" w:eastAsia="zh-CN"/>
        </w:rPr>
        <w:t>液压</w:t>
      </w:r>
      <w:r>
        <w:rPr>
          <w:rFonts w:hint="eastAsia" w:ascii="仿宋" w:hAnsi="仿宋" w:eastAsia="仿宋" w:cs="仿宋"/>
          <w:b/>
          <w:color w:val="auto"/>
          <w:sz w:val="36"/>
          <w:szCs w:val="36"/>
          <w:highlight w:val="none"/>
        </w:rPr>
        <w:t>支架工</w:t>
      </w:r>
      <w:bookmarkEnd w:id="113"/>
      <w:bookmarkEnd w:id="114"/>
      <w:bookmarkEnd w:id="115"/>
    </w:p>
    <w:tbl>
      <w:tblPr>
        <w:tblStyle w:val="12"/>
        <w:tblW w:w="8680" w:type="dxa"/>
        <w:jc w:val="center"/>
        <w:tblLayout w:type="fixed"/>
        <w:tblCellMar>
          <w:top w:w="0" w:type="dxa"/>
          <w:left w:w="108" w:type="dxa"/>
          <w:bottom w:w="0" w:type="dxa"/>
          <w:right w:w="108" w:type="dxa"/>
        </w:tblCellMar>
      </w:tblPr>
      <w:tblGrid>
        <w:gridCol w:w="1109"/>
        <w:gridCol w:w="2556"/>
        <w:gridCol w:w="1144"/>
        <w:gridCol w:w="3871"/>
      </w:tblGrid>
      <w:tr w14:paraId="5398D4CE">
        <w:tblPrEx>
          <w:tblCellMar>
            <w:top w:w="0" w:type="dxa"/>
            <w:left w:w="108" w:type="dxa"/>
            <w:bottom w:w="0" w:type="dxa"/>
            <w:right w:w="108" w:type="dxa"/>
          </w:tblCellMar>
        </w:tblPrEx>
        <w:trPr>
          <w:trHeight w:val="90" w:hRule="atLeast"/>
          <w:jc w:val="center"/>
        </w:trPr>
        <w:tc>
          <w:tcPr>
            <w:tcW w:w="8680" w:type="dxa"/>
            <w:gridSpan w:val="4"/>
            <w:tcBorders>
              <w:top w:val="single" w:color="auto" w:sz="4" w:space="0"/>
              <w:left w:val="single" w:color="auto" w:sz="4" w:space="0"/>
              <w:bottom w:val="single" w:color="auto" w:sz="4" w:space="0"/>
              <w:right w:val="single" w:color="auto" w:sz="4" w:space="0"/>
            </w:tcBorders>
            <w:vAlign w:val="center"/>
          </w:tcPr>
          <w:p w14:paraId="62DCBD7F">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32"/>
                <w:szCs w:val="32"/>
                <w:highlight w:val="none"/>
              </w:rPr>
            </w:pPr>
            <w:r>
              <w:rPr>
                <w:rFonts w:hint="eastAsia" w:ascii="仿宋" w:hAnsi="仿宋" w:eastAsia="仿宋" w:cs="仿宋"/>
                <w:color w:val="auto"/>
                <w:kern w:val="0"/>
                <w:sz w:val="21"/>
                <w:szCs w:val="21"/>
                <w:highlight w:val="none"/>
                <w:lang w:val="en-US" w:eastAsia="zh-CN"/>
              </w:rPr>
              <w:t>液压</w:t>
            </w:r>
            <w:r>
              <w:rPr>
                <w:rFonts w:hint="eastAsia" w:ascii="仿宋" w:hAnsi="仿宋" w:eastAsia="仿宋" w:cs="仿宋"/>
                <w:color w:val="auto"/>
                <w:kern w:val="0"/>
                <w:sz w:val="21"/>
                <w:szCs w:val="21"/>
                <w:highlight w:val="none"/>
              </w:rPr>
              <w:t>支架工岗位风险告知卡</w:t>
            </w:r>
          </w:p>
        </w:tc>
      </w:tr>
      <w:tr w14:paraId="55098FDE">
        <w:tblPrEx>
          <w:tblCellMar>
            <w:top w:w="0" w:type="dxa"/>
            <w:left w:w="108" w:type="dxa"/>
            <w:bottom w:w="0" w:type="dxa"/>
            <w:right w:w="108" w:type="dxa"/>
          </w:tblCellMar>
        </w:tblPrEx>
        <w:trPr>
          <w:trHeight w:val="90" w:hRule="atLeast"/>
          <w:jc w:val="center"/>
        </w:trPr>
        <w:tc>
          <w:tcPr>
            <w:tcW w:w="1109" w:type="dxa"/>
            <w:tcBorders>
              <w:top w:val="nil"/>
              <w:left w:val="single" w:color="auto" w:sz="4" w:space="0"/>
              <w:bottom w:val="single" w:color="auto" w:sz="4" w:space="0"/>
              <w:right w:val="single" w:color="auto" w:sz="4" w:space="0"/>
            </w:tcBorders>
            <w:vAlign w:val="center"/>
          </w:tcPr>
          <w:p w14:paraId="0D260004">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风险</w:t>
            </w:r>
          </w:p>
          <w:p w14:paraId="43928590">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类型</w:t>
            </w:r>
          </w:p>
        </w:tc>
        <w:tc>
          <w:tcPr>
            <w:tcW w:w="2556" w:type="dxa"/>
            <w:tcBorders>
              <w:top w:val="nil"/>
              <w:left w:val="nil"/>
              <w:bottom w:val="single" w:color="auto" w:sz="4" w:space="0"/>
              <w:right w:val="single" w:color="auto" w:sz="4" w:space="0"/>
            </w:tcBorders>
            <w:vAlign w:val="center"/>
          </w:tcPr>
          <w:p w14:paraId="311BAD63">
            <w:pPr>
              <w:keepNext w:val="0"/>
              <w:keepLines w:val="0"/>
              <w:pageBreakBefore w:val="0"/>
              <w:widowControl/>
              <w:kinsoku/>
              <w:wordWrap/>
              <w:overflowPunct/>
              <w:topLinePunct w:val="0"/>
              <w:autoSpaceDE/>
              <w:autoSpaceDN/>
              <w:bidi w:val="0"/>
              <w:adjustRightInd/>
              <w:snapToGrid/>
              <w:jc w:val="both"/>
              <w:textAlignment w:val="auto"/>
              <w:outlineLvl w:val="9"/>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2"/>
                <w:szCs w:val="22"/>
                <w:highlight w:val="none"/>
              </w:rPr>
              <w:t>冒顶（片帮）、职业病危害</w:t>
            </w:r>
          </w:p>
        </w:tc>
        <w:tc>
          <w:tcPr>
            <w:tcW w:w="1144" w:type="dxa"/>
            <w:tcBorders>
              <w:top w:val="nil"/>
              <w:left w:val="nil"/>
              <w:bottom w:val="single" w:color="auto" w:sz="4" w:space="0"/>
              <w:right w:val="single" w:color="auto" w:sz="4" w:space="0"/>
            </w:tcBorders>
            <w:vAlign w:val="center"/>
          </w:tcPr>
          <w:p w14:paraId="5C992C2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事故</w:t>
            </w:r>
          </w:p>
          <w:p w14:paraId="603C35ED">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报告</w:t>
            </w:r>
          </w:p>
        </w:tc>
        <w:tc>
          <w:tcPr>
            <w:tcW w:w="3871" w:type="dxa"/>
            <w:tcBorders>
              <w:top w:val="nil"/>
              <w:left w:val="nil"/>
              <w:bottom w:val="single" w:color="auto" w:sz="4" w:space="0"/>
              <w:right w:val="single" w:color="auto" w:sz="4" w:space="0"/>
            </w:tcBorders>
            <w:vAlign w:val="center"/>
          </w:tcPr>
          <w:p w14:paraId="45F981A5">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2"/>
                <w:szCs w:val="22"/>
                <w:highlight w:val="none"/>
                <w:lang w:eastAsia="zh-CN"/>
              </w:rPr>
            </w:pPr>
            <w:r>
              <w:rPr>
                <w:rFonts w:hint="eastAsia" w:ascii="仿宋" w:hAnsi="仿宋" w:eastAsia="仿宋" w:cs="仿宋"/>
                <w:color w:val="auto"/>
                <w:kern w:val="0"/>
                <w:sz w:val="22"/>
                <w:szCs w:val="22"/>
                <w:highlight w:val="none"/>
                <w:lang w:eastAsia="zh-CN"/>
              </w:rPr>
              <w:t>调度室：8650200、8650202、“#”</w:t>
            </w:r>
            <w:r>
              <w:rPr>
                <w:rFonts w:hint="eastAsia" w:ascii="仿宋" w:hAnsi="仿宋" w:eastAsia="仿宋" w:cs="仿宋"/>
                <w:color w:val="auto"/>
                <w:kern w:val="0"/>
                <w:sz w:val="22"/>
                <w:szCs w:val="22"/>
                <w:highlight w:val="none"/>
              </w:rPr>
              <w:br w:type="textWrapping"/>
            </w:r>
            <w:r>
              <w:rPr>
                <w:rFonts w:hint="eastAsia" w:ascii="仿宋" w:hAnsi="仿宋" w:eastAsia="仿宋" w:cs="仿宋"/>
                <w:color w:val="auto"/>
                <w:kern w:val="0"/>
                <w:sz w:val="22"/>
                <w:szCs w:val="22"/>
                <w:highlight w:val="none"/>
              </w:rPr>
              <w:t>工区值班：</w:t>
            </w:r>
            <w:r>
              <w:rPr>
                <w:rFonts w:hint="eastAsia" w:ascii="仿宋" w:hAnsi="仿宋" w:eastAsia="仿宋" w:cs="仿宋"/>
                <w:color w:val="auto"/>
                <w:kern w:val="0"/>
                <w:sz w:val="22"/>
                <w:szCs w:val="22"/>
                <w:highlight w:val="none"/>
                <w:lang w:val="en-US" w:eastAsia="zh-CN"/>
              </w:rPr>
              <w:t>8650385</w:t>
            </w:r>
            <w:r>
              <w:rPr>
                <w:rFonts w:hint="eastAsia" w:ascii="仿宋" w:hAnsi="仿宋" w:eastAsia="仿宋" w:cs="仿宋"/>
                <w:color w:val="auto"/>
                <w:kern w:val="0"/>
                <w:sz w:val="22"/>
                <w:szCs w:val="22"/>
                <w:highlight w:val="none"/>
              </w:rPr>
              <w:t xml:space="preserve"> </w:t>
            </w:r>
            <w:r>
              <w:rPr>
                <w:rFonts w:hint="eastAsia" w:ascii="仿宋" w:hAnsi="仿宋" w:eastAsia="仿宋" w:cs="仿宋"/>
                <w:color w:val="auto"/>
                <w:kern w:val="0"/>
                <w:sz w:val="22"/>
                <w:szCs w:val="22"/>
                <w:highlight w:val="none"/>
              </w:rPr>
              <w:br w:type="textWrapping"/>
            </w:r>
            <w:r>
              <w:rPr>
                <w:rFonts w:hint="eastAsia" w:ascii="仿宋" w:hAnsi="仿宋" w:eastAsia="仿宋" w:cs="仿宋"/>
                <w:color w:val="auto"/>
                <w:kern w:val="0"/>
                <w:sz w:val="22"/>
                <w:szCs w:val="22"/>
                <w:highlight w:val="none"/>
                <w:lang w:eastAsia="zh-CN"/>
              </w:rPr>
              <w:t>安监科值班：8650512</w:t>
            </w:r>
          </w:p>
        </w:tc>
      </w:tr>
      <w:tr w14:paraId="0A119447">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14:paraId="044F4068">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主要危害因素</w:t>
            </w:r>
          </w:p>
        </w:tc>
        <w:tc>
          <w:tcPr>
            <w:tcW w:w="5015" w:type="dxa"/>
            <w:gridSpan w:val="2"/>
            <w:tcBorders>
              <w:top w:val="single" w:color="auto" w:sz="4" w:space="0"/>
              <w:left w:val="nil"/>
              <w:bottom w:val="single" w:color="auto" w:sz="4" w:space="0"/>
              <w:right w:val="single" w:color="auto" w:sz="4" w:space="0"/>
            </w:tcBorders>
            <w:vAlign w:val="center"/>
          </w:tcPr>
          <w:p w14:paraId="5CCAB536">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管控措施</w:t>
            </w:r>
          </w:p>
        </w:tc>
      </w:tr>
      <w:tr w14:paraId="6FB80762">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14:paraId="452B2496">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1.顶帮掉落，砸伤人员</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14:paraId="19A4AB0B">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1.严格执行敲帮问顶制度，加强支护并保证支护质量</w:t>
            </w:r>
            <w:r>
              <w:rPr>
                <w:rFonts w:hint="eastAsia" w:ascii="仿宋" w:hAnsi="仿宋" w:eastAsia="仿宋" w:cs="仿宋"/>
                <w:color w:val="auto"/>
                <w:kern w:val="0"/>
                <w:sz w:val="21"/>
                <w:szCs w:val="21"/>
                <w:highlight w:val="none"/>
                <w:lang w:eastAsia="zh-CN"/>
              </w:rPr>
              <w:t>。</w:t>
            </w:r>
          </w:p>
        </w:tc>
      </w:tr>
      <w:tr w14:paraId="5B9B8234">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14:paraId="3DF102A8">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2.通风不良，造成瓦斯积聚；喷雾效果不良，粉尘积聚；照明不完好，易造成误操作</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14:paraId="68BB26F2">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2.保持采煤工作面正常通风，监控系统正常运行；开机前检查喷雾完好情况；保证照明完好</w:t>
            </w:r>
            <w:r>
              <w:rPr>
                <w:rFonts w:hint="eastAsia" w:ascii="仿宋" w:hAnsi="仿宋" w:eastAsia="仿宋" w:cs="仿宋"/>
                <w:color w:val="auto"/>
                <w:kern w:val="0"/>
                <w:sz w:val="21"/>
                <w:szCs w:val="21"/>
                <w:highlight w:val="none"/>
                <w:lang w:eastAsia="zh-CN"/>
              </w:rPr>
              <w:t>。</w:t>
            </w:r>
          </w:p>
        </w:tc>
      </w:tr>
      <w:tr w14:paraId="3BA68BBB">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14:paraId="76DF0308">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3.采煤机割煤时，未及时收回护帮板；采煤机割煤后，未及时打出伸缩梁和护帮板；操作支架前，未检查周围是否有无其他人员；移架后，未检查支架初撑力以及接顶情况</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14:paraId="5CD9F648">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3.采煤机割煤前，提前收回护帮板；采煤机割煤后，及时打开伸缩梁和护帮板；操作支架前，提前检查周围是否有人；及时</w:t>
            </w:r>
            <w:r>
              <w:rPr>
                <w:rFonts w:hint="eastAsia" w:ascii="仿宋" w:hAnsi="仿宋" w:eastAsia="仿宋" w:cs="仿宋"/>
                <w:color w:val="auto"/>
                <w:kern w:val="0"/>
                <w:sz w:val="21"/>
                <w:szCs w:val="21"/>
                <w:highlight w:val="none"/>
                <w:lang w:eastAsia="zh-CN"/>
              </w:rPr>
              <w:t>升紧支架</w:t>
            </w:r>
            <w:r>
              <w:rPr>
                <w:rFonts w:hint="eastAsia" w:ascii="仿宋" w:hAnsi="仿宋" w:eastAsia="仿宋" w:cs="仿宋"/>
                <w:color w:val="auto"/>
                <w:kern w:val="0"/>
                <w:sz w:val="21"/>
                <w:szCs w:val="21"/>
                <w:highlight w:val="none"/>
              </w:rPr>
              <w:t>，检查接顶情况</w:t>
            </w:r>
            <w:r>
              <w:rPr>
                <w:rFonts w:hint="eastAsia" w:ascii="仿宋" w:hAnsi="仿宋" w:eastAsia="仿宋" w:cs="仿宋"/>
                <w:color w:val="auto"/>
                <w:kern w:val="0"/>
                <w:sz w:val="21"/>
                <w:szCs w:val="21"/>
                <w:highlight w:val="none"/>
                <w:lang w:eastAsia="zh-CN"/>
              </w:rPr>
              <w:t>。</w:t>
            </w:r>
          </w:p>
        </w:tc>
      </w:tr>
      <w:tr w14:paraId="25CC542D">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14:paraId="4B4AC027">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4.移架后，未检查支架初撑力以及接顶情况，造成顶板事故</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14:paraId="173D970E">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4.及时</w:t>
            </w:r>
            <w:r>
              <w:rPr>
                <w:rFonts w:hint="eastAsia" w:ascii="仿宋" w:hAnsi="仿宋" w:eastAsia="仿宋" w:cs="仿宋"/>
                <w:color w:val="auto"/>
                <w:kern w:val="0"/>
                <w:sz w:val="21"/>
                <w:szCs w:val="21"/>
                <w:highlight w:val="none"/>
                <w:lang w:eastAsia="zh-CN"/>
              </w:rPr>
              <w:t>升紧支架</w:t>
            </w:r>
            <w:r>
              <w:rPr>
                <w:rFonts w:hint="eastAsia" w:ascii="仿宋" w:hAnsi="仿宋" w:eastAsia="仿宋" w:cs="仿宋"/>
                <w:color w:val="auto"/>
                <w:kern w:val="0"/>
                <w:sz w:val="21"/>
                <w:szCs w:val="21"/>
                <w:highlight w:val="none"/>
              </w:rPr>
              <w:t>，检查接顶情况；操作完成后，</w:t>
            </w:r>
            <w:r>
              <w:rPr>
                <w:rFonts w:hint="eastAsia" w:ascii="仿宋" w:hAnsi="仿宋" w:eastAsia="仿宋" w:cs="仿宋"/>
                <w:color w:val="auto"/>
                <w:kern w:val="0"/>
                <w:sz w:val="21"/>
                <w:szCs w:val="21"/>
                <w:highlight w:val="none"/>
                <w:lang w:val="en-US" w:eastAsia="zh-CN"/>
              </w:rPr>
              <w:t>手把</w:t>
            </w:r>
            <w:r>
              <w:rPr>
                <w:rFonts w:hint="eastAsia" w:ascii="仿宋" w:hAnsi="仿宋" w:eastAsia="仿宋" w:cs="仿宋"/>
                <w:color w:val="auto"/>
                <w:kern w:val="0"/>
                <w:sz w:val="21"/>
                <w:szCs w:val="21"/>
                <w:highlight w:val="none"/>
              </w:rPr>
              <w:t>及时</w:t>
            </w:r>
            <w:r>
              <w:rPr>
                <w:rFonts w:hint="eastAsia" w:ascii="仿宋" w:hAnsi="仿宋" w:eastAsia="仿宋" w:cs="仿宋"/>
                <w:color w:val="auto"/>
                <w:kern w:val="0"/>
                <w:sz w:val="21"/>
                <w:szCs w:val="21"/>
                <w:highlight w:val="none"/>
                <w:lang w:val="en-US" w:eastAsia="zh-CN"/>
              </w:rPr>
              <w:t>归位</w:t>
            </w:r>
            <w:r>
              <w:rPr>
                <w:rFonts w:hint="eastAsia" w:ascii="仿宋" w:hAnsi="仿宋" w:eastAsia="仿宋" w:cs="仿宋"/>
                <w:color w:val="auto"/>
                <w:kern w:val="0"/>
                <w:sz w:val="21"/>
                <w:szCs w:val="21"/>
                <w:highlight w:val="none"/>
                <w:lang w:eastAsia="zh-CN"/>
              </w:rPr>
              <w:t>。</w:t>
            </w:r>
          </w:p>
        </w:tc>
      </w:tr>
      <w:tr w14:paraId="4983F339">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14:paraId="530ED184">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5.未佩戴防尘口罩等劳保用品</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14:paraId="798B9F3A">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5.佩戴防尘口罩等劳保用品</w:t>
            </w:r>
            <w:r>
              <w:rPr>
                <w:rFonts w:hint="eastAsia" w:ascii="仿宋" w:hAnsi="仿宋" w:eastAsia="仿宋" w:cs="仿宋"/>
                <w:color w:val="auto"/>
                <w:kern w:val="0"/>
                <w:sz w:val="21"/>
                <w:szCs w:val="21"/>
                <w:highlight w:val="none"/>
                <w:lang w:eastAsia="zh-CN"/>
              </w:rPr>
              <w:t>。</w:t>
            </w:r>
          </w:p>
        </w:tc>
      </w:tr>
      <w:tr w14:paraId="70ACF230">
        <w:tblPrEx>
          <w:tblCellMar>
            <w:top w:w="0" w:type="dxa"/>
            <w:left w:w="108" w:type="dxa"/>
            <w:bottom w:w="0" w:type="dxa"/>
            <w:right w:w="108" w:type="dxa"/>
          </w:tblCellMar>
        </w:tblPrEx>
        <w:trPr>
          <w:trHeight w:val="90" w:hRule="atLeast"/>
          <w:jc w:val="center"/>
        </w:trPr>
        <w:tc>
          <w:tcPr>
            <w:tcW w:w="1109" w:type="dxa"/>
            <w:tcBorders>
              <w:top w:val="single" w:color="auto" w:sz="4" w:space="0"/>
              <w:left w:val="single" w:color="auto" w:sz="4" w:space="0"/>
              <w:bottom w:val="single" w:color="auto" w:sz="4" w:space="0"/>
              <w:right w:val="single" w:color="auto" w:sz="4" w:space="0"/>
            </w:tcBorders>
            <w:vAlign w:val="center"/>
          </w:tcPr>
          <w:p w14:paraId="41DC3AEF">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06A0B03D">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571" w:type="dxa"/>
            <w:gridSpan w:val="3"/>
            <w:tcBorders>
              <w:top w:val="single" w:color="auto" w:sz="4" w:space="0"/>
              <w:left w:val="nil"/>
              <w:bottom w:val="single" w:color="auto" w:sz="4" w:space="0"/>
              <w:right w:val="single" w:color="auto" w:sz="4" w:space="0"/>
            </w:tcBorders>
            <w:vAlign w:val="center"/>
          </w:tcPr>
          <w:p w14:paraId="18B0609E">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2F397B1D">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5C6AF968">
        <w:tblPrEx>
          <w:tblCellMar>
            <w:top w:w="0" w:type="dxa"/>
            <w:left w:w="108" w:type="dxa"/>
            <w:bottom w:w="0" w:type="dxa"/>
            <w:right w:w="108" w:type="dxa"/>
          </w:tblCellMar>
        </w:tblPrEx>
        <w:trPr>
          <w:trHeight w:val="90" w:hRule="atLeast"/>
          <w:jc w:val="center"/>
        </w:trPr>
        <w:tc>
          <w:tcPr>
            <w:tcW w:w="1109" w:type="dxa"/>
            <w:tcBorders>
              <w:top w:val="single" w:color="auto" w:sz="4" w:space="0"/>
              <w:left w:val="single" w:color="auto" w:sz="4" w:space="0"/>
              <w:bottom w:val="single" w:color="auto" w:sz="4" w:space="0"/>
              <w:right w:val="single" w:color="auto" w:sz="4" w:space="0"/>
            </w:tcBorders>
            <w:vAlign w:val="center"/>
          </w:tcPr>
          <w:p w14:paraId="37A09731">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14:paraId="0818FFD6">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14:paraId="7546B34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571" w:type="dxa"/>
            <w:gridSpan w:val="3"/>
            <w:tcBorders>
              <w:top w:val="single" w:color="auto" w:sz="4" w:space="0"/>
              <w:left w:val="nil"/>
              <w:bottom w:val="single" w:color="auto" w:sz="4" w:space="0"/>
              <w:right w:val="single" w:color="auto" w:sz="4" w:space="0"/>
            </w:tcBorders>
            <w:vAlign w:val="center"/>
          </w:tcPr>
          <w:p w14:paraId="07F8831F">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出现紧急情况时，应立即停止工作，采取安全处理后，方可继续施工。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401FD666">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8653" w:type="dxa"/>
        <w:jc w:val="center"/>
        <w:tblLayout w:type="fixed"/>
        <w:tblCellMar>
          <w:top w:w="0" w:type="dxa"/>
          <w:left w:w="108" w:type="dxa"/>
          <w:bottom w:w="0" w:type="dxa"/>
          <w:right w:w="108" w:type="dxa"/>
        </w:tblCellMar>
      </w:tblPr>
      <w:tblGrid>
        <w:gridCol w:w="8653"/>
      </w:tblGrid>
      <w:tr w14:paraId="184D5FD9">
        <w:tblPrEx>
          <w:tblCellMar>
            <w:top w:w="0" w:type="dxa"/>
            <w:left w:w="108" w:type="dxa"/>
            <w:bottom w:w="0" w:type="dxa"/>
            <w:right w:w="108" w:type="dxa"/>
          </w:tblCellMar>
        </w:tblPrEx>
        <w:trPr>
          <w:trHeight w:val="653" w:hRule="exact"/>
          <w:jc w:val="center"/>
        </w:trPr>
        <w:tc>
          <w:tcPr>
            <w:tcW w:w="8653" w:type="dxa"/>
            <w:tcBorders>
              <w:top w:val="single" w:color="auto" w:sz="4" w:space="0"/>
              <w:left w:val="single" w:color="auto" w:sz="4" w:space="0"/>
              <w:bottom w:val="single" w:color="auto" w:sz="4" w:space="0"/>
              <w:right w:val="single" w:color="000000" w:sz="4" w:space="0"/>
            </w:tcBorders>
            <w:vAlign w:val="center"/>
          </w:tcPr>
          <w:p w14:paraId="11BE970C">
            <w:pPr>
              <w:keepNext w:val="0"/>
              <w:keepLines w:val="0"/>
              <w:pageBreakBefore w:val="0"/>
              <w:widowControl/>
              <w:kinsoku/>
              <w:wordWrap/>
              <w:overflowPunct/>
              <w:topLinePunct w:val="0"/>
              <w:autoSpaceDE/>
              <w:autoSpaceDN/>
              <w:bidi w:val="0"/>
              <w:adjustRightInd/>
              <w:snapToGrid/>
              <w:spacing w:line="240" w:lineRule="auto"/>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eastAsia="zh-CN"/>
              </w:rPr>
              <w:t>液压支架</w:t>
            </w:r>
            <w:r>
              <w:rPr>
                <w:rFonts w:hint="eastAsia" w:ascii="仿宋" w:hAnsi="仿宋" w:eastAsia="仿宋" w:cs="仿宋"/>
                <w:color w:val="auto"/>
                <w:kern w:val="0"/>
                <w:sz w:val="21"/>
                <w:szCs w:val="21"/>
                <w:highlight w:val="none"/>
              </w:rPr>
              <w:t>单元检查表</w:t>
            </w:r>
          </w:p>
        </w:tc>
      </w:tr>
      <w:tr w14:paraId="7AF72B49">
        <w:tblPrEx>
          <w:tblCellMar>
            <w:top w:w="0" w:type="dxa"/>
            <w:left w:w="108" w:type="dxa"/>
            <w:bottom w:w="0" w:type="dxa"/>
            <w:right w:w="108" w:type="dxa"/>
          </w:tblCellMar>
        </w:tblPrEx>
        <w:trPr>
          <w:trHeight w:val="438"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14:paraId="69FCD928">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操纵阀组及液压元件无窜漏液</w:t>
            </w:r>
          </w:p>
        </w:tc>
      </w:tr>
      <w:tr w14:paraId="26582C7D">
        <w:tblPrEx>
          <w:tblCellMar>
            <w:top w:w="0" w:type="dxa"/>
            <w:left w:w="108" w:type="dxa"/>
            <w:bottom w:w="0" w:type="dxa"/>
            <w:right w:w="108" w:type="dxa"/>
          </w:tblCellMar>
        </w:tblPrEx>
        <w:trPr>
          <w:trHeight w:val="453"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14:paraId="03BD9D19">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eastAsia="zh-CN"/>
              </w:rPr>
              <w:t>千斤顶无窜漏液</w:t>
            </w:r>
          </w:p>
        </w:tc>
      </w:tr>
      <w:tr w14:paraId="61991BBD">
        <w:tblPrEx>
          <w:tblCellMar>
            <w:top w:w="0" w:type="dxa"/>
            <w:left w:w="108" w:type="dxa"/>
            <w:bottom w:w="0" w:type="dxa"/>
            <w:right w:w="108" w:type="dxa"/>
          </w:tblCellMar>
        </w:tblPrEx>
        <w:trPr>
          <w:trHeight w:val="483"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14:paraId="6D39FD27">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eastAsia="zh-CN"/>
              </w:rPr>
              <w:t>各类连接销轴正常</w:t>
            </w:r>
          </w:p>
        </w:tc>
      </w:tr>
      <w:tr w14:paraId="39A1D958">
        <w:tblPrEx>
          <w:tblCellMar>
            <w:top w:w="0" w:type="dxa"/>
            <w:left w:w="108" w:type="dxa"/>
            <w:bottom w:w="0" w:type="dxa"/>
            <w:right w:w="108" w:type="dxa"/>
          </w:tblCellMar>
        </w:tblPrEx>
        <w:trPr>
          <w:trHeight w:val="468"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14:paraId="7398B2D9">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eastAsia="zh-CN"/>
              </w:rPr>
              <w:t>高压管路连接可靠，无磨损</w:t>
            </w:r>
          </w:p>
        </w:tc>
      </w:tr>
      <w:tr w14:paraId="7B9D6E55">
        <w:tblPrEx>
          <w:tblCellMar>
            <w:top w:w="0" w:type="dxa"/>
            <w:left w:w="108" w:type="dxa"/>
            <w:bottom w:w="0" w:type="dxa"/>
            <w:right w:w="108" w:type="dxa"/>
          </w:tblCellMar>
        </w:tblPrEx>
        <w:trPr>
          <w:trHeight w:val="468"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14:paraId="3252DAAB">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5.喷雾</w:t>
            </w:r>
            <w:r>
              <w:rPr>
                <w:rFonts w:hint="eastAsia" w:ascii="仿宋" w:hAnsi="仿宋" w:eastAsia="仿宋" w:cs="仿宋"/>
                <w:color w:val="auto"/>
                <w:kern w:val="0"/>
                <w:sz w:val="21"/>
                <w:szCs w:val="21"/>
                <w:highlight w:val="none"/>
                <w:lang w:eastAsia="zh-CN"/>
              </w:rPr>
              <w:t>系统正常，雾化效果好</w:t>
            </w:r>
          </w:p>
        </w:tc>
      </w:tr>
      <w:tr w14:paraId="64E3FCAA">
        <w:tblPrEx>
          <w:tblCellMar>
            <w:top w:w="0" w:type="dxa"/>
            <w:left w:w="108" w:type="dxa"/>
            <w:bottom w:w="0" w:type="dxa"/>
            <w:right w:w="108" w:type="dxa"/>
          </w:tblCellMar>
        </w:tblPrEx>
        <w:trPr>
          <w:trHeight w:val="483"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14:paraId="2337940B">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6.操作</w:t>
            </w:r>
            <w:r>
              <w:rPr>
                <w:rFonts w:hint="eastAsia" w:ascii="仿宋" w:hAnsi="仿宋" w:eastAsia="仿宋" w:cs="仿宋"/>
                <w:color w:val="auto"/>
                <w:kern w:val="0"/>
                <w:sz w:val="21"/>
                <w:szCs w:val="21"/>
                <w:highlight w:val="none"/>
                <w:lang w:eastAsia="zh-CN"/>
              </w:rPr>
              <w:t>手把灵活可靠</w:t>
            </w:r>
          </w:p>
        </w:tc>
      </w:tr>
      <w:tr w14:paraId="713A094D">
        <w:tblPrEx>
          <w:tblCellMar>
            <w:top w:w="0" w:type="dxa"/>
            <w:left w:w="108" w:type="dxa"/>
            <w:bottom w:w="0" w:type="dxa"/>
            <w:right w:w="108" w:type="dxa"/>
          </w:tblCellMar>
        </w:tblPrEx>
        <w:trPr>
          <w:trHeight w:val="664" w:hRule="exact"/>
          <w:jc w:val="center"/>
        </w:trPr>
        <w:tc>
          <w:tcPr>
            <w:tcW w:w="8653" w:type="dxa"/>
            <w:tcBorders>
              <w:top w:val="nil"/>
              <w:left w:val="single" w:color="auto" w:sz="4" w:space="0"/>
              <w:bottom w:val="single" w:color="auto" w:sz="4" w:space="0"/>
              <w:right w:val="single" w:color="000000" w:sz="4" w:space="0"/>
            </w:tcBorders>
            <w:vAlign w:val="center"/>
          </w:tcPr>
          <w:p w14:paraId="0219E295">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接班后单元检查表检查前，先进行停电闭锁确认.</w:t>
            </w:r>
          </w:p>
        </w:tc>
      </w:tr>
    </w:tbl>
    <w:p w14:paraId="112C9000">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8694" w:type="dxa"/>
        <w:jc w:val="center"/>
        <w:tblLayout w:type="fixed"/>
        <w:tblCellMar>
          <w:top w:w="0" w:type="dxa"/>
          <w:left w:w="108" w:type="dxa"/>
          <w:bottom w:w="0" w:type="dxa"/>
          <w:right w:w="108" w:type="dxa"/>
        </w:tblCellMar>
      </w:tblPr>
      <w:tblGrid>
        <w:gridCol w:w="3658"/>
        <w:gridCol w:w="5036"/>
      </w:tblGrid>
      <w:tr w14:paraId="3A4C255D">
        <w:tblPrEx>
          <w:tblCellMar>
            <w:top w:w="0" w:type="dxa"/>
            <w:left w:w="108" w:type="dxa"/>
            <w:bottom w:w="0" w:type="dxa"/>
            <w:right w:w="108" w:type="dxa"/>
          </w:tblCellMar>
        </w:tblPrEx>
        <w:trPr>
          <w:trHeight w:val="476" w:hRule="atLeast"/>
          <w:jc w:val="center"/>
        </w:trPr>
        <w:tc>
          <w:tcPr>
            <w:tcW w:w="8694" w:type="dxa"/>
            <w:gridSpan w:val="2"/>
            <w:tcBorders>
              <w:top w:val="single" w:color="auto" w:sz="4" w:space="0"/>
              <w:left w:val="single" w:color="auto" w:sz="4" w:space="0"/>
              <w:bottom w:val="single" w:color="auto" w:sz="4" w:space="0"/>
              <w:right w:val="single" w:color="auto" w:sz="4" w:space="0"/>
            </w:tcBorders>
            <w:vAlign w:val="center"/>
          </w:tcPr>
          <w:p w14:paraId="2361FE0D">
            <w:pPr>
              <w:keepNext w:val="0"/>
              <w:keepLines w:val="0"/>
              <w:pageBreakBefore w:val="0"/>
              <w:widowControl/>
              <w:kinsoku/>
              <w:wordWrap/>
              <w:overflowPunct/>
              <w:topLinePunct w:val="0"/>
              <w:autoSpaceDE/>
              <w:autoSpaceDN/>
              <w:bidi w:val="0"/>
              <w:adjustRightInd/>
              <w:snapToGrid/>
              <w:ind w:firstLine="3584" w:firstLineChars="1700"/>
              <w:jc w:val="both"/>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b/>
                <w:bCs/>
                <w:color w:val="auto"/>
                <w:kern w:val="0"/>
                <w:sz w:val="21"/>
                <w:szCs w:val="21"/>
                <w:highlight w:val="none"/>
              </w:rPr>
              <w:t>移架工安全提示卡</w:t>
            </w:r>
          </w:p>
        </w:tc>
      </w:tr>
      <w:tr w14:paraId="3A5E8946">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747D3E34">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移架前检查</w:t>
            </w:r>
          </w:p>
        </w:tc>
        <w:tc>
          <w:tcPr>
            <w:tcW w:w="5036" w:type="dxa"/>
            <w:tcBorders>
              <w:top w:val="single" w:color="auto" w:sz="4" w:space="0"/>
              <w:left w:val="single" w:color="auto" w:sz="4" w:space="0"/>
              <w:bottom w:val="single" w:color="auto" w:sz="4" w:space="0"/>
              <w:right w:val="single" w:color="auto" w:sz="4" w:space="0"/>
            </w:tcBorders>
            <w:vAlign w:val="center"/>
          </w:tcPr>
          <w:p w14:paraId="21B68D07">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移架后确认</w:t>
            </w:r>
          </w:p>
        </w:tc>
      </w:tr>
      <w:tr w14:paraId="1D97504F">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0042CABE">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5036" w:type="dxa"/>
            <w:tcBorders>
              <w:top w:val="single" w:color="auto" w:sz="4" w:space="0"/>
              <w:left w:val="single" w:color="auto" w:sz="4" w:space="0"/>
              <w:bottom w:val="single" w:color="auto" w:sz="4" w:space="0"/>
              <w:right w:val="single" w:color="auto" w:sz="4" w:space="0"/>
            </w:tcBorders>
            <w:vAlign w:val="center"/>
          </w:tcPr>
          <w:p w14:paraId="2C3E978E">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1.前梁、护帮板、侧护板</w:t>
            </w:r>
          </w:p>
        </w:tc>
      </w:tr>
      <w:tr w14:paraId="717A590A">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658D71C4">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2.支架、液压系统、管线连接</w:t>
            </w:r>
          </w:p>
        </w:tc>
        <w:tc>
          <w:tcPr>
            <w:tcW w:w="5036" w:type="dxa"/>
            <w:tcBorders>
              <w:top w:val="single" w:color="auto" w:sz="4" w:space="0"/>
              <w:left w:val="single" w:color="auto" w:sz="4" w:space="0"/>
              <w:bottom w:val="single" w:color="auto" w:sz="4" w:space="0"/>
              <w:right w:val="single" w:color="auto" w:sz="4" w:space="0"/>
            </w:tcBorders>
            <w:vAlign w:val="center"/>
          </w:tcPr>
          <w:p w14:paraId="661E4F6F">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2.管路无挤压</w:t>
            </w:r>
          </w:p>
        </w:tc>
      </w:tr>
      <w:tr w14:paraId="46B7B854">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13BBA273">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★3.支架间隙、错茬</w:t>
            </w:r>
          </w:p>
        </w:tc>
        <w:tc>
          <w:tcPr>
            <w:tcW w:w="5036" w:type="dxa"/>
            <w:tcBorders>
              <w:top w:val="single" w:color="auto" w:sz="4" w:space="0"/>
              <w:left w:val="single" w:color="auto" w:sz="4" w:space="0"/>
              <w:bottom w:val="single" w:color="auto" w:sz="4" w:space="0"/>
              <w:right w:val="single" w:color="auto" w:sz="4" w:space="0"/>
            </w:tcBorders>
            <w:vAlign w:val="center"/>
          </w:tcPr>
          <w:p w14:paraId="42161F7E">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3.支架与溜子直线性</w:t>
            </w:r>
          </w:p>
        </w:tc>
      </w:tr>
      <w:tr w14:paraId="40055CE8">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0E91DBCA">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4.与溜子连接</w:t>
            </w:r>
          </w:p>
        </w:tc>
        <w:tc>
          <w:tcPr>
            <w:tcW w:w="5036" w:type="dxa"/>
            <w:tcBorders>
              <w:top w:val="single" w:color="auto" w:sz="4" w:space="0"/>
              <w:left w:val="single" w:color="auto" w:sz="4" w:space="0"/>
              <w:bottom w:val="single" w:color="auto" w:sz="4" w:space="0"/>
              <w:right w:val="single" w:color="auto" w:sz="4" w:space="0"/>
            </w:tcBorders>
            <w:vAlign w:val="center"/>
          </w:tcPr>
          <w:p w14:paraId="6BF574F6">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4.支护质量</w:t>
            </w:r>
          </w:p>
        </w:tc>
      </w:tr>
      <w:tr w14:paraId="5BF4AE3C">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06B96DAB">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5.与煤机距离</w:t>
            </w:r>
          </w:p>
        </w:tc>
        <w:tc>
          <w:tcPr>
            <w:tcW w:w="5036" w:type="dxa"/>
            <w:tcBorders>
              <w:top w:val="single" w:color="auto" w:sz="4" w:space="0"/>
              <w:left w:val="nil"/>
              <w:bottom w:val="single" w:color="auto" w:sz="4" w:space="0"/>
              <w:right w:val="single" w:color="auto" w:sz="4" w:space="0"/>
            </w:tcBorders>
            <w:vAlign w:val="center"/>
          </w:tcPr>
          <w:p w14:paraId="63F3B29E">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★5.把手、闭锁复位</w:t>
            </w:r>
          </w:p>
        </w:tc>
      </w:tr>
      <w:tr w14:paraId="17D2B25A">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32134DC1">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6.站位，后退路</w:t>
            </w:r>
          </w:p>
        </w:tc>
        <w:tc>
          <w:tcPr>
            <w:tcW w:w="5036" w:type="dxa"/>
            <w:vMerge w:val="restart"/>
            <w:tcBorders>
              <w:top w:val="single" w:color="auto" w:sz="4" w:space="0"/>
              <w:left w:val="single" w:color="auto" w:sz="4" w:space="0"/>
              <w:bottom w:val="single" w:color="auto" w:sz="4" w:space="0"/>
              <w:right w:val="single" w:color="auto" w:sz="4" w:space="0"/>
            </w:tcBorders>
            <w:vAlign w:val="center"/>
          </w:tcPr>
          <w:p w14:paraId="79EE376F">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注：第一次按移架前检查内容逐项检查并确认，存在问题整改后再确认；中间再次操作只检查带“★”部分；移架工作结束后按移架、推溜后确认内容逐项检查并确认。</w:t>
            </w:r>
          </w:p>
        </w:tc>
      </w:tr>
      <w:tr w14:paraId="0B9B827D">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3C17E458">
            <w:pPr>
              <w:keepNext w:val="0"/>
              <w:keepLines w:val="0"/>
              <w:pageBreakBefore w:val="0"/>
              <w:widowControl/>
              <w:kinsoku/>
              <w:wordWrap/>
              <w:overflowPunct/>
              <w:topLinePunct w:val="0"/>
              <w:autoSpaceDE/>
              <w:autoSpaceDN/>
              <w:bidi w:val="0"/>
              <w:adjustRightInd/>
              <w:snapToGrid/>
              <w:ind w:firstLine="400" w:firstLineChars="200"/>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color w:val="auto"/>
                <w:kern w:val="0"/>
                <w:sz w:val="20"/>
                <w:szCs w:val="20"/>
                <w:highlight w:val="none"/>
              </w:rPr>
              <w:t xml:space="preserve">  7.口罩</w:t>
            </w:r>
          </w:p>
        </w:tc>
        <w:tc>
          <w:tcPr>
            <w:tcW w:w="5036" w:type="dxa"/>
            <w:vMerge w:val="continue"/>
            <w:tcBorders>
              <w:top w:val="single" w:color="auto" w:sz="4" w:space="0"/>
              <w:left w:val="single" w:color="auto" w:sz="4" w:space="0"/>
              <w:bottom w:val="single" w:color="auto" w:sz="4" w:space="0"/>
              <w:right w:val="single" w:color="auto" w:sz="4" w:space="0"/>
            </w:tcBorders>
            <w:vAlign w:val="center"/>
          </w:tcPr>
          <w:p w14:paraId="04B16AA8">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r w14:paraId="6C30D2CD">
        <w:tblPrEx>
          <w:tblCellMar>
            <w:top w:w="0" w:type="dxa"/>
            <w:left w:w="108" w:type="dxa"/>
            <w:bottom w:w="0" w:type="dxa"/>
            <w:right w:w="108" w:type="dxa"/>
          </w:tblCellMar>
        </w:tblPrEx>
        <w:trPr>
          <w:trHeight w:val="304"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14:paraId="7E81BE54">
            <w:pPr>
              <w:keepNext w:val="0"/>
              <w:keepLines w:val="0"/>
              <w:pageBreakBefore w:val="0"/>
              <w:widowControl/>
              <w:kinsoku/>
              <w:wordWrap/>
              <w:overflowPunct/>
              <w:topLinePunct w:val="0"/>
              <w:autoSpaceDE/>
              <w:autoSpaceDN/>
              <w:bidi w:val="0"/>
              <w:adjustRightInd/>
              <w:snapToGrid/>
              <w:ind w:firstLine="400" w:firstLineChars="200"/>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color w:val="auto"/>
                <w:kern w:val="0"/>
                <w:sz w:val="20"/>
                <w:szCs w:val="20"/>
                <w:highlight w:val="none"/>
              </w:rPr>
              <w:t>★8. 5米范围内无其他人员及障碍物</w:t>
            </w:r>
          </w:p>
        </w:tc>
        <w:tc>
          <w:tcPr>
            <w:tcW w:w="5036" w:type="dxa"/>
            <w:vMerge w:val="continue"/>
            <w:tcBorders>
              <w:top w:val="single" w:color="auto" w:sz="4" w:space="0"/>
              <w:left w:val="single" w:color="auto" w:sz="4" w:space="0"/>
              <w:bottom w:val="single" w:color="auto" w:sz="4" w:space="0"/>
              <w:right w:val="single" w:color="auto" w:sz="4" w:space="0"/>
            </w:tcBorders>
            <w:vAlign w:val="center"/>
          </w:tcPr>
          <w:p w14:paraId="5161B775">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bl>
    <w:p w14:paraId="10D64C50">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8725" w:type="dxa"/>
        <w:tblInd w:w="-74" w:type="dxa"/>
        <w:tblLayout w:type="fixed"/>
        <w:tblCellMar>
          <w:top w:w="0" w:type="dxa"/>
          <w:left w:w="108" w:type="dxa"/>
          <w:bottom w:w="0" w:type="dxa"/>
          <w:right w:w="108" w:type="dxa"/>
        </w:tblCellMar>
      </w:tblPr>
      <w:tblGrid>
        <w:gridCol w:w="1441"/>
        <w:gridCol w:w="1292"/>
        <w:gridCol w:w="5992"/>
      </w:tblGrid>
      <w:tr w14:paraId="00FA8ED4">
        <w:tblPrEx>
          <w:tblCellMar>
            <w:top w:w="0" w:type="dxa"/>
            <w:left w:w="108" w:type="dxa"/>
            <w:bottom w:w="0" w:type="dxa"/>
            <w:right w:w="108" w:type="dxa"/>
          </w:tblCellMar>
        </w:tblPrEx>
        <w:trPr>
          <w:trHeight w:val="1015" w:hRule="atLeast"/>
        </w:trPr>
        <w:tc>
          <w:tcPr>
            <w:tcW w:w="8725" w:type="dxa"/>
            <w:gridSpan w:val="3"/>
            <w:tcBorders>
              <w:top w:val="single" w:color="auto" w:sz="4" w:space="0"/>
              <w:left w:val="single" w:color="auto" w:sz="4" w:space="0"/>
              <w:bottom w:val="single" w:color="auto" w:sz="4" w:space="0"/>
              <w:right w:val="single" w:color="auto" w:sz="4" w:space="0"/>
            </w:tcBorders>
            <w:vAlign w:val="center"/>
          </w:tcPr>
          <w:p w14:paraId="778784C8">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b/>
                <w:bCs/>
                <w:color w:val="auto"/>
                <w:kern w:val="0"/>
                <w:sz w:val="28"/>
                <w:szCs w:val="28"/>
                <w:highlight w:val="none"/>
              </w:rPr>
            </w:pPr>
            <w:r>
              <w:rPr>
                <w:rFonts w:hint="eastAsia" w:ascii="仿宋" w:hAnsi="仿宋" w:eastAsia="仿宋" w:cs="仿宋"/>
                <w:b/>
                <w:bCs/>
                <w:color w:val="auto"/>
                <w:kern w:val="0"/>
                <w:sz w:val="21"/>
                <w:szCs w:val="21"/>
                <w:highlight w:val="none"/>
              </w:rPr>
              <w:t>液压支架工操作过程注意事项</w:t>
            </w:r>
          </w:p>
        </w:tc>
      </w:tr>
      <w:tr w14:paraId="290B9BBC">
        <w:tblPrEx>
          <w:tblCellMar>
            <w:top w:w="0" w:type="dxa"/>
            <w:left w:w="108" w:type="dxa"/>
            <w:bottom w:w="0" w:type="dxa"/>
            <w:right w:w="108" w:type="dxa"/>
          </w:tblCellMar>
        </w:tblPrEx>
        <w:trPr>
          <w:trHeight w:val="521" w:hRule="atLeast"/>
        </w:trPr>
        <w:tc>
          <w:tcPr>
            <w:tcW w:w="1441" w:type="dxa"/>
            <w:tcBorders>
              <w:top w:val="single" w:color="auto" w:sz="4" w:space="0"/>
              <w:left w:val="single" w:color="auto" w:sz="4" w:space="0"/>
              <w:bottom w:val="single" w:color="auto" w:sz="4" w:space="0"/>
              <w:right w:val="single" w:color="auto" w:sz="4" w:space="0"/>
            </w:tcBorders>
            <w:vAlign w:val="center"/>
          </w:tcPr>
          <w:p w14:paraId="605DE244">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操作顺序</w:t>
            </w:r>
          </w:p>
        </w:tc>
        <w:tc>
          <w:tcPr>
            <w:tcW w:w="1292" w:type="dxa"/>
            <w:tcBorders>
              <w:top w:val="single" w:color="auto" w:sz="4" w:space="0"/>
              <w:left w:val="nil"/>
              <w:bottom w:val="single" w:color="auto" w:sz="4" w:space="0"/>
              <w:right w:val="single" w:color="auto" w:sz="4" w:space="0"/>
            </w:tcBorders>
            <w:vAlign w:val="center"/>
          </w:tcPr>
          <w:p w14:paraId="5DBC405C">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提示词</w:t>
            </w:r>
          </w:p>
        </w:tc>
        <w:tc>
          <w:tcPr>
            <w:tcW w:w="5992" w:type="dxa"/>
            <w:tcBorders>
              <w:top w:val="single" w:color="auto" w:sz="4" w:space="0"/>
              <w:left w:val="nil"/>
              <w:bottom w:val="single" w:color="auto" w:sz="4" w:space="0"/>
              <w:right w:val="single" w:color="auto" w:sz="4" w:space="0"/>
            </w:tcBorders>
            <w:vAlign w:val="center"/>
          </w:tcPr>
          <w:p w14:paraId="3A486D0E">
            <w:pPr>
              <w:keepNext w:val="0"/>
              <w:keepLines w:val="0"/>
              <w:pageBreakBefore w:val="0"/>
              <w:widowControl/>
              <w:kinsoku/>
              <w:wordWrap/>
              <w:overflowPunct/>
              <w:topLinePunct w:val="0"/>
              <w:autoSpaceDE/>
              <w:autoSpaceDN/>
              <w:bidi w:val="0"/>
              <w:adjustRightInd/>
              <w:snapToGrid/>
              <w:ind w:firstLine="482" w:firstLineChars="200"/>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操作注意事项解释</w:t>
            </w:r>
          </w:p>
        </w:tc>
      </w:tr>
      <w:tr w14:paraId="559709DD">
        <w:tblPrEx>
          <w:tblCellMar>
            <w:top w:w="0" w:type="dxa"/>
            <w:left w:w="108" w:type="dxa"/>
            <w:bottom w:w="0" w:type="dxa"/>
            <w:right w:w="108" w:type="dxa"/>
          </w:tblCellMar>
        </w:tblPrEx>
        <w:trPr>
          <w:trHeight w:val="521" w:hRule="atLeast"/>
        </w:trPr>
        <w:tc>
          <w:tcPr>
            <w:tcW w:w="1441" w:type="dxa"/>
            <w:vMerge w:val="restart"/>
            <w:tcBorders>
              <w:top w:val="nil"/>
              <w:left w:val="single" w:color="auto" w:sz="4" w:space="0"/>
              <w:bottom w:val="single" w:color="auto" w:sz="4" w:space="0"/>
              <w:right w:val="single" w:color="auto" w:sz="4" w:space="0"/>
            </w:tcBorders>
            <w:vAlign w:val="center"/>
          </w:tcPr>
          <w:p w14:paraId="1DA47523">
            <w:pPr>
              <w:keepNext w:val="0"/>
              <w:keepLines w:val="0"/>
              <w:pageBreakBefore w:val="0"/>
              <w:widowControl/>
              <w:kinsoku/>
              <w:wordWrap/>
              <w:overflowPunct/>
              <w:topLinePunct w:val="0"/>
              <w:autoSpaceDE/>
              <w:autoSpaceDN/>
              <w:bidi w:val="0"/>
              <w:adjustRightInd/>
              <w:snapToGrid/>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移架</w:t>
            </w:r>
          </w:p>
        </w:tc>
        <w:tc>
          <w:tcPr>
            <w:tcW w:w="1292" w:type="dxa"/>
            <w:tcBorders>
              <w:top w:val="nil"/>
              <w:left w:val="nil"/>
              <w:bottom w:val="single" w:color="auto" w:sz="4" w:space="0"/>
              <w:right w:val="single" w:color="auto" w:sz="4" w:space="0"/>
            </w:tcBorders>
            <w:vAlign w:val="center"/>
          </w:tcPr>
          <w:p w14:paraId="4681125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5992" w:type="dxa"/>
            <w:tcBorders>
              <w:top w:val="nil"/>
              <w:left w:val="nil"/>
              <w:bottom w:val="single" w:color="auto" w:sz="4" w:space="0"/>
              <w:right w:val="single" w:color="auto" w:sz="4" w:space="0"/>
            </w:tcBorders>
            <w:vAlign w:val="center"/>
          </w:tcPr>
          <w:p w14:paraId="7CC6E53E">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顶板、煤壁是否完整；左右3架内不得有人</w:t>
            </w:r>
          </w:p>
        </w:tc>
      </w:tr>
      <w:tr w14:paraId="4AAADE83">
        <w:tblPrEx>
          <w:tblCellMar>
            <w:top w:w="0" w:type="dxa"/>
            <w:left w:w="108" w:type="dxa"/>
            <w:bottom w:w="0" w:type="dxa"/>
            <w:right w:w="108" w:type="dxa"/>
          </w:tblCellMar>
        </w:tblPrEx>
        <w:trPr>
          <w:trHeight w:val="521" w:hRule="atLeast"/>
        </w:trPr>
        <w:tc>
          <w:tcPr>
            <w:tcW w:w="1441" w:type="dxa"/>
            <w:vMerge w:val="continue"/>
            <w:tcBorders>
              <w:top w:val="nil"/>
              <w:left w:val="single" w:color="auto" w:sz="4" w:space="0"/>
              <w:bottom w:val="single" w:color="auto" w:sz="4" w:space="0"/>
              <w:right w:val="single" w:color="auto" w:sz="4" w:space="0"/>
            </w:tcBorders>
            <w:vAlign w:val="center"/>
          </w:tcPr>
          <w:p w14:paraId="3F6F55CA">
            <w:pPr>
              <w:keepNext w:val="0"/>
              <w:keepLines w:val="0"/>
              <w:pageBreakBefore w:val="0"/>
              <w:widowControl/>
              <w:kinsoku/>
              <w:wordWrap/>
              <w:overflowPunct/>
              <w:topLinePunct w:val="0"/>
              <w:autoSpaceDE/>
              <w:autoSpaceDN/>
              <w:bidi w:val="0"/>
              <w:adjustRightInd/>
              <w:snapToGrid/>
              <w:ind w:firstLine="420" w:firstLineChars="200"/>
              <w:jc w:val="both"/>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3E8B9779">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移</w:t>
            </w:r>
            <w:r>
              <w:rPr>
                <w:rFonts w:hint="eastAsia" w:ascii="仿宋" w:hAnsi="仿宋" w:eastAsia="仿宋" w:cs="仿宋"/>
                <w:color w:val="auto"/>
                <w:kern w:val="0"/>
                <w:sz w:val="21"/>
                <w:szCs w:val="21"/>
                <w:highlight w:val="none"/>
                <w:lang w:eastAsia="zh-CN"/>
              </w:rPr>
              <w:t>好</w:t>
            </w:r>
            <w:r>
              <w:rPr>
                <w:rFonts w:hint="eastAsia" w:ascii="仿宋" w:hAnsi="仿宋" w:eastAsia="仿宋" w:cs="仿宋"/>
                <w:color w:val="auto"/>
                <w:kern w:val="0"/>
                <w:sz w:val="21"/>
                <w:szCs w:val="21"/>
                <w:highlight w:val="none"/>
              </w:rPr>
              <w:t>架</w:t>
            </w:r>
          </w:p>
        </w:tc>
        <w:tc>
          <w:tcPr>
            <w:tcW w:w="5992" w:type="dxa"/>
            <w:tcBorders>
              <w:top w:val="nil"/>
              <w:left w:val="nil"/>
              <w:bottom w:val="single" w:color="auto" w:sz="4" w:space="0"/>
              <w:right w:val="single" w:color="auto" w:sz="4" w:space="0"/>
            </w:tcBorders>
            <w:vAlign w:val="center"/>
          </w:tcPr>
          <w:p w14:paraId="04086C71">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防伤手；</w:t>
            </w:r>
            <w:r>
              <w:rPr>
                <w:rFonts w:hint="eastAsia" w:ascii="仿宋" w:hAnsi="仿宋" w:eastAsia="仿宋" w:cs="仿宋"/>
                <w:color w:val="auto"/>
                <w:kern w:val="0"/>
                <w:sz w:val="21"/>
                <w:szCs w:val="21"/>
                <w:highlight w:val="none"/>
                <w:lang w:eastAsia="zh-CN"/>
              </w:rPr>
              <w:t>手把</w:t>
            </w:r>
            <w:r>
              <w:rPr>
                <w:rFonts w:hint="eastAsia" w:ascii="仿宋" w:hAnsi="仿宋" w:eastAsia="仿宋" w:cs="仿宋"/>
                <w:color w:val="auto"/>
                <w:kern w:val="0"/>
                <w:sz w:val="21"/>
                <w:szCs w:val="21"/>
                <w:highlight w:val="none"/>
              </w:rPr>
              <w:t>闭锁；防咬架错架</w:t>
            </w:r>
          </w:p>
        </w:tc>
      </w:tr>
      <w:tr w14:paraId="718E36D3">
        <w:tblPrEx>
          <w:tblCellMar>
            <w:top w:w="0" w:type="dxa"/>
            <w:left w:w="108" w:type="dxa"/>
            <w:bottom w:w="0" w:type="dxa"/>
            <w:right w:w="108" w:type="dxa"/>
          </w:tblCellMar>
        </w:tblPrEx>
        <w:trPr>
          <w:trHeight w:val="521" w:hRule="atLeast"/>
        </w:trPr>
        <w:tc>
          <w:tcPr>
            <w:tcW w:w="1441" w:type="dxa"/>
            <w:vMerge w:val="continue"/>
            <w:tcBorders>
              <w:top w:val="nil"/>
              <w:left w:val="single" w:color="auto" w:sz="4" w:space="0"/>
              <w:bottom w:val="single" w:color="auto" w:sz="4" w:space="0"/>
              <w:right w:val="single" w:color="auto" w:sz="4" w:space="0"/>
            </w:tcBorders>
            <w:vAlign w:val="center"/>
          </w:tcPr>
          <w:p w14:paraId="5D06C4A5">
            <w:pPr>
              <w:keepNext w:val="0"/>
              <w:keepLines w:val="0"/>
              <w:pageBreakBefore w:val="0"/>
              <w:widowControl/>
              <w:kinsoku/>
              <w:wordWrap/>
              <w:overflowPunct/>
              <w:topLinePunct w:val="0"/>
              <w:autoSpaceDE/>
              <w:autoSpaceDN/>
              <w:bidi w:val="0"/>
              <w:adjustRightInd/>
              <w:snapToGrid/>
              <w:ind w:firstLine="420" w:firstLineChars="200"/>
              <w:jc w:val="both"/>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012A10D8">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5992" w:type="dxa"/>
            <w:tcBorders>
              <w:top w:val="nil"/>
              <w:left w:val="nil"/>
              <w:bottom w:val="single" w:color="auto" w:sz="4" w:space="0"/>
              <w:right w:val="single" w:color="auto" w:sz="4" w:space="0"/>
            </w:tcBorders>
            <w:vAlign w:val="center"/>
          </w:tcPr>
          <w:p w14:paraId="73439F0D">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人员站在</w:t>
            </w:r>
            <w:r>
              <w:rPr>
                <w:rFonts w:hint="eastAsia" w:ascii="仿宋" w:hAnsi="仿宋" w:eastAsia="仿宋" w:cs="仿宋"/>
                <w:color w:val="auto"/>
                <w:kern w:val="0"/>
                <w:sz w:val="21"/>
                <w:szCs w:val="21"/>
                <w:highlight w:val="none"/>
                <w:lang w:eastAsia="zh-CN"/>
              </w:rPr>
              <w:t>架空内</w:t>
            </w:r>
            <w:r>
              <w:rPr>
                <w:rFonts w:hint="eastAsia" w:ascii="仿宋" w:hAnsi="仿宋" w:eastAsia="仿宋" w:cs="仿宋"/>
                <w:color w:val="auto"/>
                <w:kern w:val="0"/>
                <w:sz w:val="21"/>
                <w:szCs w:val="21"/>
                <w:highlight w:val="none"/>
              </w:rPr>
              <w:t>进行操作，后退路畅通</w:t>
            </w:r>
          </w:p>
        </w:tc>
      </w:tr>
      <w:tr w14:paraId="70A4AE67">
        <w:tblPrEx>
          <w:tblCellMar>
            <w:top w:w="0" w:type="dxa"/>
            <w:left w:w="108" w:type="dxa"/>
            <w:bottom w:w="0" w:type="dxa"/>
            <w:right w:w="108" w:type="dxa"/>
          </w:tblCellMar>
        </w:tblPrEx>
        <w:trPr>
          <w:trHeight w:val="521" w:hRule="atLeast"/>
        </w:trPr>
        <w:tc>
          <w:tcPr>
            <w:tcW w:w="1441" w:type="dxa"/>
            <w:vMerge w:val="restart"/>
            <w:tcBorders>
              <w:top w:val="nil"/>
              <w:left w:val="single" w:color="auto" w:sz="4" w:space="0"/>
              <w:bottom w:val="single" w:color="auto" w:sz="4" w:space="0"/>
              <w:right w:val="single" w:color="auto" w:sz="4" w:space="0"/>
            </w:tcBorders>
            <w:vAlign w:val="center"/>
          </w:tcPr>
          <w:p w14:paraId="07B4B621">
            <w:pPr>
              <w:keepNext w:val="0"/>
              <w:keepLines w:val="0"/>
              <w:pageBreakBefore w:val="0"/>
              <w:widowControl/>
              <w:kinsoku/>
              <w:wordWrap/>
              <w:overflowPunct/>
              <w:topLinePunct w:val="0"/>
              <w:autoSpaceDE/>
              <w:autoSpaceDN/>
              <w:bidi w:val="0"/>
              <w:adjustRightInd/>
              <w:snapToGrid/>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推溜</w:t>
            </w:r>
          </w:p>
        </w:tc>
        <w:tc>
          <w:tcPr>
            <w:tcW w:w="1292" w:type="dxa"/>
            <w:tcBorders>
              <w:top w:val="nil"/>
              <w:left w:val="nil"/>
              <w:bottom w:val="single" w:color="auto" w:sz="4" w:space="0"/>
              <w:right w:val="single" w:color="auto" w:sz="4" w:space="0"/>
            </w:tcBorders>
            <w:vAlign w:val="center"/>
          </w:tcPr>
          <w:p w14:paraId="42B46955">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5992" w:type="dxa"/>
            <w:tcBorders>
              <w:top w:val="nil"/>
              <w:left w:val="nil"/>
              <w:bottom w:val="single" w:color="auto" w:sz="4" w:space="0"/>
              <w:right w:val="single" w:color="auto" w:sz="4" w:space="0"/>
            </w:tcBorders>
            <w:vAlign w:val="center"/>
          </w:tcPr>
          <w:p w14:paraId="5E9B6814">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周围有无人员;后退路是否畅通</w:t>
            </w:r>
          </w:p>
        </w:tc>
      </w:tr>
      <w:tr w14:paraId="134DF2B9">
        <w:tblPrEx>
          <w:tblCellMar>
            <w:top w:w="0" w:type="dxa"/>
            <w:left w:w="108" w:type="dxa"/>
            <w:bottom w:w="0" w:type="dxa"/>
            <w:right w:w="108" w:type="dxa"/>
          </w:tblCellMar>
        </w:tblPrEx>
        <w:trPr>
          <w:trHeight w:val="521" w:hRule="atLeast"/>
        </w:trPr>
        <w:tc>
          <w:tcPr>
            <w:tcW w:w="1441" w:type="dxa"/>
            <w:vMerge w:val="continue"/>
            <w:tcBorders>
              <w:top w:val="nil"/>
              <w:left w:val="single" w:color="auto" w:sz="4" w:space="0"/>
              <w:bottom w:val="single" w:color="auto" w:sz="4" w:space="0"/>
              <w:right w:val="single" w:color="auto" w:sz="4" w:space="0"/>
            </w:tcBorders>
            <w:vAlign w:val="center"/>
          </w:tcPr>
          <w:p w14:paraId="146B2AB0">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2C6A197C">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推</w:t>
            </w:r>
            <w:r>
              <w:rPr>
                <w:rFonts w:hint="eastAsia" w:ascii="仿宋" w:hAnsi="仿宋" w:eastAsia="仿宋" w:cs="仿宋"/>
                <w:color w:val="auto"/>
                <w:kern w:val="0"/>
                <w:sz w:val="21"/>
                <w:szCs w:val="21"/>
                <w:highlight w:val="none"/>
                <w:lang w:eastAsia="zh-CN"/>
              </w:rPr>
              <w:t>好</w:t>
            </w:r>
            <w:r>
              <w:rPr>
                <w:rFonts w:hint="eastAsia" w:ascii="仿宋" w:hAnsi="仿宋" w:eastAsia="仿宋" w:cs="仿宋"/>
                <w:color w:val="auto"/>
                <w:kern w:val="0"/>
                <w:sz w:val="21"/>
                <w:szCs w:val="21"/>
                <w:highlight w:val="none"/>
              </w:rPr>
              <w:t>溜</w:t>
            </w:r>
          </w:p>
        </w:tc>
        <w:tc>
          <w:tcPr>
            <w:tcW w:w="5992" w:type="dxa"/>
            <w:tcBorders>
              <w:top w:val="nil"/>
              <w:left w:val="nil"/>
              <w:bottom w:val="single" w:color="auto" w:sz="4" w:space="0"/>
              <w:right w:val="single" w:color="auto" w:sz="4" w:space="0"/>
            </w:tcBorders>
            <w:vAlign w:val="center"/>
          </w:tcPr>
          <w:p w14:paraId="237BDE6C">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防伤手;</w:t>
            </w:r>
            <w:r>
              <w:rPr>
                <w:rFonts w:hint="eastAsia" w:ascii="仿宋" w:hAnsi="仿宋" w:eastAsia="仿宋" w:cs="仿宋"/>
                <w:color w:val="auto"/>
                <w:kern w:val="0"/>
                <w:sz w:val="21"/>
                <w:szCs w:val="21"/>
                <w:highlight w:val="none"/>
                <w:lang w:eastAsia="zh-CN"/>
              </w:rPr>
              <w:t>手把</w:t>
            </w:r>
            <w:r>
              <w:rPr>
                <w:rFonts w:hint="eastAsia" w:ascii="仿宋" w:hAnsi="仿宋" w:eastAsia="仿宋" w:cs="仿宋"/>
                <w:color w:val="auto"/>
                <w:kern w:val="0"/>
                <w:sz w:val="21"/>
                <w:szCs w:val="21"/>
                <w:highlight w:val="none"/>
              </w:rPr>
              <w:t>闭锁</w:t>
            </w:r>
          </w:p>
        </w:tc>
      </w:tr>
      <w:tr w14:paraId="682F8798">
        <w:tblPrEx>
          <w:tblCellMar>
            <w:top w:w="0" w:type="dxa"/>
            <w:left w:w="108" w:type="dxa"/>
            <w:bottom w:w="0" w:type="dxa"/>
            <w:right w:w="108" w:type="dxa"/>
          </w:tblCellMar>
        </w:tblPrEx>
        <w:trPr>
          <w:trHeight w:val="549" w:hRule="atLeast"/>
        </w:trPr>
        <w:tc>
          <w:tcPr>
            <w:tcW w:w="1441" w:type="dxa"/>
            <w:vMerge w:val="continue"/>
            <w:tcBorders>
              <w:top w:val="nil"/>
              <w:left w:val="single" w:color="auto" w:sz="4" w:space="0"/>
              <w:bottom w:val="single" w:color="auto" w:sz="4" w:space="0"/>
              <w:right w:val="single" w:color="auto" w:sz="4" w:space="0"/>
            </w:tcBorders>
            <w:vAlign w:val="center"/>
          </w:tcPr>
          <w:p w14:paraId="68AE8F77">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0B771C3E">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5992" w:type="dxa"/>
            <w:tcBorders>
              <w:top w:val="nil"/>
              <w:left w:val="nil"/>
              <w:bottom w:val="single" w:color="auto" w:sz="4" w:space="0"/>
              <w:right w:val="single" w:color="auto" w:sz="4" w:space="0"/>
            </w:tcBorders>
            <w:vAlign w:val="center"/>
          </w:tcPr>
          <w:p w14:paraId="5B471749">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人员站在支架中间进行操作</w:t>
            </w:r>
          </w:p>
        </w:tc>
      </w:tr>
    </w:tbl>
    <w:p w14:paraId="1B45710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50D4FE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14:paraId="792A05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14:paraId="42C392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14:paraId="7A0EB0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14:paraId="0C04A9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14:paraId="60EB26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14:paraId="2CAA84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14:paraId="1CFF4E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14:paraId="186FFDA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14:paraId="00A778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14:paraId="7F118B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14:paraId="06B89A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14:paraId="08EA5C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14:paraId="055F45D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14:paraId="7C3146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14:paraId="08F00E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14:paraId="5040175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（十七）在高度大于2米以上高空作业时，必须拴好安全带。</w:t>
      </w:r>
    </w:p>
    <w:p w14:paraId="24A479A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06A4EF8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7599E5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050DFE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05DE90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17C1B1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356614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0F0886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64954E3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38680A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4A28BD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6A593A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59EE812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7AD555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2D9A0E7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294313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0460AA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235852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0D3F1D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7A75174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6F48599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159A1F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3FAEF93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5E658F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23CAB3C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581F4E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3D8741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445D97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62C56C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7A92FD1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30B9FF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2B65961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6CAD25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1603D9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7096DF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615977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16C0CEC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1FE558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18F464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74EF79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3E231D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743B59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4A9C377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6FB7BA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76007F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0AFC78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68029B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7C3BD3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4C84964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14:paraId="552B7A2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14:paraId="1D4EB3B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工作面两端头采空区有时存在未及时垮落情况，留有漏风通道，采空区遗煤氧化蓄热，存在自然发火风险。</w:t>
      </w:r>
    </w:p>
    <w:p w14:paraId="2B8855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管控措施：回采过程中不得任意留设顶底煤，落实工作面回采率考核，减少架后遗煤</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合理调配工作面风量，进回风隅角处常设挡风帘，减少采空区漏风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每天采取对采空区进行注氮、两端头喷洒阻化剂等预防性措施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根据作业规程要求，工作面两端头及时采用退锚措施，确保两端头采空区顶板垮落，悬顶面积超过规定及时采取措施强制放顶或施工隔离墙封堵两端头采空区，减少漏风通道。</w:t>
      </w:r>
    </w:p>
    <w:p w14:paraId="0CDA03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工作面临近老空积水区，受采动、矿压等影响，可能存在老空出水风险。</w:t>
      </w:r>
    </w:p>
    <w:p w14:paraId="4D9F6C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管控措施：按照预计最大涌水量安设排水系统，并保证排水系统畅通完善，巷道积水及时排出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按要求进行涌水量观测</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普及井下职工防治水知识，了解突水征兆，熟悉逃生路线和避灾方法。</w:t>
      </w:r>
    </w:p>
    <w:p w14:paraId="49078B76">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经鉴定我矿煤尘具有爆炸危险性，操作不规范可能引发煤尘爆炸风险。</w:t>
      </w:r>
    </w:p>
    <w:p w14:paraId="494E85C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现场严格落实采煤工作面综合防尘管理措施，确保割煤机内外喷雾完好，压力满足要求，定期冲刷巷道积尘，减少采空区浮煤；各转载点、进回风巷防尘设施按要求安装、使用；加强煤尘浓度检测，浓度超标时立即采取措施降尘</w:t>
      </w:r>
      <w:r>
        <w:rPr>
          <w:rFonts w:hint="eastAsia" w:ascii="仿宋" w:hAnsi="仿宋" w:eastAsia="仿宋" w:cs="仿宋"/>
          <w:color w:val="auto"/>
          <w:sz w:val="28"/>
          <w:szCs w:val="28"/>
          <w:highlight w:val="none"/>
          <w:lang w:eastAsia="zh-CN"/>
        </w:rPr>
        <w:t>。</w:t>
      </w:r>
    </w:p>
    <w:p w14:paraId="50D120A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专用部分</w:t>
      </w:r>
    </w:p>
    <w:p w14:paraId="57B412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1.移架前存在的伤人风险：</w:t>
      </w:r>
    </w:p>
    <w:p w14:paraId="03EB3A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移架前检查</w:t>
      </w:r>
      <w:r>
        <w:rPr>
          <w:rFonts w:hint="eastAsia" w:ascii="仿宋" w:hAnsi="仿宋" w:eastAsia="仿宋" w:cs="仿宋"/>
          <w:color w:val="auto"/>
          <w:sz w:val="28"/>
          <w:szCs w:val="28"/>
          <w:highlight w:val="none"/>
        </w:rPr>
        <w:t>，工作面顶板破碎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2E0F06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情况；在割煤、移架等过程中应清除危岩、排除隐患</w:t>
      </w:r>
      <w:r>
        <w:rPr>
          <w:rFonts w:hint="eastAsia" w:ascii="仿宋" w:hAnsi="仿宋" w:eastAsia="仿宋" w:cs="仿宋"/>
          <w:color w:val="auto"/>
          <w:sz w:val="28"/>
          <w:szCs w:val="28"/>
          <w:highlight w:val="none"/>
          <w:lang w:eastAsia="zh-CN"/>
        </w:rPr>
        <w:t>；保证</w:t>
      </w:r>
      <w:r>
        <w:rPr>
          <w:rFonts w:hint="eastAsia" w:ascii="仿宋" w:hAnsi="仿宋" w:eastAsia="仿宋" w:cs="仿宋"/>
          <w:color w:val="auto"/>
          <w:sz w:val="28"/>
          <w:szCs w:val="28"/>
          <w:highlight w:val="none"/>
          <w:lang w:val="en-US" w:eastAsia="zh-CN"/>
        </w:rPr>
        <w:t>支架</w:t>
      </w:r>
      <w:r>
        <w:rPr>
          <w:rFonts w:hint="eastAsia" w:ascii="仿宋" w:hAnsi="仿宋" w:eastAsia="仿宋" w:cs="仿宋"/>
          <w:color w:val="auto"/>
          <w:sz w:val="28"/>
          <w:szCs w:val="28"/>
          <w:highlight w:val="none"/>
          <w:lang w:eastAsia="zh-CN"/>
        </w:rPr>
        <w:t>初撑力，做好工作面支架及两顺槽单元支架初撑力观测，保证初撑力符合规定。</w:t>
      </w:r>
    </w:p>
    <w:p w14:paraId="14AA7232">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2.操作过程中存在的伤人风险：</w:t>
      </w:r>
    </w:p>
    <w:p w14:paraId="7D542F2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风险描述：支架、液压系统、管线连</w:t>
      </w:r>
      <w:r>
        <w:rPr>
          <w:rFonts w:hint="eastAsia" w:ascii="仿宋" w:hAnsi="仿宋" w:eastAsia="仿宋" w:cs="仿宋"/>
          <w:color w:val="auto"/>
          <w:sz w:val="28"/>
          <w:szCs w:val="28"/>
          <w:highlight w:val="none"/>
          <w:lang w:val="en-US" w:eastAsia="zh-CN"/>
        </w:rPr>
        <w:t>接不完好，支架架间间隙、错茬漏矸，存在伤人风险</w:t>
      </w:r>
      <w:r>
        <w:rPr>
          <w:rFonts w:hint="eastAsia" w:ascii="仿宋" w:hAnsi="仿宋" w:eastAsia="仿宋" w:cs="仿宋"/>
          <w:color w:val="auto"/>
          <w:sz w:val="28"/>
          <w:szCs w:val="28"/>
          <w:highlight w:val="none"/>
          <w:lang w:eastAsia="zh-CN"/>
        </w:rPr>
        <w:t>。</w:t>
      </w:r>
    </w:p>
    <w:p w14:paraId="39CB61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移架前，对支架</w:t>
      </w:r>
      <w:r>
        <w:rPr>
          <w:rFonts w:hint="eastAsia" w:ascii="仿宋" w:hAnsi="仿宋" w:eastAsia="仿宋" w:cs="仿宋"/>
          <w:color w:val="auto"/>
          <w:sz w:val="28"/>
          <w:szCs w:val="28"/>
          <w:highlight w:val="none"/>
        </w:rPr>
        <w:t>支护情况和各连接管路情况</w:t>
      </w:r>
      <w:r>
        <w:rPr>
          <w:rFonts w:hint="eastAsia" w:ascii="仿宋" w:hAnsi="仿宋" w:eastAsia="仿宋" w:cs="仿宋"/>
          <w:color w:val="auto"/>
          <w:sz w:val="28"/>
          <w:szCs w:val="28"/>
          <w:highlight w:val="none"/>
          <w:lang w:val="en-US" w:eastAsia="zh-CN"/>
        </w:rPr>
        <w:t>进行全面排查，发现不完好的立即处理。</w:t>
      </w:r>
    </w:p>
    <w:p w14:paraId="2E6E09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②风险描述：操作支架前，未检查支架周围三个支架内有其他人员作业</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rPr>
        <w:t>；</w:t>
      </w:r>
    </w:p>
    <w:p w14:paraId="521B58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移架作业时，观察周围情况，确保安全的情况下方可作业。</w:t>
      </w:r>
    </w:p>
    <w:p w14:paraId="38294FC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③风险描述：采煤机割煤时，未及时收回护帮板</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rPr>
        <w:t>；</w:t>
      </w:r>
    </w:p>
    <w:p w14:paraId="0410D53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管控措施：采煤机割煤时，必须提前将支架护帮板收回</w:t>
      </w:r>
      <w:r>
        <w:rPr>
          <w:rFonts w:hint="eastAsia" w:ascii="仿宋" w:hAnsi="仿宋" w:eastAsia="仿宋" w:cs="仿宋"/>
          <w:color w:val="auto"/>
          <w:sz w:val="28"/>
          <w:szCs w:val="28"/>
          <w:highlight w:val="none"/>
          <w:lang w:eastAsia="zh-CN"/>
        </w:rPr>
        <w:t>。</w:t>
      </w:r>
    </w:p>
    <w:p w14:paraId="1B546806">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3.移架后存在的伤人风险：</w:t>
      </w:r>
    </w:p>
    <w:p w14:paraId="5488186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风险描述：采煤机割煤后，未及时打出伸缩梁和护帮板</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易发生顶板矸石掉落伤人风险</w:t>
      </w:r>
      <w:r>
        <w:rPr>
          <w:rFonts w:hint="eastAsia" w:ascii="仿宋" w:hAnsi="仿宋" w:eastAsia="仿宋" w:cs="仿宋"/>
          <w:color w:val="auto"/>
          <w:sz w:val="28"/>
          <w:szCs w:val="28"/>
          <w:highlight w:val="none"/>
        </w:rPr>
        <w:t>；</w:t>
      </w:r>
    </w:p>
    <w:p w14:paraId="7195A4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管控措施：煤机割过煤后，必须及时将伸缩梁和护帮板打出维护顶板及煤帮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顶板破碎段及时超前移架。</w:t>
      </w:r>
    </w:p>
    <w:p w14:paraId="06C608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②风险描述：移架后，</w:t>
      </w:r>
      <w:r>
        <w:rPr>
          <w:rFonts w:hint="eastAsia" w:ascii="仿宋" w:hAnsi="仿宋" w:eastAsia="仿宋" w:cs="仿宋"/>
          <w:color w:val="auto"/>
          <w:sz w:val="28"/>
          <w:szCs w:val="28"/>
          <w:highlight w:val="none"/>
          <w:lang w:val="en-US" w:eastAsia="zh-CN"/>
        </w:rPr>
        <w:t>支架未接顶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把手未复位</w:t>
      </w:r>
      <w:r>
        <w:rPr>
          <w:rFonts w:hint="eastAsia" w:ascii="仿宋" w:hAnsi="仿宋" w:eastAsia="仿宋" w:cs="仿宋"/>
          <w:color w:val="auto"/>
          <w:sz w:val="28"/>
          <w:szCs w:val="28"/>
          <w:highlight w:val="none"/>
        </w:rPr>
        <w:t>，支架初撑力达不到规定要求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存在顶板掉落矸石伤人风险；</w:t>
      </w:r>
    </w:p>
    <w:p w14:paraId="2EC29B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管控措施：移架后，支架工必须检查支架顶梁接顶情况，初撑力是否符合规定，发现不接顶或初撑力不够时，必须调整支架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顶板破碎段及时前移支架。</w:t>
      </w:r>
    </w:p>
    <w:p w14:paraId="46DC107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移架前检查</w:t>
      </w:r>
    </w:p>
    <w:p w14:paraId="54FB45F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16" w:name="_Toc23358"/>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顶帮：</w:t>
      </w:r>
      <w:bookmarkEnd w:id="116"/>
      <w:r>
        <w:rPr>
          <w:rFonts w:hint="eastAsia" w:ascii="仿宋" w:hAnsi="仿宋" w:eastAsia="仿宋" w:cs="仿宋"/>
          <w:color w:val="auto"/>
          <w:sz w:val="28"/>
          <w:szCs w:val="28"/>
          <w:highlight w:val="none"/>
        </w:rPr>
        <w:t>顶、帮完好，无冒顶、漏矸、片帮。</w:t>
      </w:r>
    </w:p>
    <w:p w14:paraId="7380502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17" w:name="_Toc24671"/>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支架、液压系统、管线连接：</w:t>
      </w:r>
      <w:bookmarkEnd w:id="117"/>
      <w:r>
        <w:rPr>
          <w:rFonts w:hint="eastAsia" w:ascii="仿宋" w:hAnsi="仿宋" w:eastAsia="仿宋" w:cs="仿宋"/>
          <w:color w:val="auto"/>
          <w:sz w:val="28"/>
          <w:szCs w:val="28"/>
          <w:highlight w:val="none"/>
        </w:rPr>
        <w:t>顶梁、侧护板、千斤顶、立柱、推移滑块、底座等无开焊、断裂、变形，钢编胶管无损伤、挤压、扭曲、拉紧、破皮断裂，液压系统无串液、漏液，U型卡连接牢固，无单边卡。</w:t>
      </w:r>
    </w:p>
    <w:p w14:paraId="5496F0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18" w:name="_Toc27938"/>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支架间隙、错茬：</w:t>
      </w:r>
      <w:bookmarkEnd w:id="118"/>
      <w:r>
        <w:rPr>
          <w:rFonts w:hint="eastAsia" w:ascii="仿宋" w:hAnsi="仿宋" w:eastAsia="仿宋" w:cs="仿宋"/>
          <w:color w:val="auto"/>
          <w:sz w:val="28"/>
          <w:szCs w:val="28"/>
          <w:highlight w:val="none"/>
        </w:rPr>
        <w:t>相邻支架不分架（间隙不超过</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00mm）、不挤架、不咬架，错茬不大于支架侧护板的三分之二。</w:t>
      </w:r>
    </w:p>
    <w:p w14:paraId="33ED52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19" w:name="_Toc18067"/>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与溜子连接：</w:t>
      </w:r>
      <w:bookmarkEnd w:id="119"/>
      <w:r>
        <w:rPr>
          <w:rFonts w:hint="eastAsia" w:ascii="仿宋" w:hAnsi="仿宋" w:eastAsia="仿宋" w:cs="仿宋"/>
          <w:color w:val="auto"/>
          <w:sz w:val="28"/>
          <w:szCs w:val="28"/>
          <w:highlight w:val="none"/>
        </w:rPr>
        <w:t>横销、竖销、挡圈连接牢固，十字头完整。</w:t>
      </w:r>
    </w:p>
    <w:p w14:paraId="2D0DD1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0" w:name="_Toc32386"/>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与煤机距离：</w:t>
      </w:r>
      <w:bookmarkEnd w:id="120"/>
      <w:r>
        <w:rPr>
          <w:rFonts w:hint="eastAsia" w:ascii="仿宋" w:hAnsi="仿宋" w:eastAsia="仿宋" w:cs="仿宋"/>
          <w:color w:val="auto"/>
          <w:sz w:val="28"/>
          <w:szCs w:val="28"/>
          <w:highlight w:val="none"/>
        </w:rPr>
        <w:t>移架时，距离煤机后滚筒 3-5架。</w:t>
      </w:r>
    </w:p>
    <w:p w14:paraId="2E00F93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1" w:name="_Toc32672"/>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站位、后退路：</w:t>
      </w:r>
      <w:bookmarkEnd w:id="121"/>
      <w:r>
        <w:rPr>
          <w:rFonts w:hint="eastAsia" w:ascii="仿宋" w:hAnsi="仿宋" w:eastAsia="仿宋" w:cs="仿宋"/>
          <w:color w:val="auto"/>
          <w:sz w:val="28"/>
          <w:szCs w:val="28"/>
          <w:highlight w:val="none"/>
        </w:rPr>
        <w:t>本架操作时必须站在安全地点，面向煤壁操作，严禁身体探入刮板输送机挡煤板内或脚蹬液压支架底座前端或滑块操作。后路无影响撤退的障碍物。</w:t>
      </w:r>
    </w:p>
    <w:p w14:paraId="7C3AB8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rPr>
        <w:t>口罩：口罩已佩戴</w:t>
      </w:r>
      <w:r>
        <w:rPr>
          <w:rFonts w:hint="eastAsia" w:ascii="仿宋" w:hAnsi="仿宋" w:eastAsia="仿宋" w:cs="仿宋"/>
          <w:color w:val="auto"/>
          <w:sz w:val="28"/>
          <w:szCs w:val="28"/>
          <w:highlight w:val="none"/>
          <w:lang w:eastAsia="zh-CN"/>
        </w:rPr>
        <w:t>。</w:t>
      </w:r>
    </w:p>
    <w:p w14:paraId="3CEEC8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5米范围内无其他人员及障碍物：移架范围内无影响移架的障碍物。移架时，其下方和前方不得有其他人员；移动端头支架、过渡支架时，必须在其他人员撤到安全地点之后方可操作。</w:t>
      </w:r>
    </w:p>
    <w:p w14:paraId="5A8101E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二</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单元检查表确认：</w:t>
      </w:r>
    </w:p>
    <w:p w14:paraId="5ADEF7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1.操纵阀组及液压元件：完好且无窜漏液。</w:t>
      </w:r>
    </w:p>
    <w:p w14:paraId="1325B8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2.千斤顶：千斤顶无窜漏液。</w:t>
      </w:r>
    </w:p>
    <w:p w14:paraId="2C64CD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3.各类连接销轴：各类连接销轴齐全紧固。</w:t>
      </w:r>
    </w:p>
    <w:p w14:paraId="52ED80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4.高压管路：高压管路连接可靠，无磨损。</w:t>
      </w:r>
    </w:p>
    <w:p w14:paraId="20697D9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5.喷雾系统：喷雾系统正常，雾化效果好。</w:t>
      </w:r>
    </w:p>
    <w:p w14:paraId="69B177E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6.操作手把：操作手把灵活可靠。</w:t>
      </w:r>
    </w:p>
    <w:p w14:paraId="4E832CD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五、液压支架工正规操作</w:t>
      </w:r>
    </w:p>
    <w:p w14:paraId="5BB0741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(一)液压支架工操作顺序</w:t>
      </w:r>
    </w:p>
    <w:p w14:paraId="5A900B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检查巡视→收回护帮板、伸缩梁→操作前梁千斤顶→降立柱→移架→调整支架→升紧立柱→伸出伸缩梁、护帮板、侧护板→手把归位。</w:t>
      </w:r>
    </w:p>
    <w:p w14:paraId="5959BCA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(二）液压支架工正规操作</w:t>
      </w:r>
    </w:p>
    <w:p w14:paraId="325D1E5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1.检查巡视：按照液压支架工提示卡中的开机前检查确认无误后，方可操作。</w:t>
      </w:r>
    </w:p>
    <w:p w14:paraId="23DD5C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2.收回护帮板、伸缩梁：操作阀组收回护帮板、伸缩梁。</w:t>
      </w:r>
    </w:p>
    <w:p w14:paraId="0830D4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3.操作前梁千斤顶：操作前梁千斤顶使前梁略微降低。</w:t>
      </w:r>
    </w:p>
    <w:p w14:paraId="7BDFAF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4.降立柱：降立柱使顶梁略微离开顶板。</w:t>
      </w:r>
    </w:p>
    <w:p w14:paraId="624CA1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5.移架:当支架可移动时停止降柱，将支架移至规定步距。</w:t>
      </w:r>
    </w:p>
    <w:p w14:paraId="52FD375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6.调整支架:调架使推移千斤顶与刮板输送机保持垂直、支架不歪斜、中心距符合规定，保证工作面支架排成直线。</w:t>
      </w:r>
    </w:p>
    <w:p w14:paraId="6ECBAC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7.升紧立柱：升柱使顶梁与顶板严密接触后继续供液约3-5秒钟，以保证达到初撑力。</w:t>
      </w:r>
    </w:p>
    <w:p w14:paraId="52F1ED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8.伸出伸缩梁、护帮板、侧护板：伸出伸缩梁、升紧前梁，伸出护帮板顶住煤壁，伸出侧护板使其紧靠相邻支架。</w:t>
      </w:r>
    </w:p>
    <w:p w14:paraId="7252AC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9.手把归位：将各操作手把扳回到“零”位。</w:t>
      </w:r>
    </w:p>
    <w:p w14:paraId="6F9B9098">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left"/>
        <w:textAlignment w:val="auto"/>
        <w:outlineLvl w:val="9"/>
        <w:rPr>
          <w:rFonts w:hint="eastAsia"/>
          <w:color w:val="auto"/>
        </w:rPr>
      </w:pPr>
      <w:r>
        <w:rPr>
          <w:rFonts w:hint="eastAsia" w:ascii="仿宋" w:hAnsi="仿宋" w:eastAsia="仿宋" w:cs="仿宋"/>
          <w:b/>
          <w:color w:val="auto"/>
          <w:sz w:val="28"/>
          <w:szCs w:val="28"/>
          <w:highlight w:val="none"/>
          <w:lang w:val="en-US" w:eastAsia="zh-CN"/>
        </w:rPr>
        <w:t>六、液压支架工</w:t>
      </w:r>
      <w:r>
        <w:rPr>
          <w:rFonts w:hint="eastAsia" w:ascii="仿宋" w:hAnsi="仿宋" w:eastAsia="仿宋" w:cs="仿宋"/>
          <w:b/>
          <w:color w:val="auto"/>
          <w:sz w:val="28"/>
          <w:szCs w:val="28"/>
          <w:highlight w:val="none"/>
        </w:rPr>
        <w:t>操作过程中的安全注意事项：</w:t>
      </w:r>
    </w:p>
    <w:p w14:paraId="659D136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default"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（一）移架</w:t>
      </w:r>
    </w:p>
    <w:p w14:paraId="151020A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1.看环境：</w:t>
      </w:r>
      <w:r>
        <w:rPr>
          <w:rFonts w:hint="eastAsia" w:ascii="仿宋" w:hAnsi="仿宋" w:eastAsia="仿宋" w:cs="仿宋"/>
          <w:color w:val="auto"/>
          <w:sz w:val="28"/>
          <w:szCs w:val="28"/>
          <w:highlight w:val="none"/>
          <w:lang w:val="en-US" w:eastAsia="zh-CN"/>
        </w:rPr>
        <w:t>顶板、煤壁是否完整；左右3架内不得有人。</w:t>
      </w:r>
    </w:p>
    <w:p w14:paraId="7F3D6B8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2.移好架：</w:t>
      </w:r>
      <w:r>
        <w:rPr>
          <w:rFonts w:hint="eastAsia" w:ascii="仿宋" w:hAnsi="仿宋" w:eastAsia="仿宋" w:cs="仿宋"/>
          <w:color w:val="auto"/>
          <w:sz w:val="28"/>
          <w:szCs w:val="28"/>
          <w:highlight w:val="none"/>
          <w:lang w:val="en-US" w:eastAsia="zh-CN"/>
        </w:rPr>
        <w:t>防伤手；把手闭锁；防咬架错架。</w:t>
      </w:r>
    </w:p>
    <w:p w14:paraId="0255122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3.站好位：</w:t>
      </w:r>
      <w:r>
        <w:rPr>
          <w:rFonts w:hint="eastAsia" w:ascii="仿宋" w:hAnsi="仿宋" w:eastAsia="仿宋" w:cs="仿宋"/>
          <w:color w:val="auto"/>
          <w:sz w:val="28"/>
          <w:szCs w:val="28"/>
          <w:highlight w:val="none"/>
          <w:lang w:val="en-US" w:eastAsia="zh-CN"/>
        </w:rPr>
        <w:t>人员站在支架下进行操作，后退路畅通。</w:t>
      </w:r>
    </w:p>
    <w:p w14:paraId="57D0CEE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（二）推溜</w:t>
      </w:r>
    </w:p>
    <w:p w14:paraId="744218A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1.看环境：</w:t>
      </w:r>
      <w:r>
        <w:rPr>
          <w:rFonts w:hint="eastAsia" w:ascii="仿宋" w:hAnsi="仿宋" w:eastAsia="仿宋" w:cs="仿宋"/>
          <w:color w:val="auto"/>
          <w:sz w:val="28"/>
          <w:szCs w:val="28"/>
          <w:highlight w:val="none"/>
          <w:lang w:val="en-US" w:eastAsia="zh-CN"/>
        </w:rPr>
        <w:t>周围有无人员;后退路是否畅通。</w:t>
      </w:r>
    </w:p>
    <w:p w14:paraId="3F9BECD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2.推好溜：</w:t>
      </w:r>
      <w:r>
        <w:rPr>
          <w:rFonts w:hint="eastAsia" w:ascii="仿宋" w:hAnsi="仿宋" w:eastAsia="仿宋" w:cs="仿宋"/>
          <w:color w:val="auto"/>
          <w:sz w:val="28"/>
          <w:szCs w:val="28"/>
          <w:highlight w:val="none"/>
          <w:lang w:val="en-US" w:eastAsia="zh-CN"/>
        </w:rPr>
        <w:t>防伤手;把手闭锁。</w:t>
      </w:r>
    </w:p>
    <w:p w14:paraId="79692B4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b/>
          <w:bCs/>
          <w:color w:val="auto"/>
          <w:sz w:val="28"/>
          <w:szCs w:val="28"/>
          <w:highlight w:val="none"/>
          <w:lang w:val="en-US" w:eastAsia="zh-CN"/>
        </w:rPr>
        <w:t>站好位：</w:t>
      </w:r>
      <w:r>
        <w:rPr>
          <w:rFonts w:hint="eastAsia" w:ascii="仿宋" w:hAnsi="仿宋" w:eastAsia="仿宋" w:cs="仿宋"/>
          <w:color w:val="auto"/>
          <w:sz w:val="28"/>
          <w:szCs w:val="28"/>
          <w:highlight w:val="none"/>
          <w:lang w:val="en-US" w:eastAsia="zh-CN"/>
        </w:rPr>
        <w:t>人员站在支架中间进行操作。</w:t>
      </w:r>
    </w:p>
    <w:p w14:paraId="5F61A609">
      <w:pPr>
        <w:pStyle w:val="2"/>
        <w:keepNext w:val="0"/>
        <w:keepLines w:val="0"/>
        <w:pageBreakBefore w:val="0"/>
        <w:widowControl w:val="0"/>
        <w:kinsoku/>
        <w:wordWrap/>
        <w:overflowPunct/>
        <w:topLinePunct w:val="0"/>
        <w:autoSpaceDE/>
        <w:autoSpaceDN/>
        <w:bidi w:val="0"/>
        <w:adjustRightInd/>
        <w:snapToGrid/>
        <w:spacing w:after="0" w:line="500" w:lineRule="exact"/>
        <w:ind w:left="0" w:leftChars="0" w:firstLine="562" w:firstLineChars="200"/>
        <w:jc w:val="both"/>
        <w:textAlignment w:val="auto"/>
        <w:outlineLvl w:val="9"/>
        <w:rPr>
          <w:rFonts w:hint="eastAsia" w:ascii="仿宋" w:hAnsi="仿宋" w:eastAsia="仿宋" w:cs="仿宋"/>
          <w:b/>
          <w:bCs/>
          <w:color w:val="auto"/>
          <w:kern w:val="2"/>
          <w:sz w:val="28"/>
          <w:szCs w:val="28"/>
          <w:highlight w:val="none"/>
          <w:lang w:val="en-US" w:eastAsia="zh-CN" w:bidi="ar-SA"/>
        </w:rPr>
      </w:pPr>
      <w:r>
        <w:rPr>
          <w:rFonts w:hint="eastAsia" w:ascii="仿宋" w:hAnsi="仿宋" w:eastAsia="仿宋" w:cs="仿宋"/>
          <w:b/>
          <w:bCs/>
          <w:color w:val="auto"/>
          <w:kern w:val="2"/>
          <w:sz w:val="28"/>
          <w:szCs w:val="28"/>
          <w:highlight w:val="none"/>
          <w:lang w:val="en-US" w:eastAsia="zh-CN" w:bidi="ar-SA"/>
        </w:rPr>
        <w:t>七、全部注意事项</w:t>
      </w:r>
    </w:p>
    <w:p w14:paraId="1B333DC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kern w:val="2"/>
          <w:sz w:val="28"/>
          <w:szCs w:val="28"/>
          <w:highlight w:val="none"/>
          <w:lang w:val="en-US" w:eastAsia="zh-CN" w:bidi="ar-SA"/>
        </w:rPr>
        <w:t>1.每次移架前先检查好本架管路、线缆不得刮卡，清除架前、架间杂物，以防挤压各种管路、线缆。</w:t>
      </w:r>
    </w:p>
    <w:p w14:paraId="1584030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2.移架时要随时调整支架，不得出现前倾后仰或咬架倒架现象，降架同时要保证支架喷雾正常。</w:t>
      </w:r>
    </w:p>
    <w:p w14:paraId="599409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3.采煤机割煤过后要立即伸出伸缩梁维护顶板。</w:t>
      </w:r>
    </w:p>
    <w:p w14:paraId="5C6CAA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4.若降架幅度低于邻架侧护板时，升架前应先收回邻架侧护板，待升柱后再伸出邻架侧护板。</w:t>
      </w:r>
    </w:p>
    <w:p w14:paraId="506C56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5.若移架受阻达不到规定步距，要将操作手把置于断液位置，查出原因处理后再继续操作。</w:t>
      </w:r>
    </w:p>
    <w:p w14:paraId="121E0E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6.操作支架时必须站在安全位置，面向煤壁操作，严禁身体探到立柱以外或站在推拉杆上操作。</w:t>
      </w:r>
    </w:p>
    <w:p w14:paraId="699B5C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7.移架时，被移支架及相邻支架下方不得有其他人停留，工作面有防滑装置时要看护好，严防崩链伤人。移动端头支架时，除移架工外，其余人员一律撤到安全地点。</w:t>
      </w:r>
    </w:p>
    <w:p w14:paraId="33EA15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8.移架时，上、下邻架要接顶有力，顶板破碎时要做好擦顶带压移架，做到少降快移。</w:t>
      </w:r>
    </w:p>
    <w:p w14:paraId="3556F6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9.移架时，被移支架周围保证至少有2架打在推溜位置。</w:t>
      </w:r>
    </w:p>
    <w:p w14:paraId="43CC8A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10.移架时，相邻两部支架严禁同时降架前移。</w:t>
      </w:r>
    </w:p>
    <w:p w14:paraId="020A49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11.拉架步距严格保持正常范围，工作面支架要成线，其偏差符合规程规定。</w:t>
      </w:r>
    </w:p>
    <w:p w14:paraId="6A2910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12.支架顶梁与顶扳接触密实，相邻支架间不能有明显的错差。</w:t>
      </w:r>
    </w:p>
    <w:p w14:paraId="4EC0C30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13.支架操作前要认真检查高压管路、销轴、阀组和各千斤顶，确认完好后方可操作，以防止高压液和各物件破损伤人。</w:t>
      </w:r>
    </w:p>
    <w:p w14:paraId="59205A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14.支架拉到位后开始升立柱，要保证其初撑力达到规定值要求。</w:t>
      </w:r>
    </w:p>
    <w:p w14:paraId="7B36CBE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15.推移时，要保证刮板输送机弯曲段长度不少于18m。</w:t>
      </w:r>
    </w:p>
    <w:p w14:paraId="6F1CB9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16.推移要按顺序进行，可自上而下、自下而上或从中间向两头推移刮板输送机，不得由两头向中间推溜。</w:t>
      </w:r>
    </w:p>
    <w:p w14:paraId="77FB03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17.除刮板输送机机头、机尾可停机推移外，工作面内溜槽应在刮板输送机运行中推移。</w:t>
      </w:r>
    </w:p>
    <w:p w14:paraId="1CB0B5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18.推移时，刮板输送机与煤壁之间、本架及邻架推拉杆上严禁有人。</w:t>
      </w:r>
    </w:p>
    <w:p w14:paraId="23900B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19.推移时，要注意好工作面防滑装置，当防滑装置紧起来时，工作人员必须躲在防滑链崩链包围区域以外的安全地点。</w:t>
      </w:r>
    </w:p>
    <w:p w14:paraId="75CFC1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20.推移到位后，应及时将各操作手把扳到停止位置。</w:t>
      </w:r>
    </w:p>
    <w:p w14:paraId="44B6E2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21.推移后，要及时进行调整使刮板输送机保持直线。</w:t>
      </w:r>
    </w:p>
    <w:p w14:paraId="26295EF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22" w:name="_Toc24692"/>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、移架后确认</w:t>
      </w:r>
      <w:bookmarkEnd w:id="122"/>
    </w:p>
    <w:p w14:paraId="5E8DDB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3" w:name="_Toc13467"/>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前梁、护帮板、侧护板：</w:t>
      </w:r>
      <w:bookmarkEnd w:id="123"/>
      <w:r>
        <w:rPr>
          <w:rFonts w:hint="eastAsia" w:ascii="仿宋" w:hAnsi="仿宋" w:eastAsia="仿宋" w:cs="仿宋"/>
          <w:color w:val="auto"/>
          <w:sz w:val="28"/>
          <w:szCs w:val="28"/>
          <w:highlight w:val="none"/>
        </w:rPr>
        <w:t>前梁接顶，护帮板、侧护板打开。</w:t>
      </w:r>
    </w:p>
    <w:p w14:paraId="6669B4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4" w:name="_Toc10927"/>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管路无挤压：</w:t>
      </w:r>
      <w:bookmarkEnd w:id="124"/>
      <w:r>
        <w:rPr>
          <w:rFonts w:hint="eastAsia" w:ascii="仿宋" w:hAnsi="仿宋" w:eastAsia="仿宋" w:cs="仿宋"/>
          <w:color w:val="auto"/>
          <w:sz w:val="28"/>
          <w:szCs w:val="28"/>
          <w:highlight w:val="none"/>
        </w:rPr>
        <w:t>管路无损伤，无漏液现象。</w:t>
      </w:r>
    </w:p>
    <w:p w14:paraId="64D399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5" w:name="_Toc11659"/>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支架与溜子直线性：</w:t>
      </w:r>
      <w:bookmarkEnd w:id="125"/>
      <w:r>
        <w:rPr>
          <w:rFonts w:hint="eastAsia" w:ascii="仿宋" w:hAnsi="仿宋" w:eastAsia="仿宋" w:cs="仿宋"/>
          <w:color w:val="auto"/>
          <w:sz w:val="28"/>
          <w:szCs w:val="28"/>
          <w:highlight w:val="none"/>
        </w:rPr>
        <w:t>支架、溜子成一条直线，偏差不超过±50mm。</w:t>
      </w:r>
    </w:p>
    <w:p w14:paraId="176DBF3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6" w:name="_Toc32666"/>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支护质量：</w:t>
      </w:r>
      <w:bookmarkEnd w:id="126"/>
      <w:r>
        <w:rPr>
          <w:rFonts w:hint="eastAsia" w:ascii="仿宋" w:hAnsi="仿宋" w:eastAsia="仿宋" w:cs="仿宋"/>
          <w:color w:val="auto"/>
          <w:sz w:val="28"/>
          <w:szCs w:val="28"/>
          <w:highlight w:val="none"/>
        </w:rPr>
        <w:t>支架初撑力参照压力表显示数值不得小于24MPa。支架要排成一条直线，其偏差不得超过50mm。支架中心距为1500mm，中心距误差不超过100mm，侧护板正常使用。两端头支架不得滞后拉移。支架接顶严实，支架顶梁与顶板平行支设，其最大仰俯角≤7°。相邻支架间不能有明显错差（不超过支架顶梁侧护板高的2/3），架间空隙不超过规定100mm，且支架不挤、不咬。</w:t>
      </w:r>
    </w:p>
    <w:p w14:paraId="79AF60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color w:val="auto"/>
        </w:rPr>
      </w:pPr>
      <w:bookmarkStart w:id="127" w:name="_Toc7092"/>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把手、闭锁：</w:t>
      </w:r>
      <w:bookmarkEnd w:id="127"/>
      <w:r>
        <w:rPr>
          <w:rFonts w:hint="eastAsia" w:ascii="仿宋" w:hAnsi="仿宋" w:eastAsia="仿宋" w:cs="仿宋"/>
          <w:color w:val="auto"/>
          <w:sz w:val="28"/>
          <w:szCs w:val="28"/>
          <w:highlight w:val="none"/>
        </w:rPr>
        <w:t>支架把手复零位。</w:t>
      </w:r>
    </w:p>
    <w:p w14:paraId="30C4C8B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、事故案例教育</w:t>
      </w:r>
    </w:p>
    <w:p w14:paraId="09FC95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6C5A61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2011年1月4日早班7：30时，综放队副队长纪秀波主持召开班前会，对现场安全工作进行了强调。随后工长曲乐云带领生产班人员下井到4210面进行了现场分工，然后进行正常回采工作。当采煤机割完第三遍溜尾下行过程中，负责溜尾的头长王绍忠在操作73#支架前移过程中，当73#架前移65cm左右时遇阻，此时王绍忠在支架移架阀未归零的情况下便操作侧护板阀组，当侧护板一内收，支架突然前移，造成王绍忠身体重心失稳，将站在支架虎头上的右脚滑入溜尾减速机和虎头之间，将其右腿挤伤，造成右小腿胫骨骨折。</w:t>
      </w:r>
    </w:p>
    <w:p w14:paraId="058F77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0B3DF04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1754F7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伤者王绍忠身为负责溜尾安全管理的头长，安全意识差，图省事违章操作，在移架过程中支架遇阻后未将移架阀归零的情况下，便操作侧护板阀组，此时支架受力状态改变，支架突然前移，造成自己重心失稳，导致右脚滑入溜尾减速机和虎头之间，是事故发生的直接原因。</w:t>
      </w:r>
    </w:p>
    <w:p w14:paraId="116A352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72D705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（1）由于设备配套关系，致使溜尾支架操作空间狭窄，存在操作设备不方便的因素，工区没有针对特殊区域存在的潜在危险制定切实可行的操作防范措施，是事故发生的主要原因。</w:t>
      </w:r>
    </w:p>
    <w:p w14:paraId="64DC05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（2）工长曲乐云班组安全管理不到位，在负责溜尾段副工长休班的情况下没有专门安排专人重点盯靠该重点部位，对重点部位规范操作也没有及时提醒，是事故发生的重要原因。</w:t>
      </w:r>
    </w:p>
    <w:p w14:paraId="47D958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当班安监员现场安全监督检查不到位，对安全重点部位盯靠不到位，也是事故发生一个原因。</w:t>
      </w:r>
    </w:p>
    <w:p w14:paraId="753629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7F838F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综放队要认真吸取事故教训，进行自我剖析，举一反三，认真查找在管理中存在的问题和漏洞，进一步规范各岗位工按章操作标准和流程，严格按照规程措施要求操作。</w:t>
      </w:r>
    </w:p>
    <w:p w14:paraId="4A59D9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采煤专业各单位支架工在操作支架过程中处理问题或停止移架时必须将阀组回“零”，然后方可处理其它问题。</w:t>
      </w:r>
    </w:p>
    <w:p w14:paraId="47D0F4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全矿各单位立即开展“反三违、反事故”活动，进一步规范员工操作行为，提高对安全工作的重视程度，提高班前会质量，区队正职必须三班参加班前会。</w:t>
      </w:r>
    </w:p>
    <w:p w14:paraId="2CBA8A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进一步强化班组长以上管理人员的安全履责意识，在现场检查工作中认真负责，做好现场隐患排查，对薄弱班次和薄弱环节进行重点盯靠。</w:t>
      </w:r>
    </w:p>
    <w:p w14:paraId="5D06DD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进一步加大对班组的安全生产责任制落实，发挥好班组自主安全管理职能，彻底消除现场各种不安全隐患。</w:t>
      </w:r>
    </w:p>
    <w:p w14:paraId="6AC9C0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加强对职工的安全教育培训，严格特殊岗位作业人员的规范操作，教育员工自觉规范上岗作业，严格按照规范流程操作，做到干标准活，上标准岗，牢固树立安全第一的思想。</w:t>
      </w:r>
    </w:p>
    <w:p w14:paraId="68EA82A5">
      <w:pPr>
        <w:keepNext w:val="0"/>
        <w:keepLines w:val="0"/>
        <w:pageBreakBefore w:val="0"/>
        <w:widowControl w:val="0"/>
        <w:kinsoku/>
        <w:wordWrap/>
        <w:overflowPunct/>
        <w:topLinePunct w:val="0"/>
        <w:autoSpaceDE/>
        <w:autoSpaceDN/>
        <w:bidi w:val="0"/>
        <w:adjustRightInd/>
        <w:snapToGrid/>
        <w:spacing w:line="48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十</w:t>
      </w:r>
      <w:r>
        <w:rPr>
          <w:rFonts w:hint="eastAsia" w:ascii="仿宋" w:hAnsi="仿宋" w:eastAsia="仿宋" w:cs="仿宋"/>
          <w:b/>
          <w:bCs/>
          <w:color w:val="auto"/>
          <w:sz w:val="28"/>
          <w:szCs w:val="28"/>
          <w:highlight w:val="none"/>
        </w:rPr>
        <w:t>、常见三违</w:t>
      </w:r>
    </w:p>
    <w:p w14:paraId="20F33099">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无证或证件过期上岗作业的</w:t>
      </w:r>
      <w:r>
        <w:rPr>
          <w:rFonts w:hint="eastAsia" w:ascii="仿宋" w:hAnsi="仿宋" w:eastAsia="仿宋" w:cs="仿宋"/>
          <w:color w:val="auto"/>
          <w:sz w:val="28"/>
          <w:szCs w:val="28"/>
          <w:highlight w:val="none"/>
          <w:lang w:eastAsia="zh-CN"/>
        </w:rPr>
        <w:t>；</w:t>
      </w:r>
    </w:p>
    <w:p w14:paraId="71920FA4">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脱岗、睡岗的</w:t>
      </w:r>
      <w:r>
        <w:rPr>
          <w:rFonts w:hint="eastAsia" w:ascii="仿宋" w:hAnsi="仿宋" w:eastAsia="仿宋" w:cs="仿宋"/>
          <w:color w:val="auto"/>
          <w:sz w:val="28"/>
          <w:szCs w:val="28"/>
          <w:highlight w:val="none"/>
          <w:lang w:eastAsia="zh-CN"/>
        </w:rPr>
        <w:t>；</w:t>
      </w:r>
    </w:p>
    <w:p w14:paraId="64A5F42C">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支架更换胶管不先进行卸压</w:t>
      </w:r>
      <w:r>
        <w:rPr>
          <w:rFonts w:hint="eastAsia" w:ascii="仿宋" w:hAnsi="仿宋" w:eastAsia="仿宋" w:cs="仿宋"/>
          <w:color w:val="auto"/>
          <w:sz w:val="28"/>
          <w:szCs w:val="28"/>
          <w:highlight w:val="none"/>
          <w:lang w:eastAsia="zh-CN"/>
        </w:rPr>
        <w:t>；</w:t>
      </w:r>
    </w:p>
    <w:p w14:paraId="05433530">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用支架千斤顶活柱起吊重物</w:t>
      </w:r>
      <w:r>
        <w:rPr>
          <w:rFonts w:hint="eastAsia" w:ascii="仿宋" w:hAnsi="仿宋" w:eastAsia="仿宋" w:cs="仿宋"/>
          <w:color w:val="auto"/>
          <w:sz w:val="28"/>
          <w:szCs w:val="28"/>
          <w:highlight w:val="none"/>
          <w:lang w:eastAsia="zh-CN"/>
        </w:rPr>
        <w:t>；</w:t>
      </w:r>
    </w:p>
    <w:p w14:paraId="18E73401">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不按照操作规程操作工作面支架</w:t>
      </w:r>
      <w:r>
        <w:rPr>
          <w:rFonts w:hint="eastAsia" w:ascii="仿宋" w:hAnsi="仿宋" w:eastAsia="仿宋" w:cs="仿宋"/>
          <w:color w:val="auto"/>
          <w:sz w:val="28"/>
          <w:szCs w:val="28"/>
          <w:highlight w:val="none"/>
          <w:lang w:eastAsia="zh-CN"/>
        </w:rPr>
        <w:t>；</w:t>
      </w:r>
    </w:p>
    <w:p w14:paraId="0408D6FD">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工作面推溜子时，人员站在移动推拉杆上</w:t>
      </w:r>
      <w:r>
        <w:rPr>
          <w:rFonts w:hint="eastAsia" w:ascii="仿宋" w:hAnsi="仿宋" w:eastAsia="仿宋" w:cs="仿宋"/>
          <w:color w:val="auto"/>
          <w:sz w:val="28"/>
          <w:szCs w:val="28"/>
          <w:highlight w:val="none"/>
          <w:lang w:eastAsia="zh-CN"/>
        </w:rPr>
        <w:t>或站在电缆槽与支架虎头之间；</w:t>
      </w:r>
    </w:p>
    <w:p w14:paraId="736B00F1">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（七）工作面移架时其相邻一部支架内有其他人员工作；</w:t>
      </w:r>
    </w:p>
    <w:p w14:paraId="2F03B27D">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（八）人员操纵阀组时，脚站在拉后溜千斤顶上；</w:t>
      </w:r>
    </w:p>
    <w:p w14:paraId="78BB26BE">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（九）工作面使用防滑防倒时，链范围内有人未及时躲开就推溜子；</w:t>
      </w:r>
    </w:p>
    <w:p w14:paraId="25E2FD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（十）工作面采煤机与移架脱节超过措施规定造成空顶。</w:t>
      </w:r>
    </w:p>
    <w:p w14:paraId="1EDABE00">
      <w:pPr>
        <w:rPr>
          <w:rFonts w:hint="eastAsia" w:ascii="仿宋" w:hAnsi="仿宋" w:eastAsia="仿宋" w:cs="仿宋"/>
          <w:b/>
          <w:color w:val="auto"/>
          <w:sz w:val="36"/>
          <w:szCs w:val="36"/>
          <w:highlight w:val="none"/>
          <w:lang w:val="en-US" w:eastAsia="zh-CN"/>
        </w:rPr>
      </w:pPr>
      <w:bookmarkStart w:id="128" w:name="_Toc30469"/>
      <w:bookmarkStart w:id="129" w:name="_Toc959"/>
      <w:r>
        <w:rPr>
          <w:rFonts w:hint="eastAsia" w:ascii="仿宋" w:hAnsi="仿宋" w:eastAsia="仿宋" w:cs="仿宋"/>
          <w:b/>
          <w:color w:val="auto"/>
          <w:sz w:val="36"/>
          <w:szCs w:val="36"/>
          <w:highlight w:val="none"/>
          <w:lang w:val="en-US" w:eastAsia="zh-CN"/>
        </w:rPr>
        <w:br w:type="page"/>
      </w:r>
    </w:p>
    <w:p w14:paraId="6B3B0CF8">
      <w:pPr>
        <w:keepNext w:val="0"/>
        <w:keepLines w:val="0"/>
        <w:pageBreakBefore w:val="0"/>
        <w:kinsoku/>
        <w:wordWrap/>
        <w:overflowPunct/>
        <w:topLinePunct w:val="0"/>
        <w:bidi w:val="0"/>
        <w:spacing w:before="312" w:beforeLines="100" w:after="312" w:afterLines="100"/>
        <w:jc w:val="center"/>
        <w:outlineLvl w:val="1"/>
        <w:rPr>
          <w:rFonts w:hint="default" w:ascii="仿宋" w:hAnsi="仿宋" w:eastAsia="仿宋" w:cs="仿宋"/>
          <w:b/>
          <w:bCs/>
          <w:color w:val="auto"/>
          <w:sz w:val="36"/>
          <w:szCs w:val="36"/>
          <w:highlight w:val="none"/>
          <w:lang w:val="en-US" w:eastAsia="zh-CN"/>
        </w:rPr>
      </w:pPr>
      <w:bookmarkStart w:id="130" w:name="_Toc1605"/>
      <w:r>
        <w:rPr>
          <w:rFonts w:hint="eastAsia" w:ascii="仿宋" w:hAnsi="仿宋" w:eastAsia="仿宋" w:cs="仿宋"/>
          <w:b/>
          <w:color w:val="auto"/>
          <w:sz w:val="36"/>
          <w:szCs w:val="36"/>
          <w:highlight w:val="none"/>
          <w:lang w:val="en-US" w:eastAsia="zh-CN"/>
        </w:rPr>
        <w:t>支护工</w:t>
      </w:r>
      <w:bookmarkEnd w:id="128"/>
      <w:bookmarkEnd w:id="129"/>
      <w:bookmarkEnd w:id="130"/>
    </w:p>
    <w:tbl>
      <w:tblPr>
        <w:tblStyle w:val="12"/>
        <w:tblW w:w="8512" w:type="dxa"/>
        <w:tblInd w:w="0" w:type="dxa"/>
        <w:tblLayout w:type="fixed"/>
        <w:tblCellMar>
          <w:top w:w="0" w:type="dxa"/>
          <w:left w:w="108" w:type="dxa"/>
          <w:bottom w:w="0" w:type="dxa"/>
          <w:right w:w="108" w:type="dxa"/>
        </w:tblCellMar>
      </w:tblPr>
      <w:tblGrid>
        <w:gridCol w:w="785"/>
        <w:gridCol w:w="2921"/>
        <w:gridCol w:w="655"/>
        <w:gridCol w:w="4151"/>
      </w:tblGrid>
      <w:tr w14:paraId="667AFA04">
        <w:tblPrEx>
          <w:tblCellMar>
            <w:top w:w="0" w:type="dxa"/>
            <w:left w:w="108" w:type="dxa"/>
            <w:bottom w:w="0" w:type="dxa"/>
            <w:right w:w="108" w:type="dxa"/>
          </w:tblCellMar>
        </w:tblPrEx>
        <w:trPr>
          <w:trHeight w:val="647" w:hRule="atLeast"/>
        </w:trPr>
        <w:tc>
          <w:tcPr>
            <w:tcW w:w="8512" w:type="dxa"/>
            <w:gridSpan w:val="4"/>
            <w:tcBorders>
              <w:top w:val="single" w:color="auto" w:sz="4" w:space="0"/>
              <w:left w:val="single" w:color="auto" w:sz="4" w:space="0"/>
              <w:bottom w:val="single" w:color="auto" w:sz="4" w:space="0"/>
              <w:right w:val="single" w:color="auto" w:sz="4" w:space="0"/>
            </w:tcBorders>
            <w:vAlign w:val="center"/>
          </w:tcPr>
          <w:p w14:paraId="768D4B30">
            <w:pPr>
              <w:keepNext w:val="0"/>
              <w:keepLines w:val="0"/>
              <w:pageBreakBefore w:val="0"/>
              <w:widowControl/>
              <w:kinsoku/>
              <w:wordWrap/>
              <w:overflowPunct/>
              <w:topLinePunct w:val="0"/>
              <w:autoSpaceDE/>
              <w:autoSpaceDN/>
              <w:bidi w:val="0"/>
              <w:adjustRightInd/>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支护工</w:t>
            </w:r>
            <w:r>
              <w:rPr>
                <w:rFonts w:hint="eastAsia" w:ascii="仿宋" w:hAnsi="仿宋" w:eastAsia="仿宋" w:cs="仿宋"/>
                <w:color w:val="auto"/>
                <w:kern w:val="0"/>
                <w:sz w:val="21"/>
                <w:szCs w:val="21"/>
                <w:highlight w:val="none"/>
              </w:rPr>
              <w:t>岗位风险告知卡</w:t>
            </w:r>
          </w:p>
        </w:tc>
      </w:tr>
      <w:tr w14:paraId="4ECA4A8A">
        <w:tblPrEx>
          <w:tblCellMar>
            <w:top w:w="0" w:type="dxa"/>
            <w:left w:w="108" w:type="dxa"/>
            <w:bottom w:w="0" w:type="dxa"/>
            <w:right w:w="108" w:type="dxa"/>
          </w:tblCellMar>
        </w:tblPrEx>
        <w:trPr>
          <w:trHeight w:val="1284" w:hRule="atLeast"/>
        </w:trPr>
        <w:tc>
          <w:tcPr>
            <w:tcW w:w="785" w:type="dxa"/>
            <w:tcBorders>
              <w:top w:val="nil"/>
              <w:left w:val="single" w:color="auto" w:sz="4" w:space="0"/>
              <w:bottom w:val="single" w:color="auto" w:sz="4" w:space="0"/>
              <w:right w:val="single" w:color="auto" w:sz="4" w:space="0"/>
            </w:tcBorders>
            <w:vAlign w:val="center"/>
          </w:tcPr>
          <w:p w14:paraId="2609070F">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2921" w:type="dxa"/>
            <w:tcBorders>
              <w:top w:val="nil"/>
              <w:left w:val="nil"/>
              <w:bottom w:val="single" w:color="auto" w:sz="4" w:space="0"/>
              <w:right w:val="single" w:color="auto" w:sz="4" w:space="0"/>
            </w:tcBorders>
            <w:vAlign w:val="center"/>
          </w:tcPr>
          <w:p w14:paraId="2C5DBCE1">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冒顶（片帮）、物体打击、</w:t>
            </w:r>
            <w:r>
              <w:rPr>
                <w:rFonts w:hint="eastAsia" w:ascii="仿宋" w:hAnsi="仿宋" w:eastAsia="仿宋" w:cs="仿宋"/>
                <w:color w:val="auto"/>
                <w:kern w:val="0"/>
                <w:sz w:val="21"/>
                <w:szCs w:val="21"/>
                <w:highlight w:val="none"/>
                <w:lang w:val="en-US" w:eastAsia="zh-CN"/>
              </w:rPr>
              <w:t>高处坠落、</w:t>
            </w:r>
            <w:r>
              <w:rPr>
                <w:rFonts w:hint="eastAsia" w:ascii="仿宋" w:hAnsi="仿宋" w:eastAsia="仿宋" w:cs="仿宋"/>
                <w:color w:val="auto"/>
                <w:kern w:val="0"/>
                <w:sz w:val="21"/>
                <w:szCs w:val="21"/>
                <w:highlight w:val="none"/>
              </w:rPr>
              <w:t>职业病危害</w:t>
            </w:r>
          </w:p>
        </w:tc>
        <w:tc>
          <w:tcPr>
            <w:tcW w:w="655" w:type="dxa"/>
            <w:tcBorders>
              <w:top w:val="nil"/>
              <w:left w:val="nil"/>
              <w:bottom w:val="single" w:color="auto" w:sz="4" w:space="0"/>
              <w:right w:val="single" w:color="auto" w:sz="4" w:space="0"/>
            </w:tcBorders>
            <w:vAlign w:val="center"/>
          </w:tcPr>
          <w:p w14:paraId="7F07E61E">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事故报告</w:t>
            </w:r>
          </w:p>
        </w:tc>
        <w:tc>
          <w:tcPr>
            <w:tcW w:w="4151" w:type="dxa"/>
            <w:tcBorders>
              <w:top w:val="nil"/>
              <w:left w:val="nil"/>
              <w:bottom w:val="single" w:color="auto" w:sz="4" w:space="0"/>
              <w:right w:val="single" w:color="auto" w:sz="4" w:space="0"/>
            </w:tcBorders>
            <w:vAlign w:val="center"/>
          </w:tcPr>
          <w:p w14:paraId="014F8F25">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14:paraId="6FEECA47">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0738</w:t>
            </w:r>
          </w:p>
          <w:p w14:paraId="6E1ABF7E">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7807E5C2">
        <w:tblPrEx>
          <w:tblCellMar>
            <w:top w:w="0" w:type="dxa"/>
            <w:left w:w="108" w:type="dxa"/>
            <w:bottom w:w="0" w:type="dxa"/>
            <w:right w:w="108" w:type="dxa"/>
          </w:tblCellMar>
        </w:tblPrEx>
        <w:trPr>
          <w:trHeight w:val="328"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66EE735E">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806" w:type="dxa"/>
            <w:gridSpan w:val="2"/>
            <w:tcBorders>
              <w:top w:val="single" w:color="auto" w:sz="4" w:space="0"/>
              <w:left w:val="nil"/>
              <w:bottom w:val="single" w:color="auto" w:sz="4" w:space="0"/>
              <w:right w:val="single" w:color="auto" w:sz="4" w:space="0"/>
            </w:tcBorders>
            <w:vAlign w:val="center"/>
          </w:tcPr>
          <w:p w14:paraId="775F4E61">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14:paraId="698EDDDA">
        <w:tblPrEx>
          <w:tblCellMar>
            <w:top w:w="0" w:type="dxa"/>
            <w:left w:w="108" w:type="dxa"/>
            <w:bottom w:w="0" w:type="dxa"/>
            <w:right w:w="108" w:type="dxa"/>
          </w:tblCellMar>
        </w:tblPrEx>
        <w:trPr>
          <w:trHeight w:val="1151"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77A26E82">
            <w:pPr>
              <w:keepNext w:val="0"/>
              <w:keepLines w:val="0"/>
              <w:pageBreakBefore w:val="0"/>
              <w:widowControl/>
              <w:kinsoku/>
              <w:wordWrap/>
              <w:overflowPunct/>
              <w:topLinePunct w:val="0"/>
              <w:autoSpaceDE/>
              <w:autoSpaceDN/>
              <w:bidi w:val="0"/>
              <w:adjustRightInd/>
              <w:ind w:firstLine="44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2"/>
                <w:szCs w:val="22"/>
                <w:highlight w:val="none"/>
              </w:rPr>
              <w:t>1.顶帮掉落，砸伤人员</w:t>
            </w:r>
            <w:r>
              <w:rPr>
                <w:rFonts w:hint="eastAsia" w:ascii="仿宋" w:hAnsi="仿宋" w:eastAsia="仿宋" w:cs="仿宋"/>
                <w:color w:val="auto"/>
                <w:kern w:val="0"/>
                <w:sz w:val="22"/>
                <w:szCs w:val="22"/>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14:paraId="4159968A">
            <w:pPr>
              <w:keepNext w:val="0"/>
              <w:keepLines w:val="0"/>
              <w:pageBreakBefore w:val="0"/>
              <w:widowControl/>
              <w:kinsoku/>
              <w:wordWrap/>
              <w:overflowPunct/>
              <w:topLinePunct w:val="0"/>
              <w:autoSpaceDE/>
              <w:autoSpaceDN/>
              <w:bidi w:val="0"/>
              <w:adjustRightInd/>
              <w:ind w:firstLine="44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2"/>
                <w:szCs w:val="22"/>
                <w:highlight w:val="none"/>
              </w:rPr>
              <w:t>1.严格执行敲帮问顶制度，加强支护并保证支护质量</w:t>
            </w:r>
            <w:r>
              <w:rPr>
                <w:rFonts w:hint="eastAsia" w:ascii="仿宋" w:hAnsi="仿宋" w:eastAsia="仿宋" w:cs="仿宋"/>
                <w:color w:val="auto"/>
                <w:kern w:val="0"/>
                <w:sz w:val="22"/>
                <w:szCs w:val="22"/>
                <w:highlight w:val="none"/>
                <w:lang w:eastAsia="zh-CN"/>
              </w:rPr>
              <w:t>。</w:t>
            </w:r>
          </w:p>
        </w:tc>
      </w:tr>
      <w:tr w14:paraId="5E368012">
        <w:tblPrEx>
          <w:tblCellMar>
            <w:top w:w="0" w:type="dxa"/>
            <w:left w:w="108" w:type="dxa"/>
            <w:bottom w:w="0" w:type="dxa"/>
            <w:right w:w="108" w:type="dxa"/>
          </w:tblCellMar>
        </w:tblPrEx>
        <w:trPr>
          <w:trHeight w:val="1603"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6129931A">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2.超前支护在平台上作业时存在意外跌落风险。</w:t>
            </w:r>
          </w:p>
        </w:tc>
        <w:tc>
          <w:tcPr>
            <w:tcW w:w="4806" w:type="dxa"/>
            <w:gridSpan w:val="2"/>
            <w:tcBorders>
              <w:top w:val="single" w:color="auto" w:sz="4" w:space="0"/>
              <w:left w:val="nil"/>
              <w:bottom w:val="single" w:color="auto" w:sz="4" w:space="0"/>
              <w:right w:val="single" w:color="auto" w:sz="4" w:space="0"/>
            </w:tcBorders>
            <w:vAlign w:val="center"/>
          </w:tcPr>
          <w:p w14:paraId="5E09700D">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2.作业平台的施打必须牢固可靠</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梯子与巷帮、大板与梯子用双股尼龙绳绑扎牢固</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在作业平台上方1.5m高度绑扎2道尼龙绳，尼龙绳绑扎在支设的4棵点柱上围成一个“口”字型，当做防护栏，尼龙绳必须张紧，并绑扎牢固</w:t>
            </w:r>
            <w:r>
              <w:rPr>
                <w:rFonts w:hint="eastAsia" w:ascii="仿宋" w:hAnsi="仿宋" w:eastAsia="仿宋" w:cs="仿宋"/>
                <w:color w:val="auto"/>
                <w:kern w:val="0"/>
                <w:sz w:val="21"/>
                <w:szCs w:val="21"/>
                <w:highlight w:val="none"/>
                <w:lang w:eastAsia="zh-CN"/>
              </w:rPr>
              <w:t>；</w:t>
            </w:r>
          </w:p>
          <w:p w14:paraId="473D2445">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人员在平台上作业过程中必须安排人员监护。</w:t>
            </w:r>
          </w:p>
        </w:tc>
      </w:tr>
      <w:tr w14:paraId="5979AE56">
        <w:tblPrEx>
          <w:tblCellMar>
            <w:top w:w="0" w:type="dxa"/>
            <w:left w:w="108" w:type="dxa"/>
            <w:bottom w:w="0" w:type="dxa"/>
            <w:right w:w="108" w:type="dxa"/>
          </w:tblCellMar>
        </w:tblPrEx>
        <w:trPr>
          <w:trHeight w:val="1728"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14:paraId="3D73CD7D">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3.单体支柱作业期间存在其它伤害</w:t>
            </w:r>
          </w:p>
        </w:tc>
        <w:tc>
          <w:tcPr>
            <w:tcW w:w="4806" w:type="dxa"/>
            <w:gridSpan w:val="2"/>
            <w:tcBorders>
              <w:top w:val="single" w:color="auto" w:sz="4" w:space="0"/>
              <w:left w:val="nil"/>
              <w:bottom w:val="single" w:color="auto" w:sz="4" w:space="0"/>
              <w:right w:val="single" w:color="auto" w:sz="4" w:space="0"/>
            </w:tcBorders>
            <w:vAlign w:val="center"/>
          </w:tcPr>
          <w:p w14:paraId="04387D8F">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3.各绑扎点使用不少于4股尼龙绳绑扎牢固</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Π钢托架中部下方要施打的单体顶柱</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下方向上递料人员必须站在平台施工人员的后方，躲开物料掉落伤人的范围，在向上递料时，必须等接料人员牢固拿住物料后方可松手，以防物料掉落伤人</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支设或拆除单体支柱时，必须1人扶柱监护，1人轻缓地打压注液或卸液，2人协调作业；支设单体支柱后，一人扶柱，一人拴设防倒绳，在未拴设防倒绳之前，扶柱人不得离开单体柱，且必须扶住单体柱</w:t>
            </w:r>
            <w:r>
              <w:rPr>
                <w:rFonts w:hint="eastAsia" w:ascii="仿宋" w:hAnsi="仿宋" w:eastAsia="仿宋" w:cs="仿宋"/>
                <w:color w:val="auto"/>
                <w:kern w:val="0"/>
                <w:sz w:val="21"/>
                <w:szCs w:val="21"/>
                <w:highlight w:val="none"/>
                <w:lang w:eastAsia="zh-CN"/>
              </w:rPr>
              <w:t>；</w:t>
            </w:r>
          </w:p>
          <w:p w14:paraId="0BF44C59">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严禁使用掉爪单体柱。</w:t>
            </w:r>
          </w:p>
        </w:tc>
      </w:tr>
      <w:tr w14:paraId="0A64DE0A">
        <w:tblPrEx>
          <w:tblCellMar>
            <w:top w:w="0" w:type="dxa"/>
            <w:left w:w="108" w:type="dxa"/>
            <w:bottom w:w="0" w:type="dxa"/>
            <w:right w:w="108" w:type="dxa"/>
          </w:tblCellMar>
        </w:tblPrEx>
        <w:trPr>
          <w:trHeight w:val="647" w:hRule="atLeast"/>
        </w:trPr>
        <w:tc>
          <w:tcPr>
            <w:tcW w:w="3706" w:type="dxa"/>
            <w:gridSpan w:val="2"/>
            <w:tcBorders>
              <w:top w:val="single" w:color="auto" w:sz="4" w:space="0"/>
              <w:left w:val="single" w:color="auto" w:sz="4" w:space="0"/>
              <w:bottom w:val="single" w:color="auto" w:sz="4" w:space="0"/>
              <w:right w:val="single" w:color="000000" w:sz="4" w:space="0"/>
            </w:tcBorders>
            <w:vAlign w:val="center"/>
          </w:tcPr>
          <w:p w14:paraId="2BE9D269">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未佩戴防尘口罩和耳塞</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000000" w:sz="4" w:space="0"/>
            </w:tcBorders>
            <w:vAlign w:val="center"/>
          </w:tcPr>
          <w:p w14:paraId="747D69D2">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佩戴好防护手套、耳塞等劳保用品</w:t>
            </w:r>
            <w:r>
              <w:rPr>
                <w:rFonts w:hint="eastAsia" w:ascii="仿宋" w:hAnsi="仿宋" w:eastAsia="仿宋" w:cs="仿宋"/>
                <w:color w:val="auto"/>
                <w:kern w:val="0"/>
                <w:sz w:val="21"/>
                <w:szCs w:val="21"/>
                <w:highlight w:val="none"/>
                <w:lang w:eastAsia="zh-CN"/>
              </w:rPr>
              <w:t>。</w:t>
            </w:r>
          </w:p>
        </w:tc>
      </w:tr>
      <w:tr w14:paraId="3032310A">
        <w:tblPrEx>
          <w:tblCellMar>
            <w:top w:w="0" w:type="dxa"/>
            <w:left w:w="108" w:type="dxa"/>
            <w:bottom w:w="0" w:type="dxa"/>
            <w:right w:w="108" w:type="dxa"/>
          </w:tblCellMar>
        </w:tblPrEx>
        <w:trPr>
          <w:trHeight w:val="1467" w:hRule="atLeast"/>
        </w:trPr>
        <w:tc>
          <w:tcPr>
            <w:tcW w:w="785" w:type="dxa"/>
            <w:tcBorders>
              <w:top w:val="nil"/>
              <w:left w:val="single" w:color="auto" w:sz="4" w:space="0"/>
              <w:bottom w:val="single" w:color="auto" w:sz="4" w:space="0"/>
              <w:right w:val="single" w:color="auto" w:sz="4" w:space="0"/>
            </w:tcBorders>
            <w:vAlign w:val="center"/>
          </w:tcPr>
          <w:p w14:paraId="79280C6C">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3C2B4895">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27" w:type="dxa"/>
            <w:gridSpan w:val="3"/>
            <w:tcBorders>
              <w:top w:val="single" w:color="auto" w:sz="4" w:space="0"/>
              <w:left w:val="nil"/>
              <w:bottom w:val="single" w:color="auto" w:sz="4" w:space="0"/>
              <w:right w:val="single" w:color="auto" w:sz="4" w:space="0"/>
            </w:tcBorders>
            <w:vAlign w:val="center"/>
          </w:tcPr>
          <w:p w14:paraId="545AC4A3">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700C38FD">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54D39200">
        <w:tblPrEx>
          <w:tblCellMar>
            <w:top w:w="0" w:type="dxa"/>
            <w:left w:w="108" w:type="dxa"/>
            <w:bottom w:w="0" w:type="dxa"/>
            <w:right w:w="108" w:type="dxa"/>
          </w:tblCellMar>
        </w:tblPrEx>
        <w:trPr>
          <w:trHeight w:val="1932" w:hRule="atLeast"/>
        </w:trPr>
        <w:tc>
          <w:tcPr>
            <w:tcW w:w="785" w:type="dxa"/>
            <w:tcBorders>
              <w:top w:val="nil"/>
              <w:left w:val="single" w:color="auto" w:sz="4" w:space="0"/>
              <w:bottom w:val="single" w:color="auto" w:sz="4" w:space="0"/>
              <w:right w:val="single" w:color="auto" w:sz="4" w:space="0"/>
            </w:tcBorders>
            <w:vAlign w:val="center"/>
          </w:tcPr>
          <w:p w14:paraId="6D78A6FB">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施</w:t>
            </w:r>
          </w:p>
        </w:tc>
        <w:tc>
          <w:tcPr>
            <w:tcW w:w="7727" w:type="dxa"/>
            <w:gridSpan w:val="3"/>
            <w:tcBorders>
              <w:top w:val="single" w:color="auto" w:sz="4" w:space="0"/>
              <w:left w:val="nil"/>
              <w:bottom w:val="single" w:color="auto" w:sz="4" w:space="0"/>
              <w:right w:val="single" w:color="auto" w:sz="4" w:space="0"/>
            </w:tcBorders>
            <w:vAlign w:val="center"/>
          </w:tcPr>
          <w:p w14:paraId="42EF80B0">
            <w:pPr>
              <w:keepNext w:val="0"/>
              <w:keepLines w:val="0"/>
              <w:pageBreakBefore w:val="0"/>
              <w:widowControl/>
              <w:numPr>
                <w:ilvl w:val="0"/>
                <w:numId w:val="0"/>
              </w:numPr>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发生事故后、要立即按照“及时汇报、积极抢救、安全撤离、妥善避灾”原则进行自救互救</w:t>
            </w:r>
            <w:r>
              <w:rPr>
                <w:rFonts w:hint="eastAsia" w:ascii="仿宋" w:hAnsi="仿宋" w:eastAsia="仿宋" w:cs="仿宋"/>
                <w:color w:val="auto"/>
                <w:kern w:val="0"/>
                <w:sz w:val="21"/>
                <w:szCs w:val="21"/>
                <w:highlight w:val="none"/>
                <w:lang w:eastAsia="zh-CN"/>
              </w:rPr>
              <w:t>。</w:t>
            </w:r>
          </w:p>
          <w:p w14:paraId="2821D579">
            <w:pPr>
              <w:keepNext w:val="0"/>
              <w:keepLines w:val="0"/>
              <w:pageBreakBefore w:val="0"/>
              <w:widowControl/>
              <w:numPr>
                <w:ilvl w:val="0"/>
                <w:numId w:val="0"/>
              </w:numPr>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2.尽量与调度室保持联系，将现场情况准确汇报</w:t>
            </w:r>
            <w:r>
              <w:rPr>
                <w:rFonts w:hint="eastAsia" w:ascii="仿宋" w:hAnsi="仿宋" w:eastAsia="仿宋" w:cs="仿宋"/>
                <w:color w:val="auto"/>
                <w:kern w:val="0"/>
                <w:sz w:val="21"/>
                <w:szCs w:val="21"/>
                <w:highlight w:val="none"/>
                <w:lang w:eastAsia="zh-CN"/>
              </w:rPr>
              <w:t>；</w:t>
            </w:r>
          </w:p>
          <w:p w14:paraId="6997684C">
            <w:pPr>
              <w:keepNext w:val="0"/>
              <w:keepLines w:val="0"/>
              <w:pageBreakBefore w:val="0"/>
              <w:widowControl/>
              <w:numPr>
                <w:ilvl w:val="0"/>
                <w:numId w:val="0"/>
              </w:numPr>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3.抢救伤员时要遵循“三先三后”的原则</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4.撤离时沿着避灾路线逃生，必要时进入避难硐室等待救援。</w:t>
            </w:r>
          </w:p>
        </w:tc>
      </w:tr>
    </w:tbl>
    <w:p w14:paraId="4BD418EA">
      <w:pPr>
        <w:keepNext w:val="0"/>
        <w:keepLines w:val="0"/>
        <w:pageBreakBefore w:val="0"/>
        <w:kinsoku/>
        <w:wordWrap/>
        <w:overflowPunct/>
        <w:topLinePunct w:val="0"/>
        <w:autoSpaceDE/>
        <w:autoSpaceDN/>
        <w:bidi w:val="0"/>
        <w:adjustRightInd/>
        <w:outlineLvl w:val="9"/>
        <w:rPr>
          <w:color w:val="auto"/>
        </w:rPr>
      </w:pPr>
    </w:p>
    <w:p w14:paraId="4E314BA7">
      <w:pPr>
        <w:pStyle w:val="2"/>
        <w:keepNext w:val="0"/>
        <w:keepLines w:val="0"/>
        <w:pageBreakBefore w:val="0"/>
        <w:kinsoku/>
        <w:wordWrap/>
        <w:overflowPunct/>
        <w:topLinePunct w:val="0"/>
        <w:autoSpaceDE/>
        <w:autoSpaceDN/>
        <w:bidi w:val="0"/>
        <w:adjustRightInd/>
        <w:outlineLvl w:val="9"/>
        <w:rPr>
          <w:color w:val="auto"/>
        </w:rPr>
      </w:pPr>
    </w:p>
    <w:tbl>
      <w:tblPr>
        <w:tblStyle w:val="12"/>
        <w:tblW w:w="8747" w:type="dxa"/>
        <w:jc w:val="center"/>
        <w:tblLayout w:type="fixed"/>
        <w:tblCellMar>
          <w:top w:w="0" w:type="dxa"/>
          <w:left w:w="108" w:type="dxa"/>
          <w:bottom w:w="0" w:type="dxa"/>
          <w:right w:w="108" w:type="dxa"/>
        </w:tblCellMar>
      </w:tblPr>
      <w:tblGrid>
        <w:gridCol w:w="4436"/>
        <w:gridCol w:w="4311"/>
      </w:tblGrid>
      <w:tr w14:paraId="1172423F">
        <w:tblPrEx>
          <w:tblCellMar>
            <w:top w:w="0" w:type="dxa"/>
            <w:left w:w="108" w:type="dxa"/>
            <w:bottom w:w="0" w:type="dxa"/>
            <w:right w:w="108" w:type="dxa"/>
          </w:tblCellMar>
        </w:tblPrEx>
        <w:trPr>
          <w:trHeight w:val="23" w:hRule="atLeast"/>
          <w:jc w:val="center"/>
        </w:trPr>
        <w:tc>
          <w:tcPr>
            <w:tcW w:w="8747" w:type="dxa"/>
            <w:gridSpan w:val="2"/>
            <w:tcBorders>
              <w:top w:val="single" w:color="auto" w:sz="4" w:space="0"/>
              <w:left w:val="single" w:color="auto" w:sz="4" w:space="0"/>
              <w:bottom w:val="nil"/>
              <w:right w:val="single" w:color="000000" w:sz="4" w:space="0"/>
            </w:tcBorders>
            <w:vAlign w:val="center"/>
          </w:tcPr>
          <w:p w14:paraId="18EBE5C4">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支护工</w:t>
            </w:r>
            <w:r>
              <w:rPr>
                <w:rFonts w:hint="eastAsia" w:ascii="仿宋" w:hAnsi="仿宋" w:eastAsia="仿宋" w:cs="仿宋"/>
                <w:b/>
                <w:bCs/>
                <w:color w:val="auto"/>
                <w:kern w:val="0"/>
                <w:sz w:val="21"/>
                <w:szCs w:val="21"/>
                <w:highlight w:val="none"/>
              </w:rPr>
              <w:t>安全提示卡</w:t>
            </w:r>
          </w:p>
        </w:tc>
      </w:tr>
      <w:tr w14:paraId="66EC3345">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14:paraId="34FB8951">
            <w:pPr>
              <w:keepNext w:val="0"/>
              <w:keepLines w:val="0"/>
              <w:pageBreakBefore w:val="0"/>
              <w:widowControl/>
              <w:kinsoku/>
              <w:wordWrap/>
              <w:overflowPunct/>
              <w:topLinePunct w:val="0"/>
              <w:autoSpaceDE/>
              <w:autoSpaceDN/>
              <w:bidi w:val="0"/>
              <w:adjustRightInd/>
              <w:spacing w:line="500" w:lineRule="exact"/>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支护</w:t>
            </w:r>
            <w:r>
              <w:rPr>
                <w:rFonts w:hint="eastAsia" w:ascii="仿宋" w:hAnsi="仿宋" w:eastAsia="仿宋" w:cs="仿宋"/>
                <w:color w:val="auto"/>
                <w:kern w:val="0"/>
                <w:sz w:val="21"/>
                <w:szCs w:val="21"/>
                <w:highlight w:val="none"/>
              </w:rPr>
              <w:t>前检查</w:t>
            </w:r>
          </w:p>
        </w:tc>
        <w:tc>
          <w:tcPr>
            <w:tcW w:w="4311" w:type="dxa"/>
            <w:tcBorders>
              <w:top w:val="single" w:color="auto" w:sz="4" w:space="0"/>
              <w:left w:val="nil"/>
              <w:bottom w:val="single" w:color="auto" w:sz="4" w:space="0"/>
              <w:right w:val="single" w:color="auto" w:sz="4" w:space="0"/>
            </w:tcBorders>
            <w:vAlign w:val="center"/>
          </w:tcPr>
          <w:p w14:paraId="35942389">
            <w:pPr>
              <w:keepNext w:val="0"/>
              <w:keepLines w:val="0"/>
              <w:pageBreakBefore w:val="0"/>
              <w:widowControl/>
              <w:kinsoku/>
              <w:wordWrap/>
              <w:overflowPunct/>
              <w:topLinePunct w:val="0"/>
              <w:autoSpaceDE/>
              <w:autoSpaceDN/>
              <w:bidi w:val="0"/>
              <w:adjustRightInd/>
              <w:spacing w:line="500" w:lineRule="exact"/>
              <w:jc w:val="center"/>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支护</w:t>
            </w:r>
            <w:r>
              <w:rPr>
                <w:rFonts w:hint="eastAsia" w:ascii="仿宋" w:hAnsi="仿宋" w:eastAsia="仿宋" w:cs="仿宋"/>
                <w:color w:val="auto"/>
                <w:kern w:val="0"/>
                <w:sz w:val="21"/>
                <w:szCs w:val="21"/>
                <w:highlight w:val="none"/>
              </w:rPr>
              <w:t>后确认</w:t>
            </w:r>
          </w:p>
        </w:tc>
      </w:tr>
      <w:tr w14:paraId="216517A0">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14:paraId="02E20F2F">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4311" w:type="dxa"/>
            <w:tcBorders>
              <w:top w:val="single" w:color="auto" w:sz="4" w:space="0"/>
              <w:left w:val="nil"/>
              <w:bottom w:val="single" w:color="auto" w:sz="4" w:space="0"/>
              <w:right w:val="single" w:color="auto" w:sz="4" w:space="0"/>
            </w:tcBorders>
            <w:vAlign w:val="center"/>
          </w:tcPr>
          <w:p w14:paraId="35C5643C">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val="en-US" w:eastAsia="zh-CN"/>
              </w:rPr>
              <w:t>初撑力</w:t>
            </w:r>
          </w:p>
        </w:tc>
      </w:tr>
      <w:tr w14:paraId="48B87482">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14:paraId="0BAE92B9">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rPr>
              <w:t>.站位</w:t>
            </w:r>
          </w:p>
        </w:tc>
        <w:tc>
          <w:tcPr>
            <w:tcW w:w="4311" w:type="dxa"/>
            <w:tcBorders>
              <w:top w:val="single" w:color="auto" w:sz="4" w:space="0"/>
              <w:left w:val="nil"/>
              <w:bottom w:val="single" w:color="auto" w:sz="4" w:space="0"/>
              <w:right w:val="single" w:color="auto" w:sz="4" w:space="0"/>
            </w:tcBorders>
            <w:vAlign w:val="center"/>
          </w:tcPr>
          <w:p w14:paraId="400DB842">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防倒绳</w:t>
            </w:r>
          </w:p>
        </w:tc>
      </w:tr>
      <w:tr w14:paraId="6429D82B">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14:paraId="4A6A3FE2">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rPr>
              <w:t>.口罩</w:t>
            </w:r>
          </w:p>
        </w:tc>
        <w:tc>
          <w:tcPr>
            <w:tcW w:w="4311" w:type="dxa"/>
            <w:tcBorders>
              <w:top w:val="single" w:color="auto" w:sz="4" w:space="0"/>
              <w:left w:val="nil"/>
              <w:bottom w:val="single" w:color="auto" w:sz="4" w:space="0"/>
              <w:right w:val="single" w:color="auto" w:sz="4" w:space="0"/>
            </w:tcBorders>
            <w:vAlign w:val="center"/>
          </w:tcPr>
          <w:p w14:paraId="28758997">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扎角</w:t>
            </w:r>
          </w:p>
        </w:tc>
      </w:tr>
      <w:tr w14:paraId="59EB2E96">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14:paraId="4F2239BB">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p>
        </w:tc>
        <w:tc>
          <w:tcPr>
            <w:tcW w:w="4311" w:type="dxa"/>
            <w:tcBorders>
              <w:top w:val="single" w:color="auto" w:sz="4" w:space="0"/>
              <w:left w:val="nil"/>
              <w:bottom w:val="single" w:color="auto" w:sz="4" w:space="0"/>
              <w:right w:val="single" w:color="auto" w:sz="4" w:space="0"/>
            </w:tcBorders>
            <w:vAlign w:val="center"/>
          </w:tcPr>
          <w:p w14:paraId="03981134">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背顶情况</w:t>
            </w:r>
          </w:p>
        </w:tc>
      </w:tr>
    </w:tbl>
    <w:p w14:paraId="35A0A6F0">
      <w:pPr>
        <w:keepNext w:val="0"/>
        <w:keepLines w:val="0"/>
        <w:pageBreakBefore w:val="0"/>
        <w:kinsoku/>
        <w:wordWrap/>
        <w:overflowPunct/>
        <w:topLinePunct w:val="0"/>
        <w:autoSpaceDE/>
        <w:autoSpaceDN/>
        <w:bidi w:val="0"/>
        <w:adjustRightInd/>
        <w:outlineLvl w:val="9"/>
        <w:rPr>
          <w:color w:val="auto"/>
        </w:rPr>
      </w:pPr>
    </w:p>
    <w:tbl>
      <w:tblPr>
        <w:tblStyle w:val="12"/>
        <w:tblpPr w:leftFromText="180" w:rightFromText="180" w:vertAnchor="text" w:horzAnchor="page" w:tblpXSpec="center" w:tblpY="100"/>
        <w:tblOverlap w:val="never"/>
        <w:tblW w:w="8709" w:type="dxa"/>
        <w:jc w:val="center"/>
        <w:tblLayout w:type="fixed"/>
        <w:tblCellMar>
          <w:top w:w="0" w:type="dxa"/>
          <w:left w:w="108" w:type="dxa"/>
          <w:bottom w:w="0" w:type="dxa"/>
          <w:right w:w="108" w:type="dxa"/>
        </w:tblCellMar>
      </w:tblPr>
      <w:tblGrid>
        <w:gridCol w:w="8709"/>
      </w:tblGrid>
      <w:tr w14:paraId="0D08ED30">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000000" w:sz="4" w:space="0"/>
            </w:tcBorders>
            <w:vAlign w:val="center"/>
          </w:tcPr>
          <w:p w14:paraId="06A0BCEB">
            <w:pPr>
              <w:keepNext w:val="0"/>
              <w:keepLines w:val="0"/>
              <w:pageBreakBefore w:val="0"/>
              <w:widowControl/>
              <w:kinsoku/>
              <w:wordWrap/>
              <w:overflowPunct/>
              <w:topLinePunct w:val="0"/>
              <w:autoSpaceDE/>
              <w:autoSpaceDN/>
              <w:bidi w:val="0"/>
              <w:adjustRightInd/>
              <w:spacing w:line="500" w:lineRule="exact"/>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支护工</w:t>
            </w:r>
            <w:r>
              <w:rPr>
                <w:rFonts w:hint="eastAsia" w:ascii="仿宋" w:hAnsi="仿宋" w:eastAsia="仿宋" w:cs="仿宋"/>
                <w:color w:val="auto"/>
                <w:kern w:val="0"/>
                <w:sz w:val="21"/>
                <w:szCs w:val="21"/>
                <w:highlight w:val="none"/>
              </w:rPr>
              <w:t>单元检查表</w:t>
            </w:r>
          </w:p>
        </w:tc>
      </w:tr>
      <w:tr w14:paraId="50250F33">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14:paraId="47E41D07">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val="en-US" w:eastAsia="zh-CN"/>
              </w:rPr>
              <w:t>顶板情况</w:t>
            </w:r>
          </w:p>
        </w:tc>
      </w:tr>
      <w:tr w14:paraId="0321390A">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14:paraId="0F73C59B">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防倒绳绑扎</w:t>
            </w:r>
            <w:r>
              <w:rPr>
                <w:rFonts w:hint="eastAsia" w:ascii="仿宋" w:hAnsi="仿宋" w:eastAsia="仿宋" w:cs="仿宋"/>
                <w:color w:val="auto"/>
                <w:kern w:val="0"/>
                <w:sz w:val="21"/>
                <w:szCs w:val="21"/>
                <w:highlight w:val="none"/>
              </w:rPr>
              <w:t xml:space="preserve"> </w:t>
            </w:r>
          </w:p>
        </w:tc>
      </w:tr>
      <w:tr w14:paraId="7CEFBD8F">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14:paraId="23A19113">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val="en-US" w:eastAsia="zh-CN"/>
              </w:rPr>
              <w:t>单体支柱初撑力</w:t>
            </w:r>
          </w:p>
        </w:tc>
      </w:tr>
      <w:tr w14:paraId="18264086">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14:paraId="323EB561">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val="en-US" w:eastAsia="zh-CN"/>
              </w:rPr>
              <w:t>单体支柱有无泄液</w:t>
            </w:r>
          </w:p>
        </w:tc>
      </w:tr>
      <w:tr w14:paraId="02F23972">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14:paraId="79FCC1EE">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底板是否平整</w:t>
            </w:r>
          </w:p>
        </w:tc>
      </w:tr>
      <w:tr w14:paraId="139C7361">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14:paraId="173346C4">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6.</w:t>
            </w:r>
            <w:r>
              <w:rPr>
                <w:rFonts w:hint="eastAsia" w:ascii="仿宋" w:hAnsi="仿宋" w:eastAsia="仿宋" w:cs="仿宋"/>
                <w:color w:val="auto"/>
                <w:kern w:val="0"/>
                <w:sz w:val="21"/>
                <w:szCs w:val="21"/>
                <w:highlight w:val="none"/>
                <w:lang w:val="en-US" w:eastAsia="zh-CN"/>
              </w:rPr>
              <w:t>单体支柱扎角</w:t>
            </w:r>
          </w:p>
        </w:tc>
      </w:tr>
      <w:tr w14:paraId="3A7D1D57">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14:paraId="1217C121">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7.</w:t>
            </w:r>
            <w:r>
              <w:rPr>
                <w:rFonts w:hint="eastAsia" w:ascii="仿宋" w:hAnsi="仿宋" w:eastAsia="仿宋" w:cs="仿宋"/>
                <w:color w:val="auto"/>
                <w:kern w:val="0"/>
                <w:sz w:val="21"/>
                <w:szCs w:val="21"/>
                <w:highlight w:val="none"/>
                <w:lang w:val="en-US" w:eastAsia="zh-CN"/>
              </w:rPr>
              <w:t>支护长度</w:t>
            </w:r>
          </w:p>
        </w:tc>
      </w:tr>
      <w:tr w14:paraId="102E24D8">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14:paraId="2DA18EF8">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8.工作面支护与巷道支护间距</w:t>
            </w:r>
          </w:p>
        </w:tc>
      </w:tr>
    </w:tbl>
    <w:p w14:paraId="0D5C7403">
      <w:pPr>
        <w:pStyle w:val="16"/>
        <w:keepNext w:val="0"/>
        <w:keepLines w:val="0"/>
        <w:pageBreakBefore w:val="0"/>
        <w:kinsoku/>
        <w:wordWrap/>
        <w:overflowPunct/>
        <w:topLinePunct w:val="0"/>
        <w:autoSpaceDE/>
        <w:autoSpaceDN/>
        <w:bidi w:val="0"/>
        <w:adjustRightInd/>
        <w:outlineLvl w:val="9"/>
        <w:rPr>
          <w:rFonts w:hint="eastAsia"/>
          <w:color w:val="auto"/>
        </w:rPr>
      </w:pPr>
    </w:p>
    <w:tbl>
      <w:tblPr>
        <w:tblStyle w:val="12"/>
        <w:tblW w:w="8726" w:type="dxa"/>
        <w:jc w:val="center"/>
        <w:tblLayout w:type="fixed"/>
        <w:tblCellMar>
          <w:top w:w="0" w:type="dxa"/>
          <w:left w:w="108" w:type="dxa"/>
          <w:bottom w:w="0" w:type="dxa"/>
          <w:right w:w="108" w:type="dxa"/>
        </w:tblCellMar>
      </w:tblPr>
      <w:tblGrid>
        <w:gridCol w:w="1475"/>
        <w:gridCol w:w="2168"/>
        <w:gridCol w:w="5083"/>
      </w:tblGrid>
      <w:tr w14:paraId="449BE356">
        <w:tblPrEx>
          <w:tblCellMar>
            <w:top w:w="0" w:type="dxa"/>
            <w:left w:w="108" w:type="dxa"/>
            <w:bottom w:w="0" w:type="dxa"/>
            <w:right w:w="108" w:type="dxa"/>
          </w:tblCellMar>
        </w:tblPrEx>
        <w:trPr>
          <w:trHeight w:val="673" w:hRule="atLeast"/>
          <w:jc w:val="center"/>
        </w:trPr>
        <w:tc>
          <w:tcPr>
            <w:tcW w:w="8726" w:type="dxa"/>
            <w:gridSpan w:val="3"/>
            <w:tcBorders>
              <w:top w:val="single" w:color="000000" w:sz="4" w:space="0"/>
              <w:left w:val="single" w:color="000000" w:sz="4" w:space="0"/>
              <w:bottom w:val="single" w:color="000000" w:sz="4" w:space="0"/>
              <w:right w:val="single" w:color="000000" w:sz="4" w:space="0"/>
            </w:tcBorders>
            <w:vAlign w:val="center"/>
          </w:tcPr>
          <w:p w14:paraId="72A6C187">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8"/>
                <w:szCs w:val="28"/>
                <w:highlight w:val="none"/>
                <w:u w:val="none"/>
              </w:rPr>
            </w:pPr>
            <w:r>
              <w:rPr>
                <w:rFonts w:hint="eastAsia" w:ascii="仿宋" w:hAnsi="仿宋" w:eastAsia="仿宋" w:cs="仿宋"/>
                <w:b/>
                <w:bCs/>
                <w:color w:val="auto"/>
                <w:kern w:val="0"/>
                <w:sz w:val="21"/>
                <w:szCs w:val="21"/>
                <w:highlight w:val="none"/>
                <w:lang w:val="en-US" w:eastAsia="zh-CN"/>
              </w:rPr>
              <w:t>支护工操作过程注意事项</w:t>
            </w:r>
          </w:p>
        </w:tc>
      </w:tr>
      <w:tr w14:paraId="2216C03B">
        <w:tblPrEx>
          <w:tblCellMar>
            <w:top w:w="0" w:type="dxa"/>
            <w:left w:w="108" w:type="dxa"/>
            <w:bottom w:w="0" w:type="dxa"/>
            <w:right w:w="108" w:type="dxa"/>
          </w:tblCellMar>
        </w:tblPrEx>
        <w:trPr>
          <w:trHeight w:val="577" w:hRule="atLeast"/>
          <w:jc w:val="center"/>
        </w:trPr>
        <w:tc>
          <w:tcPr>
            <w:tcW w:w="1475" w:type="dxa"/>
            <w:tcBorders>
              <w:top w:val="single" w:color="000000" w:sz="4" w:space="0"/>
              <w:left w:val="single" w:color="000000" w:sz="4" w:space="0"/>
              <w:bottom w:val="single" w:color="000000" w:sz="4" w:space="0"/>
              <w:right w:val="single" w:color="000000" w:sz="4" w:space="0"/>
            </w:tcBorders>
            <w:vAlign w:val="center"/>
          </w:tcPr>
          <w:p w14:paraId="6D25F9AC">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2168" w:type="dxa"/>
            <w:tcBorders>
              <w:top w:val="single" w:color="000000" w:sz="4" w:space="0"/>
              <w:left w:val="single" w:color="000000" w:sz="4" w:space="0"/>
              <w:bottom w:val="single" w:color="000000" w:sz="4" w:space="0"/>
              <w:right w:val="single" w:color="000000" w:sz="4" w:space="0"/>
            </w:tcBorders>
            <w:vAlign w:val="center"/>
          </w:tcPr>
          <w:p w14:paraId="5C687B62">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5083" w:type="dxa"/>
            <w:tcBorders>
              <w:top w:val="single" w:color="000000" w:sz="4" w:space="0"/>
              <w:left w:val="single" w:color="000000" w:sz="4" w:space="0"/>
              <w:bottom w:val="single" w:color="000000" w:sz="4" w:space="0"/>
              <w:right w:val="single" w:color="000000" w:sz="4" w:space="0"/>
            </w:tcBorders>
            <w:vAlign w:val="center"/>
          </w:tcPr>
          <w:p w14:paraId="28558D6D">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14:paraId="55412CF0">
        <w:tblPrEx>
          <w:tblCellMar>
            <w:top w:w="0" w:type="dxa"/>
            <w:left w:w="108" w:type="dxa"/>
            <w:bottom w:w="0" w:type="dxa"/>
            <w:right w:w="108" w:type="dxa"/>
          </w:tblCellMar>
        </w:tblPrEx>
        <w:trPr>
          <w:trHeight w:val="1145" w:hRule="atLeast"/>
          <w:jc w:val="center"/>
        </w:trPr>
        <w:tc>
          <w:tcPr>
            <w:tcW w:w="1475" w:type="dxa"/>
            <w:vMerge w:val="restart"/>
            <w:tcBorders>
              <w:top w:val="single" w:color="000000" w:sz="4" w:space="0"/>
              <w:left w:val="single" w:color="000000" w:sz="4" w:space="0"/>
              <w:bottom w:val="single" w:color="000000" w:sz="4" w:space="0"/>
              <w:right w:val="single" w:color="000000" w:sz="4" w:space="0"/>
            </w:tcBorders>
            <w:vAlign w:val="center"/>
          </w:tcPr>
          <w:p w14:paraId="6EDD232B">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支护</w:t>
            </w:r>
          </w:p>
        </w:tc>
        <w:tc>
          <w:tcPr>
            <w:tcW w:w="2168" w:type="dxa"/>
            <w:tcBorders>
              <w:top w:val="single" w:color="000000" w:sz="4" w:space="0"/>
              <w:left w:val="single" w:color="000000" w:sz="4" w:space="0"/>
              <w:bottom w:val="single" w:color="000000" w:sz="4" w:space="0"/>
              <w:right w:val="single" w:color="000000" w:sz="4" w:space="0"/>
            </w:tcBorders>
            <w:vAlign w:val="center"/>
          </w:tcPr>
          <w:p w14:paraId="682D7D1A">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083" w:type="dxa"/>
            <w:tcBorders>
              <w:top w:val="single" w:color="000000" w:sz="4" w:space="0"/>
              <w:left w:val="single" w:color="000000" w:sz="4" w:space="0"/>
              <w:bottom w:val="single" w:color="000000" w:sz="4" w:space="0"/>
              <w:right w:val="single" w:color="000000" w:sz="4" w:space="0"/>
            </w:tcBorders>
            <w:vAlign w:val="center"/>
          </w:tcPr>
          <w:p w14:paraId="2BF014B3">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检查顶帮完好，无片帮</w:t>
            </w:r>
          </w:p>
        </w:tc>
      </w:tr>
      <w:tr w14:paraId="27233660">
        <w:tblPrEx>
          <w:tblCellMar>
            <w:top w:w="0" w:type="dxa"/>
            <w:left w:w="108" w:type="dxa"/>
            <w:bottom w:w="0" w:type="dxa"/>
            <w:right w:w="108" w:type="dxa"/>
          </w:tblCellMar>
        </w:tblPrEx>
        <w:trPr>
          <w:trHeight w:val="577" w:hRule="atLeast"/>
          <w:jc w:val="center"/>
        </w:trPr>
        <w:tc>
          <w:tcPr>
            <w:tcW w:w="1475" w:type="dxa"/>
            <w:vMerge w:val="continue"/>
            <w:tcBorders>
              <w:top w:val="single" w:color="000000" w:sz="4" w:space="0"/>
              <w:left w:val="single" w:color="000000" w:sz="4" w:space="0"/>
              <w:bottom w:val="single" w:color="000000" w:sz="4" w:space="0"/>
              <w:right w:val="single" w:color="000000" w:sz="4" w:space="0"/>
            </w:tcBorders>
            <w:vAlign w:val="center"/>
          </w:tcPr>
          <w:p w14:paraId="3D269F0F">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340E3FFE">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default"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稳平台</w:t>
            </w:r>
          </w:p>
        </w:tc>
        <w:tc>
          <w:tcPr>
            <w:tcW w:w="5083" w:type="dxa"/>
            <w:tcBorders>
              <w:top w:val="single" w:color="000000" w:sz="4" w:space="0"/>
              <w:left w:val="single" w:color="000000" w:sz="4" w:space="0"/>
              <w:bottom w:val="single" w:color="000000" w:sz="4" w:space="0"/>
              <w:right w:val="single" w:color="000000" w:sz="4" w:space="0"/>
            </w:tcBorders>
            <w:vAlign w:val="center"/>
          </w:tcPr>
          <w:p w14:paraId="375E72B9">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default"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作业平台施打牢固</w:t>
            </w:r>
          </w:p>
        </w:tc>
      </w:tr>
      <w:tr w14:paraId="30E8DB82">
        <w:tblPrEx>
          <w:tblCellMar>
            <w:top w:w="0" w:type="dxa"/>
            <w:left w:w="108" w:type="dxa"/>
            <w:bottom w:w="0" w:type="dxa"/>
            <w:right w:w="108" w:type="dxa"/>
          </w:tblCellMar>
        </w:tblPrEx>
        <w:trPr>
          <w:trHeight w:val="1038" w:hRule="atLeast"/>
          <w:jc w:val="center"/>
        </w:trPr>
        <w:tc>
          <w:tcPr>
            <w:tcW w:w="1475" w:type="dxa"/>
            <w:vMerge w:val="continue"/>
            <w:tcBorders>
              <w:top w:val="single" w:color="000000" w:sz="4" w:space="0"/>
              <w:left w:val="single" w:color="000000" w:sz="4" w:space="0"/>
              <w:bottom w:val="single" w:color="000000" w:sz="4" w:space="0"/>
              <w:right w:val="single" w:color="000000" w:sz="4" w:space="0"/>
            </w:tcBorders>
            <w:vAlign w:val="center"/>
          </w:tcPr>
          <w:p w14:paraId="597634B5">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73ED199D">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083" w:type="dxa"/>
            <w:tcBorders>
              <w:top w:val="single" w:color="000000" w:sz="4" w:space="0"/>
              <w:left w:val="single" w:color="000000" w:sz="4" w:space="0"/>
              <w:bottom w:val="single" w:color="000000" w:sz="4" w:space="0"/>
              <w:right w:val="single" w:color="000000" w:sz="4" w:space="0"/>
            </w:tcBorders>
            <w:vAlign w:val="center"/>
          </w:tcPr>
          <w:p w14:paraId="2BCC75CF">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default"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支护过程中各种操作要按规定进行</w:t>
            </w:r>
          </w:p>
        </w:tc>
      </w:tr>
      <w:tr w14:paraId="43655B27">
        <w:tblPrEx>
          <w:tblCellMar>
            <w:top w:w="0" w:type="dxa"/>
            <w:left w:w="108" w:type="dxa"/>
            <w:bottom w:w="0" w:type="dxa"/>
            <w:right w:w="108" w:type="dxa"/>
          </w:tblCellMar>
        </w:tblPrEx>
        <w:trPr>
          <w:trHeight w:val="586" w:hRule="atLeast"/>
          <w:jc w:val="center"/>
        </w:trPr>
        <w:tc>
          <w:tcPr>
            <w:tcW w:w="1475" w:type="dxa"/>
            <w:vMerge w:val="continue"/>
            <w:tcBorders>
              <w:top w:val="single" w:color="000000" w:sz="4" w:space="0"/>
              <w:left w:val="single" w:color="000000" w:sz="4" w:space="0"/>
              <w:bottom w:val="single" w:color="000000" w:sz="4" w:space="0"/>
              <w:right w:val="single" w:color="000000" w:sz="4" w:space="0"/>
            </w:tcBorders>
            <w:vAlign w:val="center"/>
          </w:tcPr>
          <w:p w14:paraId="3F6057C2">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5848B5E6">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站好位</w:t>
            </w:r>
          </w:p>
        </w:tc>
        <w:tc>
          <w:tcPr>
            <w:tcW w:w="5083" w:type="dxa"/>
            <w:tcBorders>
              <w:top w:val="single" w:color="000000" w:sz="4" w:space="0"/>
              <w:left w:val="single" w:color="000000" w:sz="4" w:space="0"/>
              <w:bottom w:val="single" w:color="000000" w:sz="4" w:space="0"/>
              <w:right w:val="single" w:color="000000" w:sz="4" w:space="0"/>
            </w:tcBorders>
            <w:vAlign w:val="center"/>
          </w:tcPr>
          <w:p w14:paraId="1230C264">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default"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递料时注意站位</w:t>
            </w:r>
          </w:p>
        </w:tc>
      </w:tr>
    </w:tbl>
    <w:p w14:paraId="53FE55D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606BBA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14:paraId="5F3508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14:paraId="6F25AD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14:paraId="1CC396D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14:paraId="153FFC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14:paraId="7384FB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14:paraId="06065B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14:paraId="2CE625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14:paraId="731E6A7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14:paraId="12D666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14:paraId="1673E8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14:paraId="1ED7EE1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14:paraId="33CD48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14:paraId="3CEFE8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14:paraId="2CDADA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14:paraId="101CCB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14:paraId="7C8C2B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（十七）在高度大于2米以上高空作业时，必须拴好安全带。</w:t>
      </w:r>
    </w:p>
    <w:p w14:paraId="71F60EA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765C07E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5BA335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11769A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3347D9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2B835D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2244836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778EB7D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7E1C8D3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198FAE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1845BB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315290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01BDCA0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30800B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350A81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6C29A0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0CDDDD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5D4152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7C9B61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0D0A26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16FE87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02EFA8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5CA697B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65813F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328D68B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3A2C9EC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132E82C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46D894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23855C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02665D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1F7CD0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1B819B8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6728314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4AB388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657E3A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581803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6A1C36D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05F9BB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6F4CE8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6AFCAD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68324D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6B4197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116F4C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309C6B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442CC5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216BFA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3740D6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25F789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092F7D0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14:paraId="7368F74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14:paraId="4DBEDB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风险描述：煤层自燃倾向性为Ⅰ类，属于容易自燃煤层，工作面回采和回撤期间存在自然发火风险；</w:t>
      </w:r>
    </w:p>
    <w:p w14:paraId="2712B1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管控措施：工作面沿煤层顶部回采，确保顶煤回采干净</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每班结束后，安排专人对架空浮煤进行清理；严格落实采空区注浆、注惰性气体、喷洒阻化剂等防火措施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加强现场监督，确保进、回风隅角封堵严实</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设置自然发火观测点，定期进行检查</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工作面停采前对工作面架后随网敷设风筒布，减少采空区漏风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定期对仪器仪表调校和鉴定，确保仪器仪表准确性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按规定安设防尘供水管路，并敷设到工作面</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保证回撤进度，工作面必须在45天内回撤结束，并进行封闭。</w:t>
      </w:r>
    </w:p>
    <w:p w14:paraId="45A3081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煤尘具有爆炸性，生产作业时产尘量较大，易造成煤尘堆积，机械截割时产生摩擦火花；易发生煤尘爆炸的风险。</w:t>
      </w:r>
    </w:p>
    <w:p w14:paraId="068B24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管控措施：定期检查工作面供水水量、水压，规范使用灭尘喷雾泵，确保水量、水压满足要求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合理调配工作面风量，符合排尘风速要求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落实工作面及皮带巷内各位喷雾降尘装置的检查维护工作，安装使用内、外喷雾装置，生产作业时开启使用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严格巷道粉尘冲刷制度，建立工作面粉尘冲刷责任牌板，做到巷道底板、两帮、设备和电缆上无积尘，巷道底板经常保持湿润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定期开展粉尘浓度检测，结合检测结果，进一步优化工作面风量供给，提高减尘、抑尘、排尘、降尘、除尘等综合防尘措施效果</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采取措施消除截割作业时，滚筒与锚杆或锚索等金属摩擦火花。杜绝明火作业、电气设备失爆等各类点火源存在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按规定安设隔爆水棚，定期对水棚进行检查，对缺水的水袋及时进行加水</w:t>
      </w:r>
      <w:r>
        <w:rPr>
          <w:rFonts w:hint="eastAsia" w:ascii="仿宋" w:hAnsi="仿宋" w:eastAsia="仿宋" w:cs="仿宋"/>
          <w:color w:val="auto"/>
          <w:sz w:val="28"/>
          <w:szCs w:val="28"/>
          <w:highlight w:val="none"/>
          <w:lang w:eastAsia="zh-CN"/>
        </w:rPr>
        <w:t>。</w:t>
      </w:r>
    </w:p>
    <w:p w14:paraId="63968FB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）专用</w:t>
      </w:r>
      <w:r>
        <w:rPr>
          <w:rFonts w:hint="eastAsia" w:ascii="仿宋" w:hAnsi="仿宋" w:eastAsia="仿宋" w:cs="仿宋"/>
          <w:b/>
          <w:bCs/>
          <w:color w:val="auto"/>
          <w:sz w:val="28"/>
          <w:szCs w:val="28"/>
          <w:highlight w:val="none"/>
          <w:lang w:val="en-US" w:eastAsia="zh-CN"/>
        </w:rPr>
        <w:t>部分</w:t>
      </w:r>
    </w:p>
    <w:p w14:paraId="4C35F9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1.支护前：</w:t>
      </w:r>
    </w:p>
    <w:p w14:paraId="7B3483AB">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风险描述：顶板、帮部掉落矸石，存在冒顶（片帮）的风险。</w:t>
      </w:r>
    </w:p>
    <w:p w14:paraId="2BC600F8">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作业前对周围巷道进行敲帮问顶工作。</w:t>
      </w:r>
    </w:p>
    <w:p w14:paraId="26A98E3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2.支护过程中：</w:t>
      </w:r>
    </w:p>
    <w:p w14:paraId="0DB9C0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风险描述：单体支柱作业期间存在</w:t>
      </w:r>
      <w:r>
        <w:rPr>
          <w:rFonts w:hint="eastAsia" w:ascii="仿宋" w:hAnsi="仿宋" w:eastAsia="仿宋" w:cs="仿宋"/>
          <w:color w:val="auto"/>
          <w:sz w:val="28"/>
          <w:szCs w:val="28"/>
          <w:highlight w:val="none"/>
          <w:lang w:val="en-US" w:eastAsia="zh-CN"/>
        </w:rPr>
        <w:t>物体打击风险。</w:t>
      </w:r>
    </w:p>
    <w:p w14:paraId="094CEF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管控措施：各绑扎点使用不少于4股尼龙绳绑扎牢固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Π钢托架中部下方要施打的单体顶柱</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单体柱辅助作业期间，要注意人员站位</w:t>
      </w:r>
      <w:r>
        <w:rPr>
          <w:rFonts w:hint="eastAsia" w:ascii="仿宋" w:hAnsi="仿宋" w:eastAsia="仿宋" w:cs="仿宋"/>
          <w:color w:val="auto"/>
          <w:sz w:val="28"/>
          <w:szCs w:val="28"/>
          <w:highlight w:val="none"/>
          <w:lang w:eastAsia="zh-CN"/>
        </w:rPr>
        <w:t>。</w:t>
      </w:r>
    </w:p>
    <w:p w14:paraId="69A22E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支设或拆除单体支柱时，必须1人扶柱监护，1人轻缓地打压注液或卸液，2人协调作业；支设单体支柱后，一人扶柱，一人拴设防倒绳，在未拴设防倒绳之前，扶柱人不得离开单体柱，且必须扶住单体柱</w:t>
      </w:r>
      <w:r>
        <w:rPr>
          <w:rFonts w:hint="eastAsia" w:ascii="仿宋" w:hAnsi="仿宋" w:eastAsia="仿宋" w:cs="仿宋"/>
          <w:color w:val="auto"/>
          <w:sz w:val="28"/>
          <w:szCs w:val="28"/>
          <w:highlight w:val="none"/>
          <w:lang w:eastAsia="zh-CN"/>
        </w:rPr>
        <w:t>。</w:t>
      </w:r>
    </w:p>
    <w:p w14:paraId="5B4D40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严禁使用掉爪单体柱。</w:t>
      </w:r>
    </w:p>
    <w:p w14:paraId="179606D0">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3.支护后：</w:t>
      </w:r>
    </w:p>
    <w:p w14:paraId="3CCF18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单体棚支护质量不合格，单体柱初撑力不足，单体柱超过8个月使用，巷道顶板存在冒顶的风险</w:t>
      </w:r>
      <w:r>
        <w:rPr>
          <w:rFonts w:hint="eastAsia" w:ascii="仿宋" w:hAnsi="仿宋" w:eastAsia="仿宋" w:cs="仿宋"/>
          <w:color w:val="auto"/>
          <w:sz w:val="28"/>
          <w:szCs w:val="28"/>
          <w:highlight w:val="none"/>
          <w:lang w:eastAsia="zh-CN"/>
        </w:rPr>
        <w:t>。</w:t>
      </w:r>
    </w:p>
    <w:p w14:paraId="433A11A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加强单体棚日常质量检查；加强支柱初撑力检查；严禁使用超期单体柱。</w:t>
      </w:r>
    </w:p>
    <w:p w14:paraId="559D80F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支护</w:t>
      </w:r>
      <w:r>
        <w:rPr>
          <w:rFonts w:hint="eastAsia" w:ascii="仿宋" w:hAnsi="仿宋" w:eastAsia="仿宋" w:cs="仿宋"/>
          <w:b/>
          <w:color w:val="auto"/>
          <w:sz w:val="28"/>
          <w:szCs w:val="28"/>
          <w:highlight w:val="none"/>
        </w:rPr>
        <w:t>前检查</w:t>
      </w:r>
    </w:p>
    <w:p w14:paraId="60DB3F73">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rPr>
        <w:t>顶帮：每班交接班时，班组长必须先检查施工地点的支护情况，严格</w:t>
      </w:r>
      <w:r>
        <w:rPr>
          <w:rFonts w:hint="eastAsia" w:ascii="仿宋" w:hAnsi="仿宋" w:eastAsia="仿宋" w:cs="仿宋"/>
          <w:b w:val="0"/>
          <w:bCs/>
          <w:color w:val="auto"/>
          <w:sz w:val="28"/>
          <w:szCs w:val="28"/>
          <w:highlight w:val="none"/>
          <w:lang w:eastAsia="zh-CN"/>
        </w:rPr>
        <w:t>按规定进行</w:t>
      </w:r>
      <w:r>
        <w:rPr>
          <w:rFonts w:hint="eastAsia" w:ascii="仿宋" w:hAnsi="仿宋" w:eastAsia="仿宋" w:cs="仿宋"/>
          <w:b w:val="0"/>
          <w:bCs/>
          <w:color w:val="auto"/>
          <w:sz w:val="28"/>
          <w:szCs w:val="28"/>
          <w:highlight w:val="none"/>
        </w:rPr>
        <w:t>敲帮问顶</w:t>
      </w:r>
      <w:r>
        <w:rPr>
          <w:rFonts w:hint="eastAsia"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rPr>
        <w:t>发现问题及时处理，未处理妥善前不得进行其它工作</w:t>
      </w:r>
      <w:r>
        <w:rPr>
          <w:rFonts w:hint="eastAsia" w:ascii="仿宋" w:hAnsi="仿宋" w:eastAsia="仿宋" w:cs="仿宋"/>
          <w:b w:val="0"/>
          <w:bCs/>
          <w:color w:val="auto"/>
          <w:sz w:val="28"/>
          <w:szCs w:val="28"/>
          <w:highlight w:val="none"/>
          <w:lang w:eastAsia="zh-CN"/>
        </w:rPr>
        <w:t>。</w:t>
      </w:r>
    </w:p>
    <w:p w14:paraId="360B9E44">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.站位：人员在发π钢、道木背顶时，下方向上递料人员必须站在平台施工人员的后方，躲开物料掉落伤人的范围，在向上递料时，必须等接料人员牢固拿住物料后方可松手，以防物料掉落伤人</w:t>
      </w:r>
      <w:r>
        <w:rPr>
          <w:rFonts w:hint="eastAsia" w:ascii="仿宋" w:hAnsi="仿宋" w:eastAsia="仿宋" w:cs="仿宋"/>
          <w:color w:val="auto"/>
          <w:sz w:val="28"/>
          <w:szCs w:val="28"/>
          <w:highlight w:val="none"/>
          <w:lang w:eastAsia="zh-CN"/>
        </w:rPr>
        <w:t>。</w:t>
      </w:r>
    </w:p>
    <w:p w14:paraId="5980290E">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口罩</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口罩已佩戴</w:t>
      </w:r>
      <w:r>
        <w:rPr>
          <w:rFonts w:hint="eastAsia" w:ascii="仿宋" w:hAnsi="仿宋" w:eastAsia="仿宋" w:cs="仿宋"/>
          <w:color w:val="auto"/>
          <w:sz w:val="28"/>
          <w:szCs w:val="28"/>
          <w:highlight w:val="none"/>
          <w:lang w:eastAsia="zh-CN"/>
        </w:rPr>
        <w:t>。</w:t>
      </w:r>
    </w:p>
    <w:p w14:paraId="4F64475F">
      <w:pPr>
        <w:keepNext w:val="0"/>
        <w:keepLines w:val="0"/>
        <w:pageBreakBefore w:val="0"/>
        <w:kinsoku/>
        <w:wordWrap/>
        <w:overflowPunct/>
        <w:topLinePunct w:val="0"/>
        <w:autoSpaceDE/>
        <w:autoSpaceDN/>
        <w:bidi w:val="0"/>
        <w:adjustRightInd/>
        <w:spacing w:line="500" w:lineRule="exact"/>
        <w:ind w:firstLine="562" w:firstLineChars="200"/>
        <w:jc w:val="left"/>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rPr>
        <w:t>单元检查表确认：</w:t>
      </w:r>
    </w:p>
    <w:p w14:paraId="6E6C3C5B">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顶板</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敲帮问顶，顶板及帮部状态完好，无片落现象。</w:t>
      </w:r>
    </w:p>
    <w:p w14:paraId="322F4EE2">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防倒绳绑扎</w:t>
      </w:r>
      <w:r>
        <w:rPr>
          <w:rFonts w:hint="eastAsia" w:ascii="仿宋" w:hAnsi="仿宋" w:eastAsia="仿宋" w:cs="仿宋"/>
          <w:color w:val="auto"/>
          <w:sz w:val="28"/>
          <w:szCs w:val="28"/>
          <w:highlight w:val="none"/>
          <w:lang w:eastAsia="zh-CN"/>
        </w:rPr>
        <w:t>：在未拴设防倒绳之前，扶柱人不得离开单体柱，且必须扶住单体柱。</w:t>
      </w:r>
    </w:p>
    <w:p w14:paraId="2DDC3589">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单体支柱初撑力大小</w:t>
      </w:r>
      <w:r>
        <w:rPr>
          <w:rFonts w:hint="eastAsia" w:ascii="仿宋" w:hAnsi="仿宋" w:eastAsia="仿宋" w:cs="仿宋"/>
          <w:color w:val="auto"/>
          <w:sz w:val="28"/>
          <w:szCs w:val="28"/>
          <w:highlight w:val="none"/>
        </w:rPr>
        <w:t>：单体支柱初撑力不低于11.5MPa。</w:t>
      </w:r>
    </w:p>
    <w:p w14:paraId="6CBF416C">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单体支柱有无泄液</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查看单体支柱状态，检查是否存在泄液柱</w:t>
      </w:r>
      <w:r>
        <w:rPr>
          <w:rFonts w:hint="eastAsia" w:ascii="仿宋" w:hAnsi="仿宋" w:eastAsia="仿宋" w:cs="仿宋"/>
          <w:color w:val="auto"/>
          <w:sz w:val="28"/>
          <w:szCs w:val="28"/>
          <w:highlight w:val="none"/>
        </w:rPr>
        <w:t>。</w:t>
      </w:r>
    </w:p>
    <w:p w14:paraId="16614C9D">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底板是否平整</w:t>
      </w:r>
      <w:r>
        <w:rPr>
          <w:rFonts w:hint="eastAsia" w:ascii="仿宋" w:hAnsi="仿宋" w:eastAsia="仿宋" w:cs="仿宋"/>
          <w:color w:val="auto"/>
          <w:sz w:val="28"/>
          <w:szCs w:val="28"/>
          <w:highlight w:val="none"/>
        </w:rPr>
        <w:t>：底板清理平整，铁鞋摆平</w:t>
      </w:r>
      <w:r>
        <w:rPr>
          <w:rFonts w:hint="eastAsia" w:ascii="仿宋" w:hAnsi="仿宋" w:eastAsia="仿宋" w:cs="仿宋"/>
          <w:color w:val="auto"/>
          <w:sz w:val="28"/>
          <w:szCs w:val="28"/>
          <w:highlight w:val="none"/>
          <w:lang w:eastAsia="zh-CN"/>
        </w:rPr>
        <w:t>。</w:t>
      </w:r>
    </w:p>
    <w:p w14:paraId="6A3BE83A">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单体支柱扎角</w:t>
      </w:r>
      <w:r>
        <w:rPr>
          <w:rFonts w:hint="eastAsia" w:ascii="仿宋" w:hAnsi="仿宋" w:eastAsia="仿宋" w:cs="仿宋"/>
          <w:color w:val="auto"/>
          <w:sz w:val="28"/>
          <w:szCs w:val="28"/>
          <w:highlight w:val="none"/>
        </w:rPr>
        <w:t>:单体支柱按照支护要求扎角支设，要做到正、稳、平，严禁出现失脚现象</w:t>
      </w:r>
      <w:r>
        <w:rPr>
          <w:rFonts w:hint="eastAsia" w:ascii="仿宋" w:hAnsi="仿宋" w:eastAsia="仿宋" w:cs="仿宋"/>
          <w:color w:val="auto"/>
          <w:sz w:val="28"/>
          <w:szCs w:val="28"/>
          <w:highlight w:val="none"/>
          <w:lang w:eastAsia="zh-CN"/>
        </w:rPr>
        <w:t>。</w:t>
      </w:r>
    </w:p>
    <w:p w14:paraId="123B4821">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支护长度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测量上下顺支护长度是否满足设计要求</w:t>
      </w:r>
      <w:r>
        <w:rPr>
          <w:rFonts w:hint="eastAsia" w:ascii="仿宋" w:hAnsi="仿宋" w:eastAsia="仿宋" w:cs="仿宋"/>
          <w:color w:val="auto"/>
          <w:sz w:val="28"/>
          <w:szCs w:val="28"/>
          <w:highlight w:val="none"/>
        </w:rPr>
        <w:t>。</w:t>
      </w:r>
    </w:p>
    <w:p w14:paraId="49D997E6">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工作面支护与巷道支护间距</w:t>
      </w:r>
      <w:r>
        <w:rPr>
          <w:rFonts w:hint="eastAsia" w:ascii="仿宋" w:hAnsi="仿宋" w:eastAsia="仿宋" w:cs="仿宋"/>
          <w:color w:val="auto"/>
          <w:sz w:val="28"/>
          <w:szCs w:val="28"/>
          <w:highlight w:val="none"/>
        </w:rPr>
        <w:t>:工作面支护与巷道支护间距控制合理（小于50cm）</w:t>
      </w:r>
      <w:r>
        <w:rPr>
          <w:rFonts w:hint="eastAsia" w:ascii="仿宋" w:hAnsi="仿宋" w:eastAsia="仿宋" w:cs="仿宋"/>
          <w:color w:val="auto"/>
          <w:sz w:val="28"/>
          <w:szCs w:val="28"/>
          <w:highlight w:val="none"/>
          <w:lang w:eastAsia="zh-CN"/>
        </w:rPr>
        <w:t>。</w:t>
      </w:r>
    </w:p>
    <w:p w14:paraId="379A00B7">
      <w:pPr>
        <w:keepNext w:val="0"/>
        <w:keepLines w:val="0"/>
        <w:pageBreakBefore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五、</w:t>
      </w:r>
      <w:r>
        <w:rPr>
          <w:rFonts w:hint="eastAsia" w:ascii="仿宋" w:hAnsi="仿宋" w:eastAsia="仿宋" w:cs="仿宋"/>
          <w:b/>
          <w:color w:val="auto"/>
          <w:sz w:val="28"/>
          <w:szCs w:val="28"/>
          <w:highlight w:val="none"/>
          <w:lang w:val="en-US" w:eastAsia="zh-CN"/>
        </w:rPr>
        <w:t>支护工</w:t>
      </w:r>
      <w:r>
        <w:rPr>
          <w:rFonts w:hint="eastAsia" w:ascii="仿宋" w:hAnsi="仿宋" w:eastAsia="仿宋" w:cs="仿宋"/>
          <w:b/>
          <w:color w:val="auto"/>
          <w:sz w:val="28"/>
          <w:szCs w:val="28"/>
          <w:highlight w:val="none"/>
        </w:rPr>
        <w:t>正规操作</w:t>
      </w:r>
    </w:p>
    <w:p w14:paraId="66DF72E4">
      <w:pPr>
        <w:keepNext w:val="0"/>
        <w:keepLines w:val="0"/>
        <w:pageBreakBefore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val="en-US" w:eastAsia="zh-CN"/>
        </w:rPr>
        <w:t>支护工</w:t>
      </w:r>
      <w:r>
        <w:rPr>
          <w:rFonts w:hint="eastAsia" w:ascii="仿宋" w:hAnsi="仿宋" w:eastAsia="仿宋" w:cs="仿宋"/>
          <w:b/>
          <w:color w:val="auto"/>
          <w:sz w:val="28"/>
          <w:szCs w:val="28"/>
          <w:highlight w:val="none"/>
        </w:rPr>
        <w:t>操作顺序：</w:t>
      </w:r>
    </w:p>
    <w:p w14:paraId="073C986A">
      <w:pPr>
        <w:keepNext w:val="0"/>
        <w:keepLines w:val="0"/>
        <w:pageBreakBefore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rPr>
        <w:t>敲帮问顶→支设固定π钢托架→施打作业平台→摆设π钢→道木背顶→铺设铁鞋→支设单体支柱→绑扎防倒绳</w:t>
      </w:r>
      <w:r>
        <w:rPr>
          <w:rFonts w:hint="eastAsia" w:ascii="仿宋" w:hAnsi="仿宋" w:eastAsia="仿宋" w:cs="仿宋"/>
          <w:b w:val="0"/>
          <w:bCs/>
          <w:color w:val="auto"/>
          <w:sz w:val="28"/>
          <w:szCs w:val="28"/>
          <w:highlight w:val="none"/>
          <w:lang w:eastAsia="zh-CN"/>
        </w:rPr>
        <w:t>。</w:t>
      </w:r>
    </w:p>
    <w:p w14:paraId="0A636FC4">
      <w:pPr>
        <w:keepNext w:val="0"/>
        <w:keepLines w:val="0"/>
        <w:pageBreakBefore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w:t>
      </w:r>
      <w:r>
        <w:rPr>
          <w:rFonts w:hint="eastAsia" w:ascii="仿宋" w:hAnsi="仿宋" w:eastAsia="仿宋" w:cs="仿宋"/>
          <w:b/>
          <w:color w:val="auto"/>
          <w:sz w:val="28"/>
          <w:szCs w:val="28"/>
          <w:highlight w:val="none"/>
          <w:lang w:val="en-US" w:eastAsia="zh-CN"/>
        </w:rPr>
        <w:t>支护工</w:t>
      </w:r>
      <w:r>
        <w:rPr>
          <w:rFonts w:hint="eastAsia" w:ascii="仿宋" w:hAnsi="仿宋" w:eastAsia="仿宋" w:cs="仿宋"/>
          <w:b/>
          <w:color w:val="auto"/>
          <w:sz w:val="28"/>
          <w:szCs w:val="28"/>
          <w:highlight w:val="none"/>
        </w:rPr>
        <w:t>正规操作：</w:t>
      </w:r>
    </w:p>
    <w:p w14:paraId="30DBE892">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1.施工前，首先在有经验的老工人的监护下，</w:t>
      </w:r>
      <w:r>
        <w:rPr>
          <w:rFonts w:hint="eastAsia" w:ascii="仿宋" w:hAnsi="仿宋" w:eastAsia="仿宋" w:cs="仿宋"/>
          <w:color w:val="auto"/>
          <w:sz w:val="28"/>
          <w:szCs w:val="28"/>
          <w:highlight w:val="none"/>
          <w:lang w:eastAsia="zh-CN"/>
        </w:rPr>
        <w:t>按规定</w:t>
      </w:r>
      <w:r>
        <w:rPr>
          <w:rFonts w:hint="eastAsia" w:ascii="仿宋" w:hAnsi="仿宋" w:eastAsia="仿宋" w:cs="仿宋"/>
          <w:color w:val="auto"/>
          <w:sz w:val="28"/>
          <w:szCs w:val="28"/>
          <w:highlight w:val="none"/>
        </w:rPr>
        <w:t>进行敲帮问顶，确认安全无危险后方可进行作业。</w:t>
      </w:r>
    </w:p>
    <w:p w14:paraId="2F60FB65">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在支护位置两侧各支设2棵单体点柱，然后顺巷绑扎2根约6m长的DN50钢管，钢管间距不得小于1.4m，钢管两端绑扎到已支好的单体点柱上（一侧有支护时，可以在外侧支设2棵单体点柱，钢管一头绑扎在支护的π钢下方），并在钢管中部下方位置施打顶柱。</w:t>
      </w:r>
    </w:p>
    <w:p w14:paraId="0FA5CEAE">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按平台施打方法施打好作业平台，人员站在大板上将π钢按规定间距摆放好，然后进行背顶。</w:t>
      </w:r>
    </w:p>
    <w:p w14:paraId="43E45C8D">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顶板道木背实后，进行铺设铁鞋、施打单体支柱，两帮单体柱逐架同时注液升柱，两帮单体支柱支设完毕后再支设中柱。</w:t>
      </w:r>
    </w:p>
    <w:p w14:paraId="735BEE00">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每棵单体支柱施打完毕后，必须及时将防倒绳拴设牢固。</w:t>
      </w:r>
    </w:p>
    <w:p w14:paraId="43EBB21E">
      <w:pPr>
        <w:keepNext w:val="0"/>
        <w:keepLines w:val="0"/>
        <w:pageBreakBefore w:val="0"/>
        <w:kinsoku/>
        <w:wordWrap/>
        <w:overflowPunct/>
        <w:topLinePunct w:val="0"/>
        <w:autoSpaceDE/>
        <w:autoSpaceDN/>
        <w:bidi w:val="0"/>
        <w:adjustRightInd/>
        <w:spacing w:line="500" w:lineRule="exact"/>
        <w:ind w:firstLine="562" w:firstLineChars="200"/>
        <w:jc w:val="left"/>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支护工</w:t>
      </w:r>
      <w:r>
        <w:rPr>
          <w:rFonts w:hint="eastAsia" w:ascii="仿宋" w:hAnsi="仿宋" w:eastAsia="仿宋" w:cs="仿宋"/>
          <w:b/>
          <w:color w:val="auto"/>
          <w:sz w:val="28"/>
          <w:szCs w:val="28"/>
          <w:highlight w:val="none"/>
        </w:rPr>
        <w:t>操作过程中的安全注意事项：</w:t>
      </w:r>
    </w:p>
    <w:p w14:paraId="7A76A105">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val="en-US" w:eastAsia="zh-CN"/>
        </w:rPr>
        <w:t>支护</w:t>
      </w:r>
    </w:p>
    <w:p w14:paraId="5916CCE5">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检查顶帮完好，无片帮</w:t>
      </w:r>
      <w:r>
        <w:rPr>
          <w:rFonts w:hint="eastAsia" w:ascii="仿宋" w:hAnsi="仿宋" w:eastAsia="仿宋" w:cs="仿宋"/>
          <w:color w:val="auto"/>
          <w:kern w:val="0"/>
          <w:sz w:val="28"/>
          <w:szCs w:val="28"/>
          <w:highlight w:val="none"/>
          <w:lang w:eastAsia="zh-CN"/>
        </w:rPr>
        <w:t>；</w:t>
      </w:r>
    </w:p>
    <w:p w14:paraId="2130BF1E">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稳平台：</w:t>
      </w:r>
      <w:r>
        <w:rPr>
          <w:rFonts w:hint="eastAsia" w:ascii="仿宋" w:hAnsi="仿宋" w:eastAsia="仿宋" w:cs="仿宋"/>
          <w:color w:val="auto"/>
          <w:kern w:val="0"/>
          <w:sz w:val="28"/>
          <w:szCs w:val="28"/>
          <w:highlight w:val="none"/>
        </w:rPr>
        <w:t>作业平台施打牢固</w:t>
      </w:r>
      <w:r>
        <w:rPr>
          <w:rFonts w:hint="eastAsia" w:ascii="仿宋" w:hAnsi="仿宋" w:eastAsia="仿宋" w:cs="仿宋"/>
          <w:color w:val="auto"/>
          <w:kern w:val="0"/>
          <w:sz w:val="28"/>
          <w:szCs w:val="28"/>
          <w:highlight w:val="none"/>
          <w:lang w:eastAsia="zh-CN"/>
        </w:rPr>
        <w:t>；</w:t>
      </w:r>
    </w:p>
    <w:p w14:paraId="4915BCEC">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rPr>
        <w:t>支护过程中各种操作要按规定进行</w:t>
      </w:r>
      <w:r>
        <w:rPr>
          <w:rFonts w:hint="eastAsia" w:ascii="仿宋" w:hAnsi="仿宋" w:eastAsia="仿宋" w:cs="仿宋"/>
          <w:color w:val="auto"/>
          <w:kern w:val="0"/>
          <w:sz w:val="28"/>
          <w:szCs w:val="28"/>
          <w:highlight w:val="none"/>
          <w:lang w:eastAsia="zh-CN"/>
        </w:rPr>
        <w:t>；</w:t>
      </w:r>
    </w:p>
    <w:p w14:paraId="4C7CB755">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b/>
          <w:color w:val="auto"/>
          <w:sz w:val="28"/>
          <w:szCs w:val="28"/>
          <w:highlight w:val="none"/>
        </w:rPr>
        <w:t>4</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站好位：</w:t>
      </w:r>
      <w:r>
        <w:rPr>
          <w:rFonts w:hint="eastAsia" w:ascii="仿宋" w:hAnsi="仿宋" w:eastAsia="仿宋" w:cs="仿宋"/>
          <w:color w:val="auto"/>
          <w:kern w:val="0"/>
          <w:sz w:val="28"/>
          <w:szCs w:val="28"/>
          <w:highlight w:val="none"/>
        </w:rPr>
        <w:t>递料时注意站位。</w:t>
      </w:r>
    </w:p>
    <w:p w14:paraId="11EBECB1">
      <w:pPr>
        <w:pStyle w:val="16"/>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default" w:ascii="仿宋" w:hAnsi="仿宋" w:eastAsia="仿宋" w:cs="仿宋"/>
          <w:b/>
          <w:color w:val="auto"/>
          <w:kern w:val="2"/>
          <w:sz w:val="28"/>
          <w:szCs w:val="28"/>
          <w:highlight w:val="none"/>
          <w:lang w:val="en-US" w:eastAsia="zh-CN" w:bidi="ar-SA"/>
        </w:rPr>
      </w:pPr>
      <w:r>
        <w:rPr>
          <w:rFonts w:hint="eastAsia" w:ascii="仿宋" w:hAnsi="仿宋" w:eastAsia="仿宋" w:cs="仿宋"/>
          <w:b/>
          <w:color w:val="auto"/>
          <w:kern w:val="2"/>
          <w:sz w:val="28"/>
          <w:szCs w:val="28"/>
          <w:highlight w:val="none"/>
          <w:lang w:val="en-US" w:eastAsia="zh-CN" w:bidi="ar-SA"/>
        </w:rPr>
        <w:t>七、全部注意事项</w:t>
      </w:r>
    </w:p>
    <w:p w14:paraId="32EE7926">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lang w:val="en-US" w:eastAsia="zh-CN"/>
        </w:rPr>
        <w:t>1.</w:t>
      </w:r>
      <w:r>
        <w:rPr>
          <w:rFonts w:hint="eastAsia" w:ascii="仿宋" w:hAnsi="仿宋" w:eastAsia="仿宋" w:cs="仿宋"/>
          <w:color w:val="auto"/>
          <w:kern w:val="0"/>
          <w:sz w:val="28"/>
          <w:szCs w:val="28"/>
          <w:highlight w:val="none"/>
        </w:rPr>
        <w:t>每班交接班时，班组长必须先检查施工地点的支护情况，严格</w:t>
      </w:r>
      <w:r>
        <w:rPr>
          <w:rFonts w:hint="eastAsia" w:ascii="仿宋" w:hAnsi="仿宋" w:eastAsia="仿宋" w:cs="仿宋"/>
          <w:color w:val="auto"/>
          <w:kern w:val="0"/>
          <w:sz w:val="28"/>
          <w:szCs w:val="28"/>
          <w:highlight w:val="none"/>
          <w:lang w:eastAsia="zh-CN"/>
        </w:rPr>
        <w:t>按规定进行</w:t>
      </w:r>
      <w:r>
        <w:rPr>
          <w:rFonts w:hint="eastAsia" w:ascii="仿宋" w:hAnsi="仿宋" w:eastAsia="仿宋" w:cs="仿宋"/>
          <w:color w:val="auto"/>
          <w:kern w:val="0"/>
          <w:sz w:val="28"/>
          <w:szCs w:val="28"/>
          <w:highlight w:val="none"/>
        </w:rPr>
        <w:t>敲帮问顶</w:t>
      </w:r>
      <w:r>
        <w:rPr>
          <w:rFonts w:hint="eastAsia" w:ascii="仿宋" w:hAnsi="仿宋" w:eastAsia="仿宋" w:cs="仿宋"/>
          <w:color w:val="auto"/>
          <w:kern w:val="0"/>
          <w:sz w:val="28"/>
          <w:szCs w:val="28"/>
          <w:highlight w:val="none"/>
          <w:lang w:eastAsia="zh-CN"/>
        </w:rPr>
        <w:t>。</w:t>
      </w:r>
      <w:r>
        <w:rPr>
          <w:rFonts w:hint="eastAsia" w:ascii="仿宋" w:hAnsi="仿宋" w:eastAsia="仿宋" w:cs="仿宋"/>
          <w:color w:val="auto"/>
          <w:kern w:val="0"/>
          <w:sz w:val="28"/>
          <w:szCs w:val="28"/>
          <w:highlight w:val="none"/>
        </w:rPr>
        <w:t>发现问题及时处理，未处理妥善前不得进行其它工作。</w:t>
      </w:r>
    </w:p>
    <w:p w14:paraId="1C85B652">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2</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支设的固定π钢托架必须绑扎牢固，单体点柱的施打必须牢固可靠，并按点柱支设要求绑扎防倒绳，DN50钢管必须使用不少于4股φ8mm尼龙绳绑扎牢固。在巷道顶板无固定点时，平行支设的两棵点柱必须使用两根DN50钢管，钢管的一端分别顶靠巷道两帮，两根钢管的另一端相互搭接，搭接长度不少于1m，并用双股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尼龙绳缠绕4道绑扎牢固；两根钢管与单体支柱连接处用双股φ8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尼龙绳缠绕4道绑扎牢固，点柱固定钢管紧贴托管下方，交汇处使用双股φ8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尼龙绳缠绕4股绑扎牢固。</w:t>
      </w:r>
    </w:p>
    <w:p w14:paraId="346A787D">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3</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固定π钢托架的DN50钢管中部下方施打的单体顶柱必须将其柱头使用不少于4股φ8mm尼龙绳与DN50钢管之间相连接，然后再使用不少于2股φ8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尼龙绳将柱把与巷帮锚杆相连接，并绑扎牢固可靠。</w:t>
      </w:r>
    </w:p>
    <w:p w14:paraId="068201E2">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4</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作业平台的施打必须牢固可靠，梯子与巷帮、大板与梯子用双股φ8mm尼龙绳绑扎牢固。在作业平台上方0.8m及1.5m高度围绕平台四周各绑扎1道φ8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尼龙绳，尼龙绳绑扎在单体点柱上，当做防护栏，尼龙绳必须张紧，并绑扎牢固。</w:t>
      </w:r>
    </w:p>
    <w:p w14:paraId="226EC09C">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5</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人员在发π钢、道木背顶时，下方向上递料人员必须站在平台施工人员的后方，躲开物料掉落伤人的范围，在向上递料时，必须等接料人员牢固拿住物料后方可松手，以防物料掉落伤人。</w:t>
      </w:r>
    </w:p>
    <w:p w14:paraId="19D4C41C">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6</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支设或拆除单体支柱时，必须</w:t>
      </w:r>
      <w:r>
        <w:rPr>
          <w:rFonts w:hint="eastAsia" w:ascii="仿宋" w:hAnsi="仿宋" w:eastAsia="仿宋" w:cs="仿宋"/>
          <w:color w:val="auto"/>
          <w:kern w:val="0"/>
          <w:sz w:val="28"/>
          <w:szCs w:val="28"/>
          <w:highlight w:val="none"/>
          <w:lang w:val="en-US" w:eastAsia="zh-CN"/>
        </w:rPr>
        <w:t>一</w:t>
      </w:r>
      <w:r>
        <w:rPr>
          <w:rFonts w:hint="eastAsia" w:ascii="仿宋" w:hAnsi="仿宋" w:eastAsia="仿宋" w:cs="仿宋"/>
          <w:color w:val="auto"/>
          <w:kern w:val="0"/>
          <w:sz w:val="28"/>
          <w:szCs w:val="28"/>
          <w:highlight w:val="none"/>
        </w:rPr>
        <w:t>人扶柱监护，</w:t>
      </w:r>
      <w:r>
        <w:rPr>
          <w:rFonts w:hint="eastAsia" w:ascii="仿宋" w:hAnsi="仿宋" w:eastAsia="仿宋" w:cs="仿宋"/>
          <w:color w:val="auto"/>
          <w:kern w:val="0"/>
          <w:sz w:val="28"/>
          <w:szCs w:val="28"/>
          <w:highlight w:val="none"/>
          <w:lang w:val="en-US" w:eastAsia="zh-CN"/>
        </w:rPr>
        <w:t>一</w:t>
      </w:r>
      <w:r>
        <w:rPr>
          <w:rFonts w:hint="eastAsia" w:ascii="仿宋" w:hAnsi="仿宋" w:eastAsia="仿宋" w:cs="仿宋"/>
          <w:color w:val="auto"/>
          <w:kern w:val="0"/>
          <w:sz w:val="28"/>
          <w:szCs w:val="28"/>
          <w:highlight w:val="none"/>
        </w:rPr>
        <w:t>人缓慢注液或泄液，2人协调作业；支设单体支柱后，一人扶柱，一人拴设防倒绳，在未拴设防倒绳之前，扶柱人不得离开单体柱，且必须扶住单体柱。</w:t>
      </w:r>
    </w:p>
    <w:p w14:paraId="53765D71">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7</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支设或拆除单体支柱时，严禁将手放置在单体支柱的柱爪处。</w:t>
      </w:r>
    </w:p>
    <w:p w14:paraId="1D71F565">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8</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背顶道木要“井”字型支设，单体支柱上方必须有顺巷道木，同一组单体棚上的道木垛要用不少于2根道木连成一体。</w:t>
      </w:r>
    </w:p>
    <w:p w14:paraId="3EC651C5">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9</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底板清理平整，铁鞋摆平，单体支柱按照支护要求扎角支设，要做到正、稳、平，严禁出现失脚现象。</w:t>
      </w:r>
    </w:p>
    <w:p w14:paraId="4669CD7E">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10</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施工作业的整个过程中，班组长必须安排一名有经验的老工人站在退路畅通的安全地点自始至终进行监护，并协调作业的各个环节，发现不安全迹象立即发出警号，未处理妥善前不得进行其它工作。</w:t>
      </w:r>
    </w:p>
    <w:p w14:paraId="1AFC13EF">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11</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施工期间，严禁其他闲杂人员在作业地点周围从事与施工无关的工作。行人确需通过时，必须提前通知施工人员，待施工人员停止施工，并对施工现场进行处理、确认安全无危险后，行人必须快速通过。</w:t>
      </w:r>
    </w:p>
    <w:p w14:paraId="179D8BD1">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12</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扛运</w:t>
      </w:r>
      <w:r>
        <w:rPr>
          <w:rFonts w:hint="eastAsia" w:ascii="仿宋" w:hAnsi="仿宋" w:eastAsia="仿宋" w:cs="仿宋"/>
          <w:color w:val="auto"/>
          <w:kern w:val="0"/>
          <w:sz w:val="28"/>
          <w:szCs w:val="28"/>
          <w:highlight w:val="none"/>
          <w:lang w:eastAsia="zh-CN"/>
        </w:rPr>
        <w:t>搬抬单体支柱、</w:t>
      </w:r>
      <w:r>
        <w:rPr>
          <w:rFonts w:hint="eastAsia" w:ascii="仿宋" w:hAnsi="仿宋" w:eastAsia="仿宋" w:cs="仿宋"/>
          <w:color w:val="auto"/>
          <w:kern w:val="0"/>
          <w:sz w:val="28"/>
          <w:szCs w:val="28"/>
          <w:highlight w:val="none"/>
        </w:rPr>
        <w:t>π钢</w:t>
      </w:r>
      <w:r>
        <w:rPr>
          <w:rFonts w:hint="eastAsia" w:ascii="仿宋" w:hAnsi="仿宋" w:eastAsia="仿宋" w:cs="仿宋"/>
          <w:color w:val="auto"/>
          <w:kern w:val="0"/>
          <w:sz w:val="28"/>
          <w:szCs w:val="28"/>
          <w:highlight w:val="none"/>
          <w:lang w:eastAsia="zh-CN"/>
        </w:rPr>
        <w:t>及其它</w:t>
      </w:r>
      <w:r>
        <w:rPr>
          <w:rFonts w:hint="eastAsia" w:ascii="仿宋" w:hAnsi="仿宋" w:eastAsia="仿宋" w:cs="仿宋"/>
          <w:color w:val="auto"/>
          <w:kern w:val="0"/>
          <w:sz w:val="28"/>
          <w:szCs w:val="28"/>
          <w:highlight w:val="none"/>
        </w:rPr>
        <w:t>物料</w:t>
      </w:r>
      <w:r>
        <w:rPr>
          <w:rFonts w:hint="eastAsia" w:ascii="仿宋" w:hAnsi="仿宋" w:eastAsia="仿宋" w:cs="仿宋"/>
          <w:color w:val="auto"/>
          <w:kern w:val="0"/>
          <w:sz w:val="28"/>
          <w:szCs w:val="28"/>
          <w:highlight w:val="none"/>
          <w:lang w:eastAsia="zh-CN"/>
        </w:rPr>
        <w:t>时，</w:t>
      </w:r>
      <w:r>
        <w:rPr>
          <w:rFonts w:hint="eastAsia" w:ascii="仿宋" w:hAnsi="仿宋" w:eastAsia="仿宋" w:cs="仿宋"/>
          <w:color w:val="auto"/>
          <w:kern w:val="0"/>
          <w:sz w:val="28"/>
          <w:szCs w:val="28"/>
          <w:highlight w:val="none"/>
        </w:rPr>
        <w:t>必须</w:t>
      </w:r>
      <w:r>
        <w:rPr>
          <w:rFonts w:hint="eastAsia" w:ascii="仿宋" w:hAnsi="仿宋" w:eastAsia="仿宋" w:cs="仿宋"/>
          <w:color w:val="auto"/>
          <w:kern w:val="0"/>
          <w:sz w:val="28"/>
          <w:szCs w:val="28"/>
          <w:highlight w:val="none"/>
          <w:lang w:eastAsia="zh-CN"/>
        </w:rPr>
        <w:t>同肩同侧，</w:t>
      </w:r>
      <w:r>
        <w:rPr>
          <w:rFonts w:hint="eastAsia" w:ascii="仿宋" w:hAnsi="仿宋" w:eastAsia="仿宋" w:cs="仿宋"/>
          <w:color w:val="auto"/>
          <w:kern w:val="0"/>
          <w:sz w:val="28"/>
          <w:szCs w:val="28"/>
          <w:highlight w:val="none"/>
        </w:rPr>
        <w:t>轻拿轻放，注意脚下防滑防绊，避免摔倒</w:t>
      </w:r>
      <w:r>
        <w:rPr>
          <w:rFonts w:hint="eastAsia" w:ascii="仿宋" w:hAnsi="仿宋" w:eastAsia="仿宋" w:cs="仿宋"/>
          <w:color w:val="auto"/>
          <w:kern w:val="0"/>
          <w:sz w:val="28"/>
          <w:szCs w:val="28"/>
          <w:highlight w:val="none"/>
          <w:lang w:eastAsia="zh-CN"/>
        </w:rPr>
        <w:t>或</w:t>
      </w:r>
      <w:r>
        <w:rPr>
          <w:rFonts w:hint="eastAsia" w:ascii="仿宋" w:hAnsi="仿宋" w:eastAsia="仿宋" w:cs="仿宋"/>
          <w:color w:val="auto"/>
          <w:kern w:val="0"/>
          <w:sz w:val="28"/>
          <w:szCs w:val="28"/>
          <w:highlight w:val="none"/>
        </w:rPr>
        <w:t>伤人；作业人员协调配合好，并做好自主保安、互保联保。</w:t>
      </w:r>
    </w:p>
    <w:p w14:paraId="0D0B5810">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lang w:val="en-US" w:eastAsia="zh-CN"/>
        </w:rPr>
        <w:t>13.在</w:t>
      </w:r>
      <w:r>
        <w:rPr>
          <w:rFonts w:hint="eastAsia" w:ascii="仿宋" w:hAnsi="仿宋" w:eastAsia="仿宋" w:cs="仿宋"/>
          <w:color w:val="auto"/>
          <w:kern w:val="0"/>
          <w:sz w:val="28"/>
          <w:szCs w:val="28"/>
          <w:highlight w:val="none"/>
          <w:lang w:eastAsia="zh-CN"/>
        </w:rPr>
        <w:t>运输巷的作业地点必须有与皮带司机正常联系的声光信号或扩音电话。作业时必须与皮带司机联系好，停止皮带运转，并将皮带开关停电闭锁。设备运转时，严禁人员跨越设备或传递材料工具等从一帮至另一帮。</w:t>
      </w:r>
    </w:p>
    <w:p w14:paraId="70E823E5">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支护</w:t>
      </w:r>
      <w:r>
        <w:rPr>
          <w:rFonts w:hint="eastAsia" w:ascii="仿宋" w:hAnsi="仿宋" w:eastAsia="仿宋" w:cs="仿宋"/>
          <w:b/>
          <w:color w:val="auto"/>
          <w:sz w:val="28"/>
          <w:szCs w:val="28"/>
          <w:highlight w:val="none"/>
        </w:rPr>
        <w:t>后确认</w:t>
      </w:r>
    </w:p>
    <w:p w14:paraId="104EBD77">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初撑力</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单体支柱初撑力不低于11.5MPa</w:t>
      </w:r>
      <w:r>
        <w:rPr>
          <w:rFonts w:hint="eastAsia" w:ascii="仿宋" w:hAnsi="仿宋" w:eastAsia="仿宋" w:cs="仿宋"/>
          <w:color w:val="auto"/>
          <w:sz w:val="28"/>
          <w:szCs w:val="28"/>
          <w:highlight w:val="none"/>
          <w:lang w:eastAsia="zh-CN"/>
        </w:rPr>
        <w:t>。</w:t>
      </w:r>
    </w:p>
    <w:p w14:paraId="4AD3923C">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防倒绳</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防倒绳绑扎牢固，无遗漏</w:t>
      </w:r>
      <w:r>
        <w:rPr>
          <w:rFonts w:hint="eastAsia" w:ascii="仿宋" w:hAnsi="仿宋" w:eastAsia="仿宋" w:cs="仿宋"/>
          <w:color w:val="auto"/>
          <w:sz w:val="28"/>
          <w:szCs w:val="28"/>
          <w:highlight w:val="none"/>
        </w:rPr>
        <w:t>。</w:t>
      </w:r>
    </w:p>
    <w:p w14:paraId="48696EF5">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.扎角</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每棵单体支柱扎角均符合要求</w:t>
      </w:r>
      <w:r>
        <w:rPr>
          <w:rFonts w:hint="eastAsia" w:ascii="仿宋" w:hAnsi="仿宋" w:eastAsia="仿宋" w:cs="仿宋"/>
          <w:color w:val="auto"/>
          <w:sz w:val="28"/>
          <w:szCs w:val="28"/>
          <w:highlight w:val="none"/>
        </w:rPr>
        <w:t>。</w:t>
      </w:r>
    </w:p>
    <w:p w14:paraId="16AB58D3">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背顶情况</w:t>
      </w:r>
      <w:r>
        <w:rPr>
          <w:rFonts w:hint="eastAsia" w:ascii="仿宋" w:hAnsi="仿宋" w:eastAsia="仿宋" w:cs="仿宋"/>
          <w:color w:val="auto"/>
          <w:sz w:val="28"/>
          <w:szCs w:val="28"/>
          <w:highlight w:val="none"/>
        </w:rPr>
        <w:t>：背顶道木要“井”字型支设，单体支柱上方必须有顺巷道木，同一组单体棚上的道木垛要用不少于2根道木连成一体。</w:t>
      </w:r>
    </w:p>
    <w:p w14:paraId="444A279C">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、事故案例教育</w:t>
      </w:r>
    </w:p>
    <w:p w14:paraId="4F0B6649">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2233B849">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2007年11月21日夜班，张书记值班，班前会上安排正常扩帮，并强调了施工时的安全注意事项。1点左右进入21301回采工作面，由于靠近支架的顶板冒落了500mm多，当时跟班队长指挥用单体柱做好超前，随后李某和班长两人配合操作。由于顶板冒落，巷道超过3米多，2.8米的支柱在注液时被顶爆，底座被蹦起，将李某的左手指崩伤。</w:t>
      </w:r>
    </w:p>
    <w:p w14:paraId="7C148D9F">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6082E31D">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7605C499">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注液时将支柱顶爆，是造成事故的直接原因。</w:t>
      </w:r>
    </w:p>
    <w:p w14:paraId="0609E658">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65217CB3">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使用2.8米的支柱支设3米的高度，明显超高，是造成事故的间接原因。</w:t>
      </w:r>
    </w:p>
    <w:p w14:paraId="37471775">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530EFA19">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严格执行安全措施，不违章作业，做好自主保护，杜绝违章指挥，保证好自己及他人的人身安全。</w:t>
      </w:r>
    </w:p>
    <w:p w14:paraId="5E258861">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支护顶板所需的支柱长度，必须符合现场实际情况，使用相应规格的支柱，严禁超高使用。</w:t>
      </w:r>
    </w:p>
    <w:p w14:paraId="5B0F7891">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十</w:t>
      </w:r>
      <w:r>
        <w:rPr>
          <w:rFonts w:hint="eastAsia" w:ascii="仿宋" w:hAnsi="仿宋" w:eastAsia="仿宋" w:cs="仿宋"/>
          <w:b/>
          <w:color w:val="auto"/>
          <w:sz w:val="28"/>
          <w:szCs w:val="28"/>
          <w:highlight w:val="none"/>
        </w:rPr>
        <w:t>、常见三违</w:t>
      </w:r>
    </w:p>
    <w:p w14:paraId="13BD1B19">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工作面出现单体柱单挑π钢</w:t>
      </w:r>
      <w:r>
        <w:rPr>
          <w:rFonts w:hint="eastAsia" w:ascii="仿宋" w:hAnsi="仿宋" w:eastAsia="仿宋" w:cs="仿宋"/>
          <w:color w:val="auto"/>
          <w:sz w:val="28"/>
          <w:szCs w:val="28"/>
          <w:highlight w:val="none"/>
          <w:lang w:eastAsia="zh-CN"/>
        </w:rPr>
        <w:t>；</w:t>
      </w:r>
    </w:p>
    <w:p w14:paraId="1ABEE94A">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工作面使用不完好单体（如：缺爪、断爪）</w:t>
      </w:r>
      <w:r>
        <w:rPr>
          <w:rFonts w:hint="eastAsia" w:ascii="仿宋" w:hAnsi="仿宋" w:eastAsia="仿宋" w:cs="仿宋"/>
          <w:color w:val="auto"/>
          <w:sz w:val="28"/>
          <w:szCs w:val="28"/>
          <w:highlight w:val="none"/>
          <w:lang w:eastAsia="zh-CN"/>
        </w:rPr>
        <w:t>；</w:t>
      </w:r>
    </w:p>
    <w:p w14:paraId="264BB7FA">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单体棚的π钢连续断裂3根以上（含3根），没及时更换的</w:t>
      </w:r>
      <w:r>
        <w:rPr>
          <w:rFonts w:hint="eastAsia" w:ascii="仿宋" w:hAnsi="仿宋" w:eastAsia="仿宋" w:cs="仿宋"/>
          <w:color w:val="auto"/>
          <w:sz w:val="28"/>
          <w:szCs w:val="28"/>
          <w:highlight w:val="none"/>
          <w:lang w:eastAsia="zh-CN"/>
        </w:rPr>
        <w:t>；</w:t>
      </w:r>
    </w:p>
    <w:p w14:paraId="775F8A52">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工作面单体柱子、压弯π钢不按规定拴防倒绳或绑防崩管的</w:t>
      </w:r>
      <w:r>
        <w:rPr>
          <w:rFonts w:hint="eastAsia" w:ascii="仿宋" w:hAnsi="仿宋" w:eastAsia="仿宋" w:cs="仿宋"/>
          <w:color w:val="auto"/>
          <w:sz w:val="28"/>
          <w:szCs w:val="28"/>
          <w:highlight w:val="none"/>
          <w:lang w:eastAsia="zh-CN"/>
        </w:rPr>
        <w:t>；</w:t>
      </w:r>
    </w:p>
    <w:p w14:paraId="05E3F2BD">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工作面对单体柱没有按规定派专人检查或填写记录的</w:t>
      </w:r>
      <w:r>
        <w:rPr>
          <w:rFonts w:hint="eastAsia" w:ascii="仿宋" w:hAnsi="仿宋" w:eastAsia="仿宋" w:cs="仿宋"/>
          <w:color w:val="auto"/>
          <w:sz w:val="28"/>
          <w:szCs w:val="28"/>
          <w:highlight w:val="none"/>
          <w:lang w:eastAsia="zh-CN"/>
        </w:rPr>
        <w:t>；</w:t>
      </w:r>
    </w:p>
    <w:p w14:paraId="5B6BF68C">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工作面超前支护长度达不到设计要求的</w:t>
      </w:r>
      <w:r>
        <w:rPr>
          <w:rFonts w:hint="eastAsia" w:ascii="仿宋" w:hAnsi="仿宋" w:eastAsia="仿宋" w:cs="仿宋"/>
          <w:color w:val="auto"/>
          <w:sz w:val="28"/>
          <w:szCs w:val="28"/>
          <w:highlight w:val="none"/>
          <w:lang w:eastAsia="zh-CN"/>
        </w:rPr>
        <w:t>；</w:t>
      </w:r>
    </w:p>
    <w:p w14:paraId="49700765">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新支设的单体或支护头20米内出现3棵及以上单体初撑力不足或卸液柱的</w:t>
      </w:r>
      <w:r>
        <w:rPr>
          <w:rFonts w:hint="eastAsia" w:ascii="仿宋" w:hAnsi="仿宋" w:eastAsia="仿宋" w:cs="仿宋"/>
          <w:color w:val="auto"/>
          <w:sz w:val="28"/>
          <w:szCs w:val="28"/>
          <w:highlight w:val="none"/>
          <w:lang w:eastAsia="zh-CN"/>
        </w:rPr>
        <w:t>；</w:t>
      </w:r>
    </w:p>
    <w:p w14:paraId="0A025A4B">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上、下顺超前支护单体支柱支设扎角不合理以及柱排距不符合要求，单体柱无扒口的</w:t>
      </w:r>
      <w:r>
        <w:rPr>
          <w:rFonts w:hint="eastAsia" w:ascii="仿宋" w:hAnsi="仿宋" w:eastAsia="仿宋" w:cs="仿宋"/>
          <w:color w:val="auto"/>
          <w:sz w:val="28"/>
          <w:szCs w:val="28"/>
          <w:highlight w:val="none"/>
          <w:lang w:eastAsia="zh-CN"/>
        </w:rPr>
        <w:t>；</w:t>
      </w:r>
    </w:p>
    <w:p w14:paraId="7723E223">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检查单体初撑力时单体测力计损坏或不在现场的</w:t>
      </w:r>
      <w:r>
        <w:rPr>
          <w:rFonts w:hint="eastAsia" w:ascii="仿宋" w:hAnsi="仿宋" w:eastAsia="仿宋" w:cs="仿宋"/>
          <w:color w:val="auto"/>
          <w:sz w:val="28"/>
          <w:szCs w:val="28"/>
          <w:highlight w:val="none"/>
          <w:lang w:eastAsia="zh-CN"/>
        </w:rPr>
        <w:t>；</w:t>
      </w:r>
    </w:p>
    <w:p w14:paraId="17CF3702">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单体棚总体布局不合理、道木没有按措施要求背设（包括背设不实）、单体上方无顺巷道木的</w:t>
      </w:r>
      <w:r>
        <w:rPr>
          <w:rFonts w:hint="eastAsia" w:ascii="仿宋" w:hAnsi="仿宋" w:eastAsia="仿宋" w:cs="仿宋"/>
          <w:color w:val="auto"/>
          <w:sz w:val="28"/>
          <w:szCs w:val="28"/>
          <w:highlight w:val="none"/>
          <w:lang w:eastAsia="zh-CN"/>
        </w:rPr>
        <w:t>；</w:t>
      </w:r>
    </w:p>
    <w:p w14:paraId="4E0601B1">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新支设的单体棚（柱）宽度、高度不符合规程措施要求的</w:t>
      </w:r>
      <w:r>
        <w:rPr>
          <w:rFonts w:hint="eastAsia" w:ascii="仿宋" w:hAnsi="仿宋" w:eastAsia="仿宋" w:cs="仿宋"/>
          <w:color w:val="auto"/>
          <w:sz w:val="28"/>
          <w:szCs w:val="28"/>
          <w:highlight w:val="none"/>
          <w:lang w:eastAsia="zh-CN"/>
        </w:rPr>
        <w:t>；</w:t>
      </w:r>
    </w:p>
    <w:p w14:paraId="54AAED41">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新单体支护铁鞋前后左右不齐、歪斜、错台或无铁鞋支护的</w:t>
      </w:r>
      <w:r>
        <w:rPr>
          <w:rFonts w:hint="eastAsia" w:ascii="仿宋" w:hAnsi="仿宋" w:eastAsia="仿宋" w:cs="仿宋"/>
          <w:color w:val="auto"/>
          <w:sz w:val="28"/>
          <w:szCs w:val="28"/>
          <w:highlight w:val="none"/>
          <w:lang w:eastAsia="zh-CN"/>
        </w:rPr>
        <w:t>。</w:t>
      </w:r>
    </w:p>
    <w:p w14:paraId="40E7523B">
      <w:pPr>
        <w:rPr>
          <w:rFonts w:hint="eastAsia" w:ascii="仿宋" w:hAnsi="仿宋" w:eastAsia="仿宋" w:cs="仿宋"/>
          <w:b/>
          <w:bCs/>
          <w:color w:val="auto"/>
          <w:sz w:val="32"/>
          <w:szCs w:val="32"/>
          <w:highlight w:val="none"/>
          <w:lang w:val="en-US" w:eastAsia="zh-CN"/>
        </w:rPr>
      </w:pPr>
      <w:bookmarkStart w:id="131" w:name="_Toc28499"/>
      <w:bookmarkStart w:id="132" w:name="_Toc15960"/>
      <w:r>
        <w:rPr>
          <w:rFonts w:hint="eastAsia" w:ascii="仿宋" w:hAnsi="仿宋" w:eastAsia="仿宋" w:cs="仿宋"/>
          <w:b/>
          <w:bCs/>
          <w:color w:val="auto"/>
          <w:sz w:val="32"/>
          <w:szCs w:val="32"/>
          <w:highlight w:val="none"/>
          <w:lang w:val="en-US" w:eastAsia="zh-CN"/>
        </w:rPr>
        <w:br w:type="page"/>
      </w:r>
    </w:p>
    <w:p w14:paraId="23A2B3ED">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2"/>
          <w:szCs w:val="32"/>
          <w:highlight w:val="none"/>
          <w:lang w:val="en-US" w:eastAsia="zh-CN"/>
        </w:rPr>
      </w:pPr>
      <w:bookmarkStart w:id="133" w:name="_Toc24809"/>
      <w:r>
        <w:rPr>
          <w:rFonts w:hint="eastAsia" w:ascii="仿宋" w:hAnsi="仿宋" w:eastAsia="仿宋" w:cs="仿宋"/>
          <w:b/>
          <w:bCs/>
          <w:color w:val="auto"/>
          <w:sz w:val="32"/>
          <w:szCs w:val="32"/>
          <w:highlight w:val="none"/>
          <w:lang w:val="en-US" w:eastAsia="zh-CN"/>
        </w:rPr>
        <w:t>掘进专业学习手册</w:t>
      </w:r>
      <w:bookmarkEnd w:id="131"/>
      <w:bookmarkEnd w:id="132"/>
      <w:bookmarkEnd w:id="133"/>
    </w:p>
    <w:tbl>
      <w:tblPr>
        <w:tblStyle w:val="12"/>
        <w:tblpPr w:leftFromText="180" w:rightFromText="180" w:vertAnchor="page" w:horzAnchor="page" w:tblpX="1418" w:tblpY="2643"/>
        <w:tblOverlap w:val="never"/>
        <w:tblW w:w="9300" w:type="dxa"/>
        <w:jc w:val="center"/>
        <w:tblLayout w:type="fixed"/>
        <w:tblCellMar>
          <w:top w:w="0" w:type="dxa"/>
          <w:left w:w="108" w:type="dxa"/>
          <w:bottom w:w="0" w:type="dxa"/>
          <w:right w:w="108" w:type="dxa"/>
        </w:tblCellMar>
      </w:tblPr>
      <w:tblGrid>
        <w:gridCol w:w="1461"/>
        <w:gridCol w:w="3069"/>
        <w:gridCol w:w="1249"/>
        <w:gridCol w:w="3521"/>
      </w:tblGrid>
      <w:tr w14:paraId="54182B60">
        <w:tblPrEx>
          <w:tblCellMar>
            <w:top w:w="0" w:type="dxa"/>
            <w:left w:w="108" w:type="dxa"/>
            <w:bottom w:w="0" w:type="dxa"/>
            <w:right w:w="108" w:type="dxa"/>
          </w:tblCellMar>
        </w:tblPrEx>
        <w:trPr>
          <w:trHeight w:val="603" w:hRule="atLeast"/>
          <w:jc w:val="center"/>
        </w:trPr>
        <w:tc>
          <w:tcPr>
            <w:tcW w:w="9300" w:type="dxa"/>
            <w:gridSpan w:val="4"/>
            <w:tcBorders>
              <w:top w:val="nil"/>
              <w:left w:val="nil"/>
              <w:bottom w:val="single" w:color="auto" w:sz="4" w:space="0"/>
              <w:right w:val="nil"/>
            </w:tcBorders>
            <w:noWrap/>
            <w:vAlign w:val="center"/>
          </w:tcPr>
          <w:p w14:paraId="733118AC">
            <w:pPr>
              <w:jc w:val="center"/>
              <w:rPr>
                <w:rFonts w:hint="eastAsia"/>
                <w:color w:val="auto"/>
              </w:rPr>
            </w:pPr>
            <w:r>
              <w:rPr>
                <w:rFonts w:hint="eastAsia" w:ascii="仿宋" w:hAnsi="仿宋" w:eastAsia="仿宋" w:cs="仿宋"/>
                <w:b/>
                <w:color w:val="auto"/>
                <w:sz w:val="36"/>
                <w:szCs w:val="36"/>
                <w:highlight w:val="none"/>
                <w:lang w:val="en-US" w:eastAsia="zh-CN"/>
              </w:rPr>
              <w:t>喷浆支护工</w:t>
            </w:r>
          </w:p>
        </w:tc>
      </w:tr>
      <w:tr w14:paraId="01C80FB4">
        <w:tblPrEx>
          <w:tblCellMar>
            <w:top w:w="0" w:type="dxa"/>
            <w:left w:w="108" w:type="dxa"/>
            <w:bottom w:w="0" w:type="dxa"/>
            <w:right w:w="108" w:type="dxa"/>
          </w:tblCellMar>
        </w:tblPrEx>
        <w:trPr>
          <w:trHeight w:val="607" w:hRule="atLeast"/>
          <w:jc w:val="center"/>
        </w:trPr>
        <w:tc>
          <w:tcPr>
            <w:tcW w:w="9300" w:type="dxa"/>
            <w:gridSpan w:val="4"/>
            <w:tcBorders>
              <w:top w:val="single" w:color="auto" w:sz="4" w:space="0"/>
              <w:left w:val="single" w:color="auto" w:sz="4" w:space="0"/>
              <w:bottom w:val="single" w:color="auto" w:sz="4" w:space="0"/>
              <w:right w:val="single" w:color="auto" w:sz="4" w:space="0"/>
            </w:tcBorders>
            <w:noWrap/>
            <w:vAlign w:val="center"/>
          </w:tcPr>
          <w:p w14:paraId="037119FD">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喷浆工岗位风险告知卡</w:t>
            </w:r>
          </w:p>
        </w:tc>
      </w:tr>
      <w:tr w14:paraId="7AE7E704">
        <w:tblPrEx>
          <w:tblCellMar>
            <w:top w:w="0" w:type="dxa"/>
            <w:left w:w="108" w:type="dxa"/>
            <w:bottom w:w="0" w:type="dxa"/>
            <w:right w:w="108" w:type="dxa"/>
          </w:tblCellMar>
        </w:tblPrEx>
        <w:trPr>
          <w:trHeight w:val="987" w:hRule="atLeast"/>
          <w:jc w:val="center"/>
        </w:trPr>
        <w:tc>
          <w:tcPr>
            <w:tcW w:w="1461" w:type="dxa"/>
            <w:tcBorders>
              <w:top w:val="single" w:color="auto" w:sz="4" w:space="0"/>
              <w:left w:val="single" w:color="auto" w:sz="4" w:space="0"/>
              <w:bottom w:val="single" w:color="auto" w:sz="4" w:space="0"/>
              <w:right w:val="single" w:color="auto" w:sz="4" w:space="0"/>
            </w:tcBorders>
            <w:noWrap w:val="0"/>
            <w:vAlign w:val="center"/>
          </w:tcPr>
          <w:p w14:paraId="694F68A4">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w:t>
            </w:r>
          </w:p>
          <w:p w14:paraId="242396D6">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类型</w:t>
            </w:r>
          </w:p>
        </w:tc>
        <w:tc>
          <w:tcPr>
            <w:tcW w:w="3069" w:type="dxa"/>
            <w:tcBorders>
              <w:top w:val="single" w:color="auto" w:sz="4" w:space="0"/>
              <w:left w:val="nil"/>
              <w:bottom w:val="single" w:color="auto" w:sz="4" w:space="0"/>
              <w:right w:val="single" w:color="auto" w:sz="4" w:space="0"/>
            </w:tcBorders>
            <w:noWrap w:val="0"/>
            <w:vAlign w:val="center"/>
          </w:tcPr>
          <w:p w14:paraId="54AE55D7">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冒顶（片帮）、机械伤害、职业病危害</w:t>
            </w:r>
          </w:p>
        </w:tc>
        <w:tc>
          <w:tcPr>
            <w:tcW w:w="1249" w:type="dxa"/>
            <w:tcBorders>
              <w:top w:val="single" w:color="auto" w:sz="4" w:space="0"/>
              <w:left w:val="nil"/>
              <w:bottom w:val="single" w:color="auto" w:sz="4" w:space="0"/>
              <w:right w:val="single" w:color="auto" w:sz="4" w:space="0"/>
            </w:tcBorders>
            <w:noWrap w:val="0"/>
            <w:vAlign w:val="center"/>
          </w:tcPr>
          <w:p w14:paraId="64D25A43">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w:t>
            </w:r>
          </w:p>
          <w:p w14:paraId="6030B709">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报告</w:t>
            </w:r>
          </w:p>
        </w:tc>
        <w:tc>
          <w:tcPr>
            <w:tcW w:w="3521" w:type="dxa"/>
            <w:tcBorders>
              <w:top w:val="single" w:color="auto" w:sz="4" w:space="0"/>
              <w:left w:val="nil"/>
              <w:bottom w:val="single" w:color="auto" w:sz="4" w:space="0"/>
              <w:right w:val="single" w:color="auto" w:sz="4" w:space="0"/>
            </w:tcBorders>
            <w:noWrap w:val="0"/>
            <w:vAlign w:val="center"/>
          </w:tcPr>
          <w:p w14:paraId="69F93C02">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t>工区值班：</w:t>
            </w:r>
            <w:r>
              <w:rPr>
                <w:rFonts w:hint="eastAsia" w:ascii="仿宋" w:hAnsi="仿宋" w:eastAsia="仿宋" w:cs="仿宋"/>
                <w:color w:val="auto"/>
                <w:kern w:val="0"/>
                <w:sz w:val="21"/>
                <w:szCs w:val="21"/>
                <w:highlight w:val="none"/>
                <w:lang w:val="en-US" w:eastAsia="zh-CN"/>
              </w:rPr>
              <w:t>8650305</w:t>
            </w:r>
          </w:p>
          <w:p w14:paraId="34B5F8AB">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1968DFEC">
        <w:tblPrEx>
          <w:tblCellMar>
            <w:top w:w="0" w:type="dxa"/>
            <w:left w:w="108" w:type="dxa"/>
            <w:bottom w:w="0" w:type="dxa"/>
            <w:right w:w="108" w:type="dxa"/>
          </w:tblCellMar>
        </w:tblPrEx>
        <w:trPr>
          <w:trHeight w:val="573"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ign w:val="center"/>
          </w:tcPr>
          <w:p w14:paraId="7D68FDDE">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770" w:type="dxa"/>
            <w:gridSpan w:val="2"/>
            <w:tcBorders>
              <w:top w:val="single" w:color="auto" w:sz="4" w:space="0"/>
              <w:left w:val="nil"/>
              <w:bottom w:val="single" w:color="auto" w:sz="4" w:space="0"/>
              <w:right w:val="single" w:color="auto" w:sz="4" w:space="0"/>
            </w:tcBorders>
            <w:noWrap/>
            <w:vAlign w:val="center"/>
          </w:tcPr>
          <w:p w14:paraId="39EF7857">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14:paraId="652D7D1E">
        <w:tblPrEx>
          <w:tblCellMar>
            <w:top w:w="0" w:type="dxa"/>
            <w:left w:w="108" w:type="dxa"/>
            <w:bottom w:w="0" w:type="dxa"/>
            <w:right w:w="108" w:type="dxa"/>
          </w:tblCellMar>
        </w:tblPrEx>
        <w:trPr>
          <w:trHeight w:val="591"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0"/>
            <w:vAlign w:val="center"/>
          </w:tcPr>
          <w:p w14:paraId="6802640E">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1.顶帮掉落，砸伤人员；支护不及时，支护质量不合格</w:t>
            </w:r>
            <w:r>
              <w:rPr>
                <w:rFonts w:hint="eastAsia" w:ascii="仿宋" w:hAnsi="仿宋" w:eastAsia="仿宋" w:cs="仿宋"/>
                <w:color w:val="auto"/>
                <w:kern w:val="0"/>
                <w:sz w:val="21"/>
                <w:szCs w:val="21"/>
                <w:highlight w:val="none"/>
                <w:lang w:eastAsia="zh-CN"/>
              </w:rPr>
              <w:t>。</w:t>
            </w:r>
          </w:p>
        </w:tc>
        <w:tc>
          <w:tcPr>
            <w:tcW w:w="4770" w:type="dxa"/>
            <w:gridSpan w:val="2"/>
            <w:tcBorders>
              <w:top w:val="single" w:color="auto" w:sz="4" w:space="0"/>
              <w:left w:val="nil"/>
              <w:bottom w:val="single" w:color="auto" w:sz="4" w:space="0"/>
              <w:right w:val="single" w:color="auto" w:sz="4" w:space="0"/>
            </w:tcBorders>
            <w:noWrap w:val="0"/>
            <w:vAlign w:val="center"/>
          </w:tcPr>
          <w:p w14:paraId="63BC7795">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1.严格执行敲帮问顶制度；严禁空顶作业，保证后退路畅通</w:t>
            </w:r>
            <w:r>
              <w:rPr>
                <w:rFonts w:hint="eastAsia" w:ascii="仿宋" w:hAnsi="仿宋" w:eastAsia="仿宋" w:cs="仿宋"/>
                <w:color w:val="auto"/>
                <w:kern w:val="0"/>
                <w:sz w:val="21"/>
                <w:szCs w:val="21"/>
                <w:highlight w:val="none"/>
                <w:lang w:eastAsia="zh-CN"/>
              </w:rPr>
              <w:t>。</w:t>
            </w:r>
          </w:p>
        </w:tc>
      </w:tr>
      <w:tr w14:paraId="4F42F2B9">
        <w:tblPrEx>
          <w:tblCellMar>
            <w:top w:w="0" w:type="dxa"/>
            <w:left w:w="108" w:type="dxa"/>
            <w:bottom w:w="0" w:type="dxa"/>
            <w:right w:w="108" w:type="dxa"/>
          </w:tblCellMar>
        </w:tblPrEx>
        <w:trPr>
          <w:trHeight w:val="836"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0"/>
            <w:vAlign w:val="center"/>
          </w:tcPr>
          <w:p w14:paraId="0EF46237">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2.通风不良，造成瓦斯积聚；粉尘积聚，造成人体健康伤害。</w:t>
            </w:r>
          </w:p>
        </w:tc>
        <w:tc>
          <w:tcPr>
            <w:tcW w:w="4770" w:type="dxa"/>
            <w:gridSpan w:val="2"/>
            <w:tcBorders>
              <w:top w:val="single" w:color="auto" w:sz="4" w:space="0"/>
              <w:left w:val="nil"/>
              <w:bottom w:val="single" w:color="auto" w:sz="4" w:space="0"/>
              <w:right w:val="single" w:color="auto" w:sz="4" w:space="0"/>
            </w:tcBorders>
            <w:noWrap w:val="0"/>
            <w:vAlign w:val="center"/>
          </w:tcPr>
          <w:p w14:paraId="318C190E">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2.保持掘进工作面正常通风，监控系统正常运行；规范使用喷雾、除尘器，佩戴防尘口罩。</w:t>
            </w:r>
          </w:p>
        </w:tc>
      </w:tr>
      <w:tr w14:paraId="42B087F6">
        <w:tblPrEx>
          <w:tblCellMar>
            <w:top w:w="0" w:type="dxa"/>
            <w:left w:w="108" w:type="dxa"/>
            <w:bottom w:w="0" w:type="dxa"/>
            <w:right w:w="108" w:type="dxa"/>
          </w:tblCellMar>
        </w:tblPrEx>
        <w:trPr>
          <w:trHeight w:val="805"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0"/>
            <w:vAlign w:val="center"/>
          </w:tcPr>
          <w:p w14:paraId="631102D5">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3.输料管堵塞，造成输料管开裂伤人；喷枪前方站人，高速喷出的喷浆料对人造成伤害</w:t>
            </w:r>
            <w:r>
              <w:rPr>
                <w:rFonts w:hint="eastAsia" w:ascii="仿宋" w:hAnsi="仿宋" w:eastAsia="仿宋" w:cs="仿宋"/>
                <w:color w:val="auto"/>
                <w:kern w:val="0"/>
                <w:sz w:val="21"/>
                <w:szCs w:val="21"/>
                <w:highlight w:val="none"/>
                <w:lang w:eastAsia="zh-CN"/>
              </w:rPr>
              <w:t>。</w:t>
            </w:r>
          </w:p>
        </w:tc>
        <w:tc>
          <w:tcPr>
            <w:tcW w:w="4770" w:type="dxa"/>
            <w:gridSpan w:val="2"/>
            <w:tcBorders>
              <w:top w:val="single" w:color="auto" w:sz="4" w:space="0"/>
              <w:left w:val="nil"/>
              <w:bottom w:val="single" w:color="auto" w:sz="4" w:space="0"/>
              <w:right w:val="single" w:color="auto" w:sz="4" w:space="0"/>
            </w:tcBorders>
            <w:noWrap w:val="0"/>
            <w:vAlign w:val="center"/>
          </w:tcPr>
          <w:p w14:paraId="704AB429">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3.观察出料情况，发现堵塞时，及时停机处理；发现喷枪前方有人时，立即停机。</w:t>
            </w:r>
          </w:p>
        </w:tc>
      </w:tr>
      <w:tr w14:paraId="3E4B3386">
        <w:tblPrEx>
          <w:tblCellMar>
            <w:top w:w="0" w:type="dxa"/>
            <w:left w:w="108" w:type="dxa"/>
            <w:bottom w:w="0" w:type="dxa"/>
            <w:right w:w="108" w:type="dxa"/>
          </w:tblCellMar>
        </w:tblPrEx>
        <w:trPr>
          <w:trHeight w:val="701"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0"/>
            <w:vAlign w:val="center"/>
          </w:tcPr>
          <w:p w14:paraId="3A5FA81A">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4.未执行“三紧两不要”规定；防护用品佩戴不齐全。</w:t>
            </w:r>
          </w:p>
        </w:tc>
        <w:tc>
          <w:tcPr>
            <w:tcW w:w="4770" w:type="dxa"/>
            <w:gridSpan w:val="2"/>
            <w:tcBorders>
              <w:top w:val="single" w:color="auto" w:sz="4" w:space="0"/>
              <w:left w:val="nil"/>
              <w:bottom w:val="single" w:color="auto" w:sz="4" w:space="0"/>
              <w:right w:val="single" w:color="auto" w:sz="4" w:space="0"/>
            </w:tcBorders>
            <w:noWrap w:val="0"/>
            <w:vAlign w:val="center"/>
          </w:tcPr>
          <w:p w14:paraId="51696359">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4.严格执行“三紧两不要”规定；佩戴好防尘口罩等劳保用品。</w:t>
            </w:r>
          </w:p>
        </w:tc>
      </w:tr>
      <w:tr w14:paraId="30016AC7">
        <w:tblPrEx>
          <w:tblCellMar>
            <w:top w:w="0" w:type="dxa"/>
            <w:left w:w="108" w:type="dxa"/>
            <w:bottom w:w="0" w:type="dxa"/>
            <w:right w:w="108" w:type="dxa"/>
          </w:tblCellMar>
        </w:tblPrEx>
        <w:trPr>
          <w:trHeight w:val="1155" w:hRule="atLeast"/>
          <w:jc w:val="center"/>
        </w:trPr>
        <w:tc>
          <w:tcPr>
            <w:tcW w:w="1461" w:type="dxa"/>
            <w:tcBorders>
              <w:top w:val="nil"/>
              <w:left w:val="single" w:color="auto" w:sz="4" w:space="0"/>
              <w:bottom w:val="single" w:color="auto" w:sz="4" w:space="0"/>
              <w:right w:val="single" w:color="auto" w:sz="4" w:space="0"/>
            </w:tcBorders>
            <w:noWrap w:val="0"/>
            <w:vAlign w:val="center"/>
          </w:tcPr>
          <w:p w14:paraId="33DF805B">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2A1F629E">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39" w:type="dxa"/>
            <w:gridSpan w:val="3"/>
            <w:tcBorders>
              <w:top w:val="single" w:color="auto" w:sz="4" w:space="0"/>
              <w:left w:val="nil"/>
              <w:bottom w:val="single" w:color="auto" w:sz="4" w:space="0"/>
              <w:right w:val="single" w:color="auto" w:sz="4" w:space="0"/>
            </w:tcBorders>
            <w:noWrap w:val="0"/>
            <w:vAlign w:val="center"/>
          </w:tcPr>
          <w:p w14:paraId="77C77472">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3A1333AC">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3F436BCD">
        <w:tblPrEx>
          <w:tblCellMar>
            <w:top w:w="0" w:type="dxa"/>
            <w:left w:w="108" w:type="dxa"/>
            <w:bottom w:w="0" w:type="dxa"/>
            <w:right w:w="108" w:type="dxa"/>
          </w:tblCellMar>
        </w:tblPrEx>
        <w:trPr>
          <w:trHeight w:val="1460" w:hRule="atLeast"/>
          <w:jc w:val="center"/>
        </w:trPr>
        <w:tc>
          <w:tcPr>
            <w:tcW w:w="1461" w:type="dxa"/>
            <w:tcBorders>
              <w:top w:val="nil"/>
              <w:left w:val="single" w:color="auto" w:sz="4" w:space="0"/>
              <w:bottom w:val="single" w:color="auto" w:sz="4" w:space="0"/>
              <w:right w:val="single" w:color="auto" w:sz="4" w:space="0"/>
            </w:tcBorders>
            <w:noWrap w:val="0"/>
            <w:vAlign w:val="center"/>
          </w:tcPr>
          <w:p w14:paraId="268CF2FB">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14:paraId="436B8498">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14:paraId="4D77CC72">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839" w:type="dxa"/>
            <w:gridSpan w:val="3"/>
            <w:tcBorders>
              <w:top w:val="single" w:color="auto" w:sz="4" w:space="0"/>
              <w:left w:val="nil"/>
              <w:bottom w:val="single" w:color="auto" w:sz="4" w:space="0"/>
              <w:right w:val="single" w:color="auto" w:sz="4" w:space="0"/>
            </w:tcBorders>
            <w:noWrap w:val="0"/>
            <w:vAlign w:val="center"/>
          </w:tcPr>
          <w:p w14:paraId="0C0D43FF">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1.出现紧急情况时，应立即停止工作。</w:t>
            </w:r>
          </w:p>
          <w:p w14:paraId="5DF9E5B1">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tbl>
      <w:tblPr>
        <w:tblStyle w:val="12"/>
        <w:tblW w:w="9267" w:type="dxa"/>
        <w:jc w:val="center"/>
        <w:tblLayout w:type="fixed"/>
        <w:tblCellMar>
          <w:top w:w="0" w:type="dxa"/>
          <w:left w:w="108" w:type="dxa"/>
          <w:bottom w:w="0" w:type="dxa"/>
          <w:right w:w="108" w:type="dxa"/>
        </w:tblCellMar>
      </w:tblPr>
      <w:tblGrid>
        <w:gridCol w:w="4635"/>
        <w:gridCol w:w="4632"/>
      </w:tblGrid>
      <w:tr w14:paraId="467BAD23">
        <w:tblPrEx>
          <w:tblCellMar>
            <w:top w:w="0" w:type="dxa"/>
            <w:left w:w="108" w:type="dxa"/>
            <w:bottom w:w="0" w:type="dxa"/>
            <w:right w:w="108" w:type="dxa"/>
          </w:tblCellMar>
        </w:tblPrEx>
        <w:trPr>
          <w:trHeight w:val="301" w:hRule="atLeast"/>
          <w:jc w:val="center"/>
        </w:trPr>
        <w:tc>
          <w:tcPr>
            <w:tcW w:w="9267" w:type="dxa"/>
            <w:gridSpan w:val="2"/>
            <w:tcBorders>
              <w:top w:val="nil"/>
              <w:left w:val="nil"/>
              <w:bottom w:val="nil"/>
              <w:right w:val="nil"/>
            </w:tcBorders>
            <w:noWrap w:val="0"/>
            <w:vAlign w:val="bottom"/>
          </w:tcPr>
          <w:p w14:paraId="779E4DF3">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p>
          <w:p w14:paraId="32CF3A5D">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8"/>
                <w:szCs w:val="28"/>
                <w:highlight w:val="none"/>
              </w:rPr>
            </w:pPr>
            <w:r>
              <w:rPr>
                <w:rFonts w:hint="eastAsia" w:ascii="仿宋" w:hAnsi="仿宋" w:eastAsia="仿宋" w:cs="仿宋"/>
                <w:b/>
                <w:bCs/>
                <w:color w:val="auto"/>
                <w:kern w:val="0"/>
                <w:sz w:val="21"/>
                <w:szCs w:val="21"/>
                <w:highlight w:val="none"/>
              </w:rPr>
              <w:t>喷浆支护工安全提示</w:t>
            </w:r>
          </w:p>
        </w:tc>
      </w:tr>
      <w:tr w14:paraId="04DB46C9">
        <w:tblPrEx>
          <w:tblCellMar>
            <w:top w:w="0" w:type="dxa"/>
            <w:left w:w="108" w:type="dxa"/>
            <w:bottom w:w="0" w:type="dxa"/>
            <w:right w:w="108" w:type="dxa"/>
          </w:tblCellMar>
        </w:tblPrEx>
        <w:trPr>
          <w:trHeight w:val="318" w:hRule="atLeast"/>
          <w:jc w:val="center"/>
        </w:trPr>
        <w:tc>
          <w:tcPr>
            <w:tcW w:w="4635" w:type="dxa"/>
            <w:tcBorders>
              <w:top w:val="single" w:color="auto" w:sz="8" w:space="0"/>
              <w:left w:val="single" w:color="auto" w:sz="8" w:space="0"/>
              <w:bottom w:val="single" w:color="auto" w:sz="8" w:space="0"/>
              <w:right w:val="nil"/>
            </w:tcBorders>
            <w:noWrap w:val="0"/>
            <w:vAlign w:val="bottom"/>
          </w:tcPr>
          <w:p w14:paraId="2492F54F">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开机前检查</w:t>
            </w:r>
          </w:p>
        </w:tc>
        <w:tc>
          <w:tcPr>
            <w:tcW w:w="4632" w:type="dxa"/>
            <w:tcBorders>
              <w:top w:val="single" w:color="auto" w:sz="4" w:space="0"/>
              <w:left w:val="single" w:color="auto" w:sz="4" w:space="0"/>
              <w:bottom w:val="single" w:color="auto" w:sz="4" w:space="0"/>
              <w:right w:val="single" w:color="auto" w:sz="4" w:space="0"/>
            </w:tcBorders>
            <w:noWrap w:val="0"/>
            <w:vAlign w:val="bottom"/>
          </w:tcPr>
          <w:p w14:paraId="32711EC1">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★8.喷枪前方无人</w:t>
            </w:r>
          </w:p>
        </w:tc>
      </w:tr>
      <w:tr w14:paraId="19B97B7D">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14:paraId="6DCB5C9B">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★1.喷浆机处顶帮支护</w:t>
            </w:r>
          </w:p>
        </w:tc>
        <w:tc>
          <w:tcPr>
            <w:tcW w:w="4632" w:type="dxa"/>
            <w:tcBorders>
              <w:top w:val="nil"/>
              <w:left w:val="nil"/>
              <w:bottom w:val="single" w:color="auto" w:sz="8" w:space="0"/>
              <w:right w:val="single" w:color="auto" w:sz="8" w:space="0"/>
            </w:tcBorders>
            <w:noWrap w:val="0"/>
            <w:vAlign w:val="bottom"/>
          </w:tcPr>
          <w:p w14:paraId="32AD6798">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停机后确认</w:t>
            </w:r>
          </w:p>
        </w:tc>
      </w:tr>
      <w:tr w14:paraId="311AC122">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14:paraId="51EA41CA">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2.喷雾、除尘器</w:t>
            </w:r>
          </w:p>
        </w:tc>
        <w:tc>
          <w:tcPr>
            <w:tcW w:w="4632" w:type="dxa"/>
            <w:tcBorders>
              <w:top w:val="nil"/>
              <w:left w:val="nil"/>
              <w:bottom w:val="single" w:color="auto" w:sz="8" w:space="0"/>
              <w:right w:val="single" w:color="auto" w:sz="8" w:space="0"/>
            </w:tcBorders>
            <w:noWrap w:val="0"/>
            <w:vAlign w:val="bottom"/>
          </w:tcPr>
          <w:p w14:paraId="07A86C32">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1.停水、停机、停风</w:t>
            </w:r>
          </w:p>
        </w:tc>
      </w:tr>
      <w:tr w14:paraId="78D03FA6">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14:paraId="3E277239">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3.设备、管线防护</w:t>
            </w:r>
          </w:p>
        </w:tc>
        <w:tc>
          <w:tcPr>
            <w:tcW w:w="4632" w:type="dxa"/>
            <w:tcBorders>
              <w:top w:val="nil"/>
              <w:left w:val="nil"/>
              <w:bottom w:val="single" w:color="auto" w:sz="8" w:space="0"/>
              <w:right w:val="single" w:color="auto" w:sz="8" w:space="0"/>
            </w:tcBorders>
            <w:noWrap w:val="0"/>
            <w:vAlign w:val="bottom"/>
          </w:tcPr>
          <w:p w14:paraId="75D312BC">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2.喷层质量</w:t>
            </w:r>
          </w:p>
        </w:tc>
      </w:tr>
      <w:tr w14:paraId="62344A3B">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14:paraId="77028BFF">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★4.喷浆区顶帮支护</w:t>
            </w:r>
          </w:p>
        </w:tc>
        <w:tc>
          <w:tcPr>
            <w:tcW w:w="4632" w:type="dxa"/>
            <w:tcBorders>
              <w:top w:val="nil"/>
              <w:left w:val="nil"/>
              <w:bottom w:val="single" w:color="auto" w:sz="8" w:space="0"/>
              <w:right w:val="single" w:color="auto" w:sz="8" w:space="0"/>
            </w:tcBorders>
            <w:noWrap w:val="0"/>
            <w:vAlign w:val="bottom"/>
          </w:tcPr>
          <w:p w14:paraId="13EFBD82">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3.风水管、输料管存放</w:t>
            </w:r>
          </w:p>
        </w:tc>
      </w:tr>
      <w:tr w14:paraId="25A944AD">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14:paraId="3705A1BE">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5.通风、瓦斯</w:t>
            </w:r>
          </w:p>
        </w:tc>
        <w:tc>
          <w:tcPr>
            <w:tcW w:w="4632" w:type="dxa"/>
            <w:tcBorders>
              <w:top w:val="nil"/>
              <w:left w:val="nil"/>
              <w:bottom w:val="single" w:color="auto" w:sz="8" w:space="0"/>
              <w:right w:val="single" w:color="auto" w:sz="8" w:space="0"/>
            </w:tcBorders>
            <w:noWrap w:val="0"/>
            <w:vAlign w:val="bottom"/>
          </w:tcPr>
          <w:p w14:paraId="324DFBA4">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4.喷头、喷浆机内外处理</w:t>
            </w:r>
          </w:p>
        </w:tc>
      </w:tr>
      <w:tr w14:paraId="4541A588">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14:paraId="611690EF">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6.口罩、乳胶手套、眼镜</w:t>
            </w:r>
          </w:p>
        </w:tc>
        <w:tc>
          <w:tcPr>
            <w:tcW w:w="4632" w:type="dxa"/>
            <w:tcBorders>
              <w:top w:val="nil"/>
              <w:left w:val="nil"/>
              <w:bottom w:val="nil"/>
              <w:right w:val="single" w:color="auto" w:sz="8" w:space="0"/>
            </w:tcBorders>
            <w:noWrap w:val="0"/>
            <w:vAlign w:val="bottom"/>
          </w:tcPr>
          <w:p w14:paraId="69E9C74B">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2B9D2F7E">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nil"/>
              <w:right w:val="nil"/>
            </w:tcBorders>
            <w:noWrap w:val="0"/>
            <w:vAlign w:val="bottom"/>
          </w:tcPr>
          <w:p w14:paraId="7CEF3534">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7.站位</w:t>
            </w:r>
          </w:p>
        </w:tc>
        <w:tc>
          <w:tcPr>
            <w:tcW w:w="4632" w:type="dxa"/>
            <w:tcBorders>
              <w:top w:val="single" w:color="auto" w:sz="4" w:space="0"/>
              <w:left w:val="single" w:color="auto" w:sz="4" w:space="0"/>
              <w:bottom w:val="nil"/>
              <w:right w:val="single" w:color="auto" w:sz="4" w:space="0"/>
            </w:tcBorders>
            <w:noWrap/>
            <w:vAlign w:val="bottom"/>
          </w:tcPr>
          <w:p w14:paraId="03568AE1">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650A61B9">
        <w:tblPrEx>
          <w:tblCellMar>
            <w:top w:w="0" w:type="dxa"/>
            <w:left w:w="108" w:type="dxa"/>
            <w:bottom w:w="0" w:type="dxa"/>
            <w:right w:w="108" w:type="dxa"/>
          </w:tblCellMar>
        </w:tblPrEx>
        <w:trPr>
          <w:trHeight w:val="783" w:hRule="atLeast"/>
          <w:jc w:val="center"/>
        </w:trPr>
        <w:tc>
          <w:tcPr>
            <w:tcW w:w="9267" w:type="dxa"/>
            <w:gridSpan w:val="2"/>
            <w:tcBorders>
              <w:top w:val="single" w:color="auto" w:sz="4" w:space="0"/>
              <w:left w:val="single" w:color="auto" w:sz="4" w:space="0"/>
              <w:bottom w:val="single" w:color="auto" w:sz="4" w:space="0"/>
              <w:right w:val="single" w:color="auto" w:sz="4" w:space="0"/>
            </w:tcBorders>
            <w:noWrap w:val="0"/>
            <w:vAlign w:val="bottom"/>
          </w:tcPr>
          <w:p w14:paraId="363388DA">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手指口述：第一次按开机前检查内容逐项检查并口述确认，存在问题整改后再确认；中间再次操作只检查带“★”部分；全部结束后按停机后确认内容逐项检查并口述确认。</w:t>
            </w:r>
          </w:p>
        </w:tc>
      </w:tr>
    </w:tbl>
    <w:p w14:paraId="192E8A3D">
      <w:pPr>
        <w:pStyle w:val="2"/>
        <w:keepNext w:val="0"/>
        <w:keepLines w:val="0"/>
        <w:pageBreakBefore w:val="0"/>
        <w:kinsoku/>
        <w:wordWrap/>
        <w:overflowPunct/>
        <w:topLinePunct w:val="0"/>
        <w:autoSpaceDE/>
        <w:autoSpaceDN/>
        <w:bidi w:val="0"/>
        <w:adjustRightInd/>
        <w:ind w:left="0" w:leftChars="0" w:firstLine="0" w:firstLineChars="0"/>
        <w:outlineLvl w:val="9"/>
        <w:rPr>
          <w:color w:val="auto"/>
        </w:rPr>
      </w:pPr>
    </w:p>
    <w:tbl>
      <w:tblPr>
        <w:tblStyle w:val="12"/>
        <w:tblW w:w="9120" w:type="dxa"/>
        <w:jc w:val="center"/>
        <w:tblLayout w:type="fixed"/>
        <w:tblCellMar>
          <w:top w:w="0" w:type="dxa"/>
          <w:left w:w="108" w:type="dxa"/>
          <w:bottom w:w="0" w:type="dxa"/>
          <w:right w:w="108" w:type="dxa"/>
        </w:tblCellMar>
      </w:tblPr>
      <w:tblGrid>
        <w:gridCol w:w="9120"/>
      </w:tblGrid>
      <w:tr w14:paraId="23CC34B3">
        <w:tblPrEx>
          <w:tblCellMar>
            <w:top w:w="0" w:type="dxa"/>
            <w:left w:w="108" w:type="dxa"/>
            <w:bottom w:w="0" w:type="dxa"/>
            <w:right w:w="108" w:type="dxa"/>
          </w:tblCellMar>
        </w:tblPrEx>
        <w:trPr>
          <w:trHeight w:val="385"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14:paraId="5B46BB12">
            <w:pPr>
              <w:keepNext w:val="0"/>
              <w:keepLines w:val="0"/>
              <w:pageBreakBefore w:val="0"/>
              <w:widowControl/>
              <w:kinsoku/>
              <w:wordWrap/>
              <w:overflowPunct/>
              <w:topLinePunct w:val="0"/>
              <w:autoSpaceDE/>
              <w:autoSpaceDN/>
              <w:bidi w:val="0"/>
              <w:adjustRightInd/>
              <w:spacing w:line="240" w:lineRule="auto"/>
              <w:ind w:firstLine="3570" w:firstLineChars="1700"/>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喷浆机单元检查表</w:t>
            </w:r>
          </w:p>
        </w:tc>
      </w:tr>
      <w:tr w14:paraId="288D95FA">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14:paraId="5CC9AFDD">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1.电机</w:t>
            </w:r>
          </w:p>
        </w:tc>
      </w:tr>
      <w:tr w14:paraId="07F11DA2">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14:paraId="573FA1D0">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2.筛网、搅拌装置</w:t>
            </w:r>
          </w:p>
        </w:tc>
      </w:tr>
      <w:tr w14:paraId="14DECFD7">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14:paraId="3B42D6C2">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3.摩擦板、料腔</w:t>
            </w:r>
          </w:p>
        </w:tc>
      </w:tr>
      <w:tr w14:paraId="40C5EC3D">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14:paraId="3252E880">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4.机体位置、固定</w:t>
            </w:r>
          </w:p>
        </w:tc>
      </w:tr>
      <w:tr w14:paraId="664D5E91">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14:paraId="0F39D496">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5.输料管、风水管、喷枪</w:t>
            </w:r>
          </w:p>
        </w:tc>
      </w:tr>
      <w:tr w14:paraId="652D8D82">
        <w:tblPrEx>
          <w:tblCellMar>
            <w:top w:w="0" w:type="dxa"/>
            <w:left w:w="108" w:type="dxa"/>
            <w:bottom w:w="0" w:type="dxa"/>
            <w:right w:w="108" w:type="dxa"/>
          </w:tblCellMar>
        </w:tblPrEx>
        <w:trPr>
          <w:trHeight w:val="385" w:hRule="atLeast"/>
          <w:jc w:val="center"/>
        </w:trPr>
        <w:tc>
          <w:tcPr>
            <w:tcW w:w="9120" w:type="dxa"/>
            <w:vMerge w:val="restart"/>
            <w:tcBorders>
              <w:top w:val="single" w:color="auto" w:sz="4" w:space="0"/>
              <w:left w:val="single" w:color="auto" w:sz="4" w:space="0"/>
              <w:bottom w:val="single" w:color="auto" w:sz="4" w:space="0"/>
              <w:right w:val="single" w:color="auto" w:sz="4" w:space="0"/>
            </w:tcBorders>
            <w:vAlign w:val="center"/>
          </w:tcPr>
          <w:p w14:paraId="7773FC3D">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接班后单元检查表检查前，先进行停电闭锁确认</w:t>
            </w:r>
            <w:r>
              <w:rPr>
                <w:rFonts w:hint="eastAsia" w:ascii="仿宋" w:hAnsi="仿宋" w:eastAsia="仿宋" w:cs="仿宋"/>
                <w:b w:val="0"/>
                <w:bCs w:val="0"/>
                <w:color w:val="auto"/>
                <w:kern w:val="0"/>
                <w:sz w:val="21"/>
                <w:szCs w:val="21"/>
                <w:highlight w:val="none"/>
                <w:lang w:eastAsia="zh-CN"/>
              </w:rPr>
              <w:t>。</w:t>
            </w:r>
          </w:p>
        </w:tc>
      </w:tr>
      <w:tr w14:paraId="4D596C09">
        <w:tblPrEx>
          <w:tblCellMar>
            <w:top w:w="0" w:type="dxa"/>
            <w:left w:w="108" w:type="dxa"/>
            <w:bottom w:w="0" w:type="dxa"/>
            <w:right w:w="108" w:type="dxa"/>
          </w:tblCellMar>
        </w:tblPrEx>
        <w:trPr>
          <w:trHeight w:val="385" w:hRule="atLeast"/>
          <w:jc w:val="center"/>
        </w:trPr>
        <w:tc>
          <w:tcPr>
            <w:tcW w:w="9120" w:type="dxa"/>
            <w:vMerge w:val="continue"/>
            <w:tcBorders>
              <w:top w:val="single" w:color="auto" w:sz="4" w:space="0"/>
              <w:left w:val="single" w:color="auto" w:sz="4" w:space="0"/>
              <w:bottom w:val="single" w:color="auto" w:sz="4" w:space="0"/>
              <w:right w:val="single" w:color="auto" w:sz="4" w:space="0"/>
            </w:tcBorders>
            <w:vAlign w:val="center"/>
          </w:tcPr>
          <w:p w14:paraId="18BC32B3">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8"/>
                <w:szCs w:val="28"/>
                <w:highlight w:val="none"/>
              </w:rPr>
            </w:pPr>
          </w:p>
        </w:tc>
      </w:tr>
      <w:tr w14:paraId="60453FD3">
        <w:tblPrEx>
          <w:tblCellMar>
            <w:top w:w="0" w:type="dxa"/>
            <w:left w:w="108" w:type="dxa"/>
            <w:bottom w:w="0" w:type="dxa"/>
            <w:right w:w="108" w:type="dxa"/>
          </w:tblCellMar>
        </w:tblPrEx>
        <w:trPr>
          <w:trHeight w:val="312" w:hRule="atLeast"/>
          <w:jc w:val="center"/>
        </w:trPr>
        <w:tc>
          <w:tcPr>
            <w:tcW w:w="9120" w:type="dxa"/>
            <w:vMerge w:val="continue"/>
            <w:tcBorders>
              <w:top w:val="single" w:color="auto" w:sz="4" w:space="0"/>
              <w:left w:val="single" w:color="auto" w:sz="4" w:space="0"/>
              <w:bottom w:val="single" w:color="auto" w:sz="4" w:space="0"/>
              <w:right w:val="single" w:color="auto" w:sz="4" w:space="0"/>
            </w:tcBorders>
            <w:vAlign w:val="center"/>
          </w:tcPr>
          <w:p w14:paraId="2C8837CC">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8"/>
                <w:szCs w:val="28"/>
                <w:highlight w:val="none"/>
              </w:rPr>
            </w:pPr>
          </w:p>
        </w:tc>
      </w:tr>
    </w:tbl>
    <w:p w14:paraId="07F21EC8">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b/>
          <w:bCs/>
          <w:color w:val="auto"/>
          <w:kern w:val="0"/>
          <w:sz w:val="21"/>
          <w:szCs w:val="21"/>
          <w:highlight w:val="none"/>
        </w:rPr>
      </w:pPr>
    </w:p>
    <w:p w14:paraId="5B5C7A03">
      <w:pPr>
        <w:keepNext w:val="0"/>
        <w:keepLines w:val="0"/>
        <w:pageBreakBefore w:val="0"/>
        <w:kinsoku/>
        <w:wordWrap/>
        <w:overflowPunct/>
        <w:topLinePunct w:val="0"/>
        <w:autoSpaceDE/>
        <w:autoSpaceDN/>
        <w:bidi w:val="0"/>
        <w:adjustRightInd/>
        <w:jc w:val="center"/>
        <w:outlineLvl w:val="9"/>
        <w:rPr>
          <w:color w:val="auto"/>
        </w:rPr>
      </w:pPr>
      <w:r>
        <w:rPr>
          <w:rFonts w:hint="eastAsia" w:ascii="仿宋" w:hAnsi="仿宋" w:eastAsia="仿宋" w:cs="仿宋"/>
          <w:b/>
          <w:bCs/>
          <w:color w:val="auto"/>
          <w:kern w:val="0"/>
          <w:sz w:val="21"/>
          <w:szCs w:val="21"/>
          <w:highlight w:val="none"/>
        </w:rPr>
        <w:t>湿式喷浆支护工安全提示、单元检查卡</w:t>
      </w:r>
    </w:p>
    <w:tbl>
      <w:tblPr>
        <w:tblStyle w:val="12"/>
        <w:tblW w:w="9119" w:type="dxa"/>
        <w:jc w:val="center"/>
        <w:tblLayout w:type="fixed"/>
        <w:tblCellMar>
          <w:top w:w="0" w:type="dxa"/>
          <w:left w:w="108" w:type="dxa"/>
          <w:bottom w:w="0" w:type="dxa"/>
          <w:right w:w="108" w:type="dxa"/>
        </w:tblCellMar>
      </w:tblPr>
      <w:tblGrid>
        <w:gridCol w:w="4635"/>
        <w:gridCol w:w="4484"/>
      </w:tblGrid>
      <w:tr w14:paraId="3B6504BC">
        <w:tblPrEx>
          <w:tblCellMar>
            <w:top w:w="0" w:type="dxa"/>
            <w:left w:w="108" w:type="dxa"/>
            <w:bottom w:w="0" w:type="dxa"/>
            <w:right w:w="108" w:type="dxa"/>
          </w:tblCellMar>
        </w:tblPrEx>
        <w:trPr>
          <w:trHeight w:val="280" w:hRule="atLeast"/>
          <w:jc w:val="center"/>
        </w:trPr>
        <w:tc>
          <w:tcPr>
            <w:tcW w:w="4635" w:type="dxa"/>
            <w:tcBorders>
              <w:top w:val="single" w:color="auto" w:sz="4" w:space="0"/>
              <w:left w:val="single" w:color="auto" w:sz="4" w:space="0"/>
              <w:bottom w:val="single" w:color="auto" w:sz="4" w:space="0"/>
              <w:right w:val="single" w:color="auto" w:sz="8" w:space="0"/>
            </w:tcBorders>
            <w:vAlign w:val="bottom"/>
          </w:tcPr>
          <w:p w14:paraId="70BDEBCB">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开机前检查</w:t>
            </w:r>
          </w:p>
        </w:tc>
        <w:tc>
          <w:tcPr>
            <w:tcW w:w="4484" w:type="dxa"/>
            <w:tcBorders>
              <w:top w:val="single" w:color="auto" w:sz="4" w:space="0"/>
              <w:left w:val="nil"/>
              <w:bottom w:val="single" w:color="auto" w:sz="4" w:space="0"/>
              <w:right w:val="single" w:color="auto" w:sz="4" w:space="0"/>
            </w:tcBorders>
            <w:vAlign w:val="bottom"/>
          </w:tcPr>
          <w:p w14:paraId="43FCB545">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停机后确认</w:t>
            </w:r>
          </w:p>
        </w:tc>
      </w:tr>
      <w:tr w14:paraId="6891D162">
        <w:tblPrEx>
          <w:tblCellMar>
            <w:top w:w="0" w:type="dxa"/>
            <w:left w:w="108" w:type="dxa"/>
            <w:bottom w:w="0" w:type="dxa"/>
            <w:right w:w="108" w:type="dxa"/>
          </w:tblCellMar>
        </w:tblPrEx>
        <w:trPr>
          <w:trHeight w:val="267" w:hRule="atLeast"/>
          <w:jc w:val="center"/>
        </w:trPr>
        <w:tc>
          <w:tcPr>
            <w:tcW w:w="4635" w:type="dxa"/>
            <w:tcBorders>
              <w:top w:val="single" w:color="auto" w:sz="4" w:space="0"/>
              <w:left w:val="single" w:color="auto" w:sz="4" w:space="0"/>
              <w:bottom w:val="single" w:color="auto" w:sz="4" w:space="0"/>
              <w:right w:val="single" w:color="auto" w:sz="4" w:space="0"/>
            </w:tcBorders>
            <w:vAlign w:val="bottom"/>
          </w:tcPr>
          <w:p w14:paraId="27C27971">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★1.喷浆机处顶帮支护</w:t>
            </w:r>
          </w:p>
        </w:tc>
        <w:tc>
          <w:tcPr>
            <w:tcW w:w="4484" w:type="dxa"/>
            <w:tcBorders>
              <w:top w:val="single" w:color="auto" w:sz="4" w:space="0"/>
              <w:left w:val="nil"/>
              <w:bottom w:val="single" w:color="auto" w:sz="4" w:space="0"/>
              <w:right w:val="single" w:color="auto" w:sz="4" w:space="0"/>
            </w:tcBorders>
            <w:vAlign w:val="bottom"/>
          </w:tcPr>
          <w:p w14:paraId="1BB81F77">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1.停水、停机、停风</w:t>
            </w:r>
          </w:p>
        </w:tc>
      </w:tr>
      <w:tr w14:paraId="7CD052F1">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14:paraId="6C62D69F">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2.喷雾、除尘风机</w:t>
            </w:r>
          </w:p>
        </w:tc>
        <w:tc>
          <w:tcPr>
            <w:tcW w:w="4484" w:type="dxa"/>
            <w:tcBorders>
              <w:top w:val="nil"/>
              <w:left w:val="nil"/>
              <w:bottom w:val="single" w:color="auto" w:sz="4" w:space="0"/>
              <w:right w:val="single" w:color="auto" w:sz="4" w:space="0"/>
            </w:tcBorders>
            <w:vAlign w:val="bottom"/>
          </w:tcPr>
          <w:p w14:paraId="46DE61EA">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2.喷层质量</w:t>
            </w:r>
          </w:p>
        </w:tc>
      </w:tr>
      <w:tr w14:paraId="626EFC9C">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14:paraId="097FA2A4">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3.设备、管线防护</w:t>
            </w:r>
          </w:p>
        </w:tc>
        <w:tc>
          <w:tcPr>
            <w:tcW w:w="4484" w:type="dxa"/>
            <w:tcBorders>
              <w:top w:val="nil"/>
              <w:left w:val="nil"/>
              <w:bottom w:val="single" w:color="auto" w:sz="4" w:space="0"/>
              <w:right w:val="single" w:color="auto" w:sz="4" w:space="0"/>
            </w:tcBorders>
            <w:vAlign w:val="bottom"/>
          </w:tcPr>
          <w:p w14:paraId="295A02A7">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3.风水管、输料管存放</w:t>
            </w:r>
          </w:p>
        </w:tc>
      </w:tr>
      <w:tr w14:paraId="71D566E9">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14:paraId="576A4236">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★4.喷浆区顶帮支护</w:t>
            </w:r>
          </w:p>
        </w:tc>
        <w:tc>
          <w:tcPr>
            <w:tcW w:w="4484" w:type="dxa"/>
            <w:tcBorders>
              <w:top w:val="nil"/>
              <w:left w:val="nil"/>
              <w:bottom w:val="single" w:color="auto" w:sz="4" w:space="0"/>
              <w:right w:val="single" w:color="auto" w:sz="4" w:space="0"/>
            </w:tcBorders>
            <w:vAlign w:val="bottom"/>
          </w:tcPr>
          <w:p w14:paraId="0D1D4C97">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4.喷头、喷浆机内外处理</w:t>
            </w:r>
          </w:p>
        </w:tc>
      </w:tr>
      <w:tr w14:paraId="76D8A0B8">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14:paraId="468DEC94">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5.通风、瓦斯</w:t>
            </w:r>
          </w:p>
        </w:tc>
        <w:tc>
          <w:tcPr>
            <w:tcW w:w="4484" w:type="dxa"/>
            <w:tcBorders>
              <w:top w:val="nil"/>
              <w:left w:val="nil"/>
              <w:bottom w:val="single" w:color="auto" w:sz="4" w:space="0"/>
              <w:right w:val="single" w:color="auto" w:sz="4" w:space="0"/>
            </w:tcBorders>
            <w:vAlign w:val="bottom"/>
          </w:tcPr>
          <w:p w14:paraId="077379F7">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7C5823AC">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14:paraId="2E380E36">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6.口罩、乳胶手套、眼镜</w:t>
            </w:r>
          </w:p>
        </w:tc>
        <w:tc>
          <w:tcPr>
            <w:tcW w:w="4484" w:type="dxa"/>
            <w:tcBorders>
              <w:top w:val="nil"/>
              <w:left w:val="nil"/>
              <w:bottom w:val="single" w:color="auto" w:sz="4" w:space="0"/>
              <w:right w:val="single" w:color="auto" w:sz="4" w:space="0"/>
            </w:tcBorders>
            <w:vAlign w:val="bottom"/>
          </w:tcPr>
          <w:p w14:paraId="591792C7">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05037351">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14:paraId="34DC7540">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7.站位</w:t>
            </w:r>
          </w:p>
        </w:tc>
        <w:tc>
          <w:tcPr>
            <w:tcW w:w="4484" w:type="dxa"/>
            <w:tcBorders>
              <w:top w:val="nil"/>
              <w:left w:val="nil"/>
              <w:bottom w:val="single" w:color="auto" w:sz="4" w:space="0"/>
              <w:right w:val="single" w:color="auto" w:sz="4" w:space="0"/>
            </w:tcBorders>
            <w:vAlign w:val="bottom"/>
          </w:tcPr>
          <w:p w14:paraId="5AF837D1">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75ECC838">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14:paraId="2B5F610B">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★8.喷枪前方人员</w:t>
            </w:r>
          </w:p>
        </w:tc>
        <w:tc>
          <w:tcPr>
            <w:tcW w:w="4484" w:type="dxa"/>
            <w:tcBorders>
              <w:top w:val="nil"/>
              <w:left w:val="nil"/>
              <w:bottom w:val="single" w:color="auto" w:sz="4" w:space="0"/>
              <w:right w:val="single" w:color="auto" w:sz="4" w:space="0"/>
            </w:tcBorders>
            <w:vAlign w:val="bottom"/>
          </w:tcPr>
          <w:p w14:paraId="51C149C1">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2C9C17D5">
        <w:tblPrEx>
          <w:tblCellMar>
            <w:top w:w="0" w:type="dxa"/>
            <w:left w:w="108" w:type="dxa"/>
            <w:bottom w:w="0" w:type="dxa"/>
            <w:right w:w="108" w:type="dxa"/>
          </w:tblCellMar>
        </w:tblPrEx>
        <w:trPr>
          <w:trHeight w:val="932" w:hRule="atLeast"/>
          <w:jc w:val="center"/>
        </w:trPr>
        <w:tc>
          <w:tcPr>
            <w:tcW w:w="9119" w:type="dxa"/>
            <w:gridSpan w:val="2"/>
            <w:tcBorders>
              <w:top w:val="single" w:color="auto" w:sz="4" w:space="0"/>
              <w:left w:val="single" w:color="auto" w:sz="4" w:space="0"/>
              <w:bottom w:val="single" w:color="auto" w:sz="4" w:space="0"/>
              <w:right w:val="single" w:color="000000" w:sz="4" w:space="0"/>
            </w:tcBorders>
            <w:vAlign w:val="center"/>
          </w:tcPr>
          <w:p w14:paraId="3D3486C1">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手指口述：第一次按开机前检查内容逐项检查并口述确认，存在问题整改后再确认；中间再次操作只检查带“★”部分；全部结束后按停机后确认内容逐项检查并口述确认。</w:t>
            </w:r>
          </w:p>
        </w:tc>
      </w:tr>
    </w:tbl>
    <w:p w14:paraId="3974A479">
      <w:pPr>
        <w:keepNext w:val="0"/>
        <w:keepLines w:val="0"/>
        <w:pageBreakBefore w:val="0"/>
        <w:kinsoku/>
        <w:wordWrap/>
        <w:overflowPunct/>
        <w:topLinePunct w:val="0"/>
        <w:autoSpaceDE/>
        <w:autoSpaceDN/>
        <w:bidi w:val="0"/>
        <w:adjustRightInd/>
        <w:outlineLvl w:val="9"/>
        <w:rPr>
          <w:color w:val="auto"/>
        </w:rPr>
      </w:pPr>
    </w:p>
    <w:tbl>
      <w:tblPr>
        <w:tblStyle w:val="12"/>
        <w:tblW w:w="9119" w:type="dxa"/>
        <w:jc w:val="center"/>
        <w:tblLayout w:type="fixed"/>
        <w:tblCellMar>
          <w:top w:w="0" w:type="dxa"/>
          <w:left w:w="108" w:type="dxa"/>
          <w:bottom w:w="0" w:type="dxa"/>
          <w:right w:w="108" w:type="dxa"/>
        </w:tblCellMar>
      </w:tblPr>
      <w:tblGrid>
        <w:gridCol w:w="4635"/>
        <w:gridCol w:w="4484"/>
      </w:tblGrid>
      <w:tr w14:paraId="59A88B41">
        <w:tblPrEx>
          <w:tblCellMar>
            <w:top w:w="0" w:type="dxa"/>
            <w:left w:w="108" w:type="dxa"/>
            <w:bottom w:w="0" w:type="dxa"/>
            <w:right w:w="108" w:type="dxa"/>
          </w:tblCellMar>
        </w:tblPrEx>
        <w:trPr>
          <w:trHeight w:val="267" w:hRule="atLeast"/>
          <w:jc w:val="center"/>
        </w:trPr>
        <w:tc>
          <w:tcPr>
            <w:tcW w:w="9119" w:type="dxa"/>
            <w:gridSpan w:val="2"/>
            <w:tcBorders>
              <w:top w:val="single" w:color="auto" w:sz="4" w:space="0"/>
              <w:left w:val="single" w:color="auto" w:sz="4" w:space="0"/>
              <w:bottom w:val="single" w:color="auto" w:sz="4" w:space="0"/>
              <w:right w:val="single" w:color="auto" w:sz="4" w:space="0"/>
            </w:tcBorders>
            <w:vAlign w:val="bottom"/>
          </w:tcPr>
          <w:p w14:paraId="731F08A4">
            <w:pPr>
              <w:keepNext w:val="0"/>
              <w:keepLines w:val="0"/>
              <w:pageBreakBefore w:val="0"/>
              <w:widowControl/>
              <w:kinsoku/>
              <w:wordWrap/>
              <w:overflowPunct/>
              <w:topLinePunct w:val="0"/>
              <w:autoSpaceDE/>
              <w:autoSpaceDN/>
              <w:bidi w:val="0"/>
              <w:adjustRightInd/>
              <w:spacing w:line="240" w:lineRule="auto"/>
              <w:ind w:firstLine="3570" w:firstLineChars="1700"/>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喷浆机单元检查表</w:t>
            </w:r>
          </w:p>
        </w:tc>
      </w:tr>
      <w:tr w14:paraId="40241AB5">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14:paraId="312FC9B1">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1.电机</w:t>
            </w:r>
          </w:p>
        </w:tc>
        <w:tc>
          <w:tcPr>
            <w:tcW w:w="4484" w:type="dxa"/>
            <w:tcBorders>
              <w:top w:val="nil"/>
              <w:left w:val="nil"/>
              <w:bottom w:val="single" w:color="auto" w:sz="4" w:space="0"/>
              <w:right w:val="single" w:color="auto" w:sz="4" w:space="0"/>
            </w:tcBorders>
            <w:vAlign w:val="bottom"/>
          </w:tcPr>
          <w:p w14:paraId="7F51A299">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557FE01F">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14:paraId="5D4BF4FE">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2.振动料斗、发射缸</w:t>
            </w:r>
          </w:p>
        </w:tc>
        <w:tc>
          <w:tcPr>
            <w:tcW w:w="4484" w:type="dxa"/>
            <w:tcBorders>
              <w:top w:val="nil"/>
              <w:left w:val="nil"/>
              <w:bottom w:val="single" w:color="auto" w:sz="4" w:space="0"/>
              <w:right w:val="single" w:color="auto" w:sz="4" w:space="0"/>
            </w:tcBorders>
            <w:vAlign w:val="bottom"/>
          </w:tcPr>
          <w:p w14:paraId="6FDD5808">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0AE8BFA7">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14:paraId="5C44D055">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3.护板、链轮、链条、紧链器</w:t>
            </w:r>
          </w:p>
        </w:tc>
        <w:tc>
          <w:tcPr>
            <w:tcW w:w="4484" w:type="dxa"/>
            <w:tcBorders>
              <w:top w:val="nil"/>
              <w:left w:val="nil"/>
              <w:bottom w:val="single" w:color="auto" w:sz="4" w:space="0"/>
              <w:right w:val="single" w:color="auto" w:sz="4" w:space="0"/>
            </w:tcBorders>
            <w:vAlign w:val="bottom"/>
          </w:tcPr>
          <w:p w14:paraId="591A695C">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0D094C13">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14:paraId="25972233">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4.主风截止阀、压力表</w:t>
            </w:r>
          </w:p>
        </w:tc>
        <w:tc>
          <w:tcPr>
            <w:tcW w:w="4484" w:type="dxa"/>
            <w:tcBorders>
              <w:top w:val="nil"/>
              <w:left w:val="nil"/>
              <w:bottom w:val="single" w:color="auto" w:sz="4" w:space="0"/>
              <w:right w:val="single" w:color="auto" w:sz="4" w:space="0"/>
            </w:tcBorders>
            <w:vAlign w:val="bottom"/>
          </w:tcPr>
          <w:p w14:paraId="227B963B">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34DC0388">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14:paraId="6E5DC6B0">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5.机体位置、固定</w:t>
            </w:r>
          </w:p>
        </w:tc>
        <w:tc>
          <w:tcPr>
            <w:tcW w:w="4484" w:type="dxa"/>
            <w:tcBorders>
              <w:top w:val="nil"/>
              <w:left w:val="nil"/>
              <w:bottom w:val="single" w:color="auto" w:sz="4" w:space="0"/>
              <w:right w:val="single" w:color="auto" w:sz="4" w:space="0"/>
            </w:tcBorders>
            <w:vAlign w:val="bottom"/>
          </w:tcPr>
          <w:p w14:paraId="2D386D4C">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5CDB3EFE">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14:paraId="1E777DE8">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6.输料管、风水管、喷枪</w:t>
            </w:r>
          </w:p>
        </w:tc>
        <w:tc>
          <w:tcPr>
            <w:tcW w:w="4484" w:type="dxa"/>
            <w:tcBorders>
              <w:top w:val="nil"/>
              <w:left w:val="nil"/>
              <w:bottom w:val="single" w:color="auto" w:sz="4" w:space="0"/>
              <w:right w:val="single" w:color="auto" w:sz="4" w:space="0"/>
            </w:tcBorders>
            <w:vAlign w:val="bottom"/>
          </w:tcPr>
          <w:p w14:paraId="53691EEC">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14:paraId="07E135E6">
        <w:tblPrEx>
          <w:tblCellMar>
            <w:top w:w="0" w:type="dxa"/>
            <w:left w:w="108" w:type="dxa"/>
            <w:bottom w:w="0" w:type="dxa"/>
            <w:right w:w="108" w:type="dxa"/>
          </w:tblCellMar>
        </w:tblPrEx>
        <w:trPr>
          <w:trHeight w:val="495" w:hRule="atLeast"/>
          <w:jc w:val="center"/>
        </w:trPr>
        <w:tc>
          <w:tcPr>
            <w:tcW w:w="9119" w:type="dxa"/>
            <w:gridSpan w:val="2"/>
            <w:tcBorders>
              <w:top w:val="single" w:color="auto" w:sz="4" w:space="0"/>
              <w:left w:val="single" w:color="auto" w:sz="4" w:space="0"/>
              <w:bottom w:val="single" w:color="auto" w:sz="4" w:space="0"/>
              <w:right w:val="single" w:color="000000" w:sz="4" w:space="0"/>
            </w:tcBorders>
            <w:vAlign w:val="center"/>
          </w:tcPr>
          <w:p w14:paraId="4B76AD50">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接班后单元检查表检查前，先进行停电闭锁确认</w:t>
            </w:r>
            <w:r>
              <w:rPr>
                <w:rFonts w:hint="eastAsia" w:ascii="仿宋" w:hAnsi="仿宋" w:eastAsia="仿宋" w:cs="仿宋"/>
                <w:b w:val="0"/>
                <w:bCs w:val="0"/>
                <w:color w:val="auto"/>
                <w:kern w:val="0"/>
                <w:sz w:val="21"/>
                <w:szCs w:val="21"/>
                <w:highlight w:val="none"/>
                <w:lang w:eastAsia="zh-CN"/>
              </w:rPr>
              <w:t>。</w:t>
            </w:r>
          </w:p>
        </w:tc>
      </w:tr>
    </w:tbl>
    <w:tbl>
      <w:tblPr>
        <w:tblStyle w:val="12"/>
        <w:tblpPr w:leftFromText="180" w:rightFromText="180" w:vertAnchor="text" w:horzAnchor="page" w:tblpX="1547" w:tblpY="497"/>
        <w:tblOverlap w:val="never"/>
        <w:tblW w:w="9060" w:type="dxa"/>
        <w:tblInd w:w="0" w:type="dxa"/>
        <w:tblLayout w:type="fixed"/>
        <w:tblCellMar>
          <w:top w:w="0" w:type="dxa"/>
          <w:left w:w="108" w:type="dxa"/>
          <w:bottom w:w="0" w:type="dxa"/>
          <w:right w:w="108" w:type="dxa"/>
        </w:tblCellMar>
      </w:tblPr>
      <w:tblGrid>
        <w:gridCol w:w="1110"/>
        <w:gridCol w:w="1558"/>
        <w:gridCol w:w="6392"/>
      </w:tblGrid>
      <w:tr w14:paraId="5CAEA6FA">
        <w:tblPrEx>
          <w:tblCellMar>
            <w:top w:w="0" w:type="dxa"/>
            <w:left w:w="108" w:type="dxa"/>
            <w:bottom w:w="0" w:type="dxa"/>
            <w:right w:w="108" w:type="dxa"/>
          </w:tblCellMar>
        </w:tblPrEx>
        <w:trPr>
          <w:trHeight w:val="239" w:hRule="atLeast"/>
        </w:trPr>
        <w:tc>
          <w:tcPr>
            <w:tcW w:w="9060" w:type="dxa"/>
            <w:gridSpan w:val="3"/>
            <w:tcBorders>
              <w:top w:val="single" w:color="auto" w:sz="4" w:space="0"/>
              <w:left w:val="single" w:color="auto" w:sz="4" w:space="0"/>
              <w:bottom w:val="single" w:color="auto" w:sz="4" w:space="0"/>
              <w:right w:val="single" w:color="auto" w:sz="4" w:space="0"/>
            </w:tcBorders>
            <w:vAlign w:val="center"/>
          </w:tcPr>
          <w:p w14:paraId="775D60D1">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rPr>
              <w:t>喷浆工操作中安全注意事项</w:t>
            </w:r>
          </w:p>
        </w:tc>
      </w:tr>
      <w:tr w14:paraId="4847C018">
        <w:tblPrEx>
          <w:tblCellMar>
            <w:top w:w="0" w:type="dxa"/>
            <w:left w:w="108" w:type="dxa"/>
            <w:bottom w:w="0" w:type="dxa"/>
            <w:right w:w="108" w:type="dxa"/>
          </w:tblCellMar>
        </w:tblPrEx>
        <w:trPr>
          <w:trHeight w:val="290" w:hRule="atLeast"/>
        </w:trPr>
        <w:tc>
          <w:tcPr>
            <w:tcW w:w="1110" w:type="dxa"/>
            <w:tcBorders>
              <w:top w:val="single" w:color="auto" w:sz="4" w:space="0"/>
              <w:left w:val="single" w:color="auto" w:sz="4" w:space="0"/>
              <w:bottom w:val="single" w:color="auto" w:sz="4" w:space="0"/>
              <w:right w:val="single" w:color="auto" w:sz="4" w:space="0"/>
            </w:tcBorders>
            <w:vAlign w:val="center"/>
          </w:tcPr>
          <w:p w14:paraId="53EE49FE">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操作顺序</w:t>
            </w:r>
          </w:p>
        </w:tc>
        <w:tc>
          <w:tcPr>
            <w:tcW w:w="1558" w:type="dxa"/>
            <w:tcBorders>
              <w:top w:val="single" w:color="auto" w:sz="4" w:space="0"/>
              <w:left w:val="single" w:color="auto" w:sz="4" w:space="0"/>
              <w:bottom w:val="single" w:color="auto" w:sz="4" w:space="0"/>
              <w:right w:val="single" w:color="auto" w:sz="4" w:space="0"/>
            </w:tcBorders>
            <w:vAlign w:val="center"/>
          </w:tcPr>
          <w:p w14:paraId="7DDB1010">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提示词</w:t>
            </w:r>
          </w:p>
        </w:tc>
        <w:tc>
          <w:tcPr>
            <w:tcW w:w="6392" w:type="dxa"/>
            <w:tcBorders>
              <w:top w:val="single" w:color="auto" w:sz="4" w:space="0"/>
              <w:left w:val="single" w:color="auto" w:sz="4" w:space="0"/>
              <w:bottom w:val="single" w:color="auto" w:sz="4" w:space="0"/>
              <w:right w:val="single" w:color="auto" w:sz="4" w:space="0"/>
            </w:tcBorders>
            <w:vAlign w:val="center"/>
          </w:tcPr>
          <w:p w14:paraId="37E61271">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操作注意事项解释</w:t>
            </w:r>
          </w:p>
        </w:tc>
      </w:tr>
      <w:tr w14:paraId="6AB8138D">
        <w:tblPrEx>
          <w:tblCellMar>
            <w:top w:w="0" w:type="dxa"/>
            <w:left w:w="108" w:type="dxa"/>
            <w:bottom w:w="0" w:type="dxa"/>
            <w:right w:w="108" w:type="dxa"/>
          </w:tblCellMar>
        </w:tblPrEx>
        <w:trPr>
          <w:trHeight w:val="149" w:hRule="atLeast"/>
        </w:trPr>
        <w:tc>
          <w:tcPr>
            <w:tcW w:w="1110" w:type="dxa"/>
            <w:vMerge w:val="restart"/>
            <w:tcBorders>
              <w:top w:val="single" w:color="auto" w:sz="4" w:space="0"/>
              <w:left w:val="single" w:color="auto" w:sz="4" w:space="0"/>
              <w:bottom w:val="single" w:color="auto" w:sz="4" w:space="0"/>
              <w:right w:val="single" w:color="auto" w:sz="4" w:space="0"/>
            </w:tcBorders>
            <w:vAlign w:val="center"/>
          </w:tcPr>
          <w:p w14:paraId="3738F0B5">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lang w:eastAsia="zh-CN"/>
              </w:rPr>
              <w:t>操</w:t>
            </w:r>
            <w:r>
              <w:rPr>
                <w:rFonts w:hint="eastAsia" w:ascii="仿宋" w:hAnsi="仿宋" w:eastAsia="仿宋" w:cs="仿宋"/>
                <w:b w:val="0"/>
                <w:bCs w:val="0"/>
                <w:color w:val="auto"/>
                <w:kern w:val="0"/>
                <w:sz w:val="21"/>
                <w:szCs w:val="21"/>
                <w:highlight w:val="none"/>
              </w:rPr>
              <w:t>作中</w:t>
            </w:r>
          </w:p>
        </w:tc>
        <w:tc>
          <w:tcPr>
            <w:tcW w:w="1558" w:type="dxa"/>
            <w:tcBorders>
              <w:top w:val="single" w:color="auto" w:sz="4" w:space="0"/>
              <w:left w:val="single" w:color="auto" w:sz="4" w:space="0"/>
              <w:bottom w:val="single" w:color="auto" w:sz="4" w:space="0"/>
              <w:right w:val="single" w:color="auto" w:sz="4" w:space="0"/>
            </w:tcBorders>
            <w:vAlign w:val="center"/>
          </w:tcPr>
          <w:p w14:paraId="7EEDFFCA">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看出料</w:t>
            </w:r>
          </w:p>
        </w:tc>
        <w:tc>
          <w:tcPr>
            <w:tcW w:w="6392" w:type="dxa"/>
            <w:tcBorders>
              <w:top w:val="single" w:color="auto" w:sz="4" w:space="0"/>
              <w:left w:val="single" w:color="auto" w:sz="4" w:space="0"/>
              <w:bottom w:val="single" w:color="auto" w:sz="4" w:space="0"/>
              <w:right w:val="single" w:color="auto" w:sz="4" w:space="0"/>
            </w:tcBorders>
            <w:vAlign w:val="center"/>
          </w:tcPr>
          <w:p w14:paraId="67CF4712">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观察喷射角度、距离、出料情况；处理堵管时，严禁管口对人</w:t>
            </w:r>
            <w:r>
              <w:rPr>
                <w:rFonts w:hint="eastAsia" w:ascii="仿宋" w:hAnsi="仿宋" w:eastAsia="仿宋" w:cs="仿宋"/>
                <w:b w:val="0"/>
                <w:bCs w:val="0"/>
                <w:color w:val="auto"/>
                <w:kern w:val="0"/>
                <w:sz w:val="21"/>
                <w:szCs w:val="21"/>
                <w:highlight w:val="none"/>
                <w:lang w:val="en-US" w:eastAsia="zh-CN"/>
              </w:rPr>
              <w:t>。</w:t>
            </w:r>
          </w:p>
        </w:tc>
      </w:tr>
      <w:tr w14:paraId="2AE0FBEF">
        <w:tblPrEx>
          <w:tblCellMar>
            <w:top w:w="0" w:type="dxa"/>
            <w:left w:w="108" w:type="dxa"/>
            <w:bottom w:w="0" w:type="dxa"/>
            <w:right w:w="108" w:type="dxa"/>
          </w:tblCellMar>
        </w:tblPrEx>
        <w:trPr>
          <w:trHeight w:val="149" w:hRule="atLeast"/>
        </w:trPr>
        <w:tc>
          <w:tcPr>
            <w:tcW w:w="1110" w:type="dxa"/>
            <w:vMerge w:val="continue"/>
            <w:tcBorders>
              <w:top w:val="single" w:color="auto" w:sz="4" w:space="0"/>
              <w:left w:val="single" w:color="auto" w:sz="4" w:space="0"/>
              <w:bottom w:val="single" w:color="auto" w:sz="4" w:space="0"/>
              <w:right w:val="single" w:color="auto" w:sz="4" w:space="0"/>
            </w:tcBorders>
            <w:vAlign w:val="center"/>
          </w:tcPr>
          <w:p w14:paraId="24DC30D7">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p>
        </w:tc>
        <w:tc>
          <w:tcPr>
            <w:tcW w:w="1558" w:type="dxa"/>
            <w:tcBorders>
              <w:top w:val="single" w:color="auto" w:sz="4" w:space="0"/>
              <w:left w:val="single" w:color="auto" w:sz="4" w:space="0"/>
              <w:bottom w:val="single" w:color="auto" w:sz="4" w:space="0"/>
              <w:right w:val="single" w:color="auto" w:sz="4" w:space="0"/>
            </w:tcBorders>
            <w:vAlign w:val="center"/>
          </w:tcPr>
          <w:p w14:paraId="0C16E0F3">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听异响</w:t>
            </w:r>
          </w:p>
        </w:tc>
        <w:tc>
          <w:tcPr>
            <w:tcW w:w="6392" w:type="dxa"/>
            <w:tcBorders>
              <w:top w:val="single" w:color="auto" w:sz="4" w:space="0"/>
              <w:left w:val="single" w:color="auto" w:sz="4" w:space="0"/>
              <w:bottom w:val="single" w:color="auto" w:sz="4" w:space="0"/>
              <w:right w:val="single" w:color="auto" w:sz="4" w:space="0"/>
            </w:tcBorders>
            <w:vAlign w:val="center"/>
          </w:tcPr>
          <w:p w14:paraId="4380276B">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听喷浆机异常声音</w:t>
            </w:r>
            <w:r>
              <w:rPr>
                <w:rFonts w:hint="eastAsia" w:ascii="仿宋" w:hAnsi="仿宋" w:eastAsia="仿宋" w:cs="仿宋"/>
                <w:b w:val="0"/>
                <w:bCs w:val="0"/>
                <w:color w:val="auto"/>
                <w:kern w:val="0"/>
                <w:sz w:val="21"/>
                <w:szCs w:val="21"/>
                <w:highlight w:val="none"/>
                <w:lang w:eastAsia="zh-CN"/>
              </w:rPr>
              <w:t>。</w:t>
            </w:r>
          </w:p>
        </w:tc>
      </w:tr>
      <w:tr w14:paraId="2E1B46C9">
        <w:tblPrEx>
          <w:tblCellMar>
            <w:top w:w="0" w:type="dxa"/>
            <w:left w:w="108" w:type="dxa"/>
            <w:bottom w:w="0" w:type="dxa"/>
            <w:right w:w="108" w:type="dxa"/>
          </w:tblCellMar>
        </w:tblPrEx>
        <w:trPr>
          <w:trHeight w:val="298" w:hRule="atLeast"/>
        </w:trPr>
        <w:tc>
          <w:tcPr>
            <w:tcW w:w="1110" w:type="dxa"/>
            <w:vMerge w:val="continue"/>
            <w:tcBorders>
              <w:top w:val="single" w:color="auto" w:sz="4" w:space="0"/>
              <w:left w:val="single" w:color="auto" w:sz="4" w:space="0"/>
              <w:bottom w:val="single" w:color="auto" w:sz="4" w:space="0"/>
              <w:right w:val="single" w:color="auto" w:sz="4" w:space="0"/>
            </w:tcBorders>
            <w:vAlign w:val="center"/>
          </w:tcPr>
          <w:p w14:paraId="3142F70C">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p>
        </w:tc>
        <w:tc>
          <w:tcPr>
            <w:tcW w:w="1558" w:type="dxa"/>
            <w:tcBorders>
              <w:top w:val="single" w:color="auto" w:sz="4" w:space="0"/>
              <w:left w:val="single" w:color="auto" w:sz="4" w:space="0"/>
              <w:bottom w:val="single" w:color="auto" w:sz="4" w:space="0"/>
              <w:right w:val="single" w:color="auto" w:sz="4" w:space="0"/>
            </w:tcBorders>
            <w:vAlign w:val="center"/>
          </w:tcPr>
          <w:p w14:paraId="30C90D4E">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站好位</w:t>
            </w:r>
          </w:p>
        </w:tc>
        <w:tc>
          <w:tcPr>
            <w:tcW w:w="6392" w:type="dxa"/>
            <w:tcBorders>
              <w:top w:val="single" w:color="auto" w:sz="4" w:space="0"/>
              <w:left w:val="single" w:color="auto" w:sz="4" w:space="0"/>
              <w:bottom w:val="single" w:color="auto" w:sz="4" w:space="0"/>
              <w:right w:val="single" w:color="auto" w:sz="4" w:space="0"/>
            </w:tcBorders>
            <w:vAlign w:val="center"/>
          </w:tcPr>
          <w:p w14:paraId="189B454D">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必须站在支护完好位置，负责喷浆照明人员必须站在喷浆人员侧后面</w:t>
            </w:r>
            <w:r>
              <w:rPr>
                <w:rFonts w:hint="eastAsia" w:ascii="仿宋" w:hAnsi="仿宋" w:eastAsia="仿宋" w:cs="仿宋"/>
                <w:b w:val="0"/>
                <w:bCs w:val="0"/>
                <w:color w:val="auto"/>
                <w:kern w:val="0"/>
                <w:sz w:val="21"/>
                <w:szCs w:val="21"/>
                <w:highlight w:val="none"/>
                <w:lang w:eastAsia="zh-CN"/>
              </w:rPr>
              <w:t>。</w:t>
            </w:r>
          </w:p>
        </w:tc>
      </w:tr>
    </w:tbl>
    <w:p w14:paraId="3E55CA5C">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64A3BD7F">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14:paraId="1F53798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14:paraId="0967BCF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14:paraId="2D04C8F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14:paraId="74A693D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14:paraId="2B3918D4">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14:paraId="23D31E8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14:paraId="09A8BAC1">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14:paraId="5FCE58C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14:paraId="231041E7">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14:paraId="24DB1980">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14:paraId="34B0F83E">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14:paraId="1BA6830E">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14:paraId="237ADAF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14:paraId="09334023">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14:paraId="72CAE6F3">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534139E7">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2BC5903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5F025F7E">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1E5B1A8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0A1A445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1760D4A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w:t>
      </w:r>
    </w:p>
    <w:p w14:paraId="51BB889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1B91226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75E3DCD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1F53414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14:paraId="4C635BFB">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14:paraId="2EF4664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14:paraId="50FEE96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14:paraId="0E83CE8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14:paraId="041399C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14:paraId="33060854">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384A71A0">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3D6E810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05919F3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7305223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334E546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1367FA3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24C95BD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0F0E8CA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2158D94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476C9C1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584DDDC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21B9B6C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764BF80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31EAE99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17A7E04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3FFCF21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0108EBD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4093D3B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3CB9ABA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16E0120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304659B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20.肩负第二职业的“经济人”：是指挣钱不要命，工作之余另有第二职业的人。</w:t>
      </w:r>
    </w:p>
    <w:p w14:paraId="53F17305">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2ECE356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72E53104">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28C5778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70013EC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18AD8C8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65A2A0B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05BC2CF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F84AB1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0C04D4DA">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6F63CDC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261585B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4C9EC86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557924A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7976A5C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36B8B78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078761B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70BC688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33634BE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2E97091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430F997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454B51C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14F53AA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73B81AA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2992419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10B4B4A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77E290B5">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三、安全风险辨识与管控措施</w:t>
      </w:r>
    </w:p>
    <w:p w14:paraId="7B94B889">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（一）通用部分</w:t>
      </w:r>
    </w:p>
    <w:p w14:paraId="327BD91C">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14:paraId="5E85820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14:paraId="77EC593B">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14:paraId="0E46972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14:paraId="19431EA0">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14:paraId="144592C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14:paraId="4885FA1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14:paraId="71C53AE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14:paraId="06E11621">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14:paraId="389D7B7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77CB59EC">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14:paraId="4FA9EDE7">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14:paraId="393D2D8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14:paraId="705959C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14:paraId="463AFA9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14:paraId="28930D7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1FD0544C">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14:paraId="194163B9">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安设排水系统，并保证排水系统畅通完善，巷道积水及时排出。</w:t>
      </w:r>
    </w:p>
    <w:p w14:paraId="08C8685C">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按照要求进行地质及水情水害预测预报工作。</w:t>
      </w:r>
    </w:p>
    <w:p w14:paraId="44A9C193">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按要求进行涌水量观测。</w:t>
      </w:r>
    </w:p>
    <w:p w14:paraId="3CA09AC0">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普及井下职工防治水知识，了解突水征兆，熟悉逃生路线和避灾方法。</w:t>
      </w:r>
    </w:p>
    <w:p w14:paraId="3D1840B1">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落实应急处置措施，发生事故立即启动应急救援预案。</w:t>
      </w:r>
    </w:p>
    <w:p w14:paraId="37C414F7">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14:paraId="17D4A1E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2FF5D5E4">
      <w:pPr>
        <w:pStyle w:val="5"/>
        <w:keepNext w:val="0"/>
        <w:keepLines w:val="0"/>
        <w:pageBreakBefore w:val="0"/>
        <w:widowControl w:val="0"/>
        <w:numPr>
          <w:ilvl w:val="0"/>
          <w:numId w:val="3"/>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加强通风管理，及时修补、更换不合格风筒，保证风量满足施工需求。</w:t>
      </w:r>
    </w:p>
    <w:p w14:paraId="20321D01">
      <w:pPr>
        <w:pStyle w:val="5"/>
        <w:keepNext w:val="0"/>
        <w:keepLines w:val="0"/>
        <w:pageBreakBefore w:val="0"/>
        <w:widowControl w:val="0"/>
        <w:numPr>
          <w:ilvl w:val="0"/>
          <w:numId w:val="3"/>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按照规定安设甲烷传感器，便携式甲烷检测报警仪，随时检测施工地点甲烷浓度。</w:t>
      </w:r>
    </w:p>
    <w:p w14:paraId="1B3EAD43">
      <w:pPr>
        <w:pStyle w:val="5"/>
        <w:keepNext w:val="0"/>
        <w:keepLines w:val="0"/>
        <w:pageBreakBefore w:val="0"/>
        <w:widowControl w:val="0"/>
        <w:numPr>
          <w:ilvl w:val="0"/>
          <w:numId w:val="3"/>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施工现场杜绝明火。</w:t>
      </w:r>
    </w:p>
    <w:p w14:paraId="662831B0">
      <w:pPr>
        <w:pStyle w:val="5"/>
        <w:keepNext w:val="0"/>
        <w:keepLines w:val="0"/>
        <w:pageBreakBefore w:val="0"/>
        <w:widowControl w:val="0"/>
        <w:numPr>
          <w:ilvl w:val="0"/>
          <w:numId w:val="3"/>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一旦出现甲烷浓度超限，立即按照规定要求的撤人路线进行避灾。</w:t>
      </w:r>
    </w:p>
    <w:p w14:paraId="686E18EC">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14:paraId="321BF67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238F7EE9">
      <w:pPr>
        <w:keepNext w:val="0"/>
        <w:keepLines w:val="0"/>
        <w:pageBreakBefore w:val="0"/>
        <w:widowControl w:val="0"/>
        <w:numPr>
          <w:ilvl w:val="0"/>
          <w:numId w:val="4"/>
        </w:numPr>
        <w:kinsoku/>
        <w:wordWrap/>
        <w:overflowPunct/>
        <w:topLinePunct w:val="0"/>
        <w:autoSpaceDE/>
        <w:autoSpaceDN/>
        <w:bidi w:val="0"/>
        <w:adjustRightInd/>
        <w:spacing w:line="500" w:lineRule="exact"/>
        <w:ind w:left="68"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14:paraId="1CA9D9E8">
      <w:pPr>
        <w:keepNext w:val="0"/>
        <w:keepLines w:val="0"/>
        <w:pageBreakBefore w:val="0"/>
        <w:widowControl w:val="0"/>
        <w:numPr>
          <w:ilvl w:val="0"/>
          <w:numId w:val="4"/>
        </w:numPr>
        <w:kinsoku/>
        <w:wordWrap/>
        <w:overflowPunct/>
        <w:topLinePunct w:val="0"/>
        <w:autoSpaceDE/>
        <w:autoSpaceDN/>
        <w:bidi w:val="0"/>
        <w:adjustRightInd/>
        <w:spacing w:line="500" w:lineRule="exact"/>
        <w:ind w:left="68"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14:paraId="2DF426FC">
      <w:pPr>
        <w:keepNext w:val="0"/>
        <w:keepLines w:val="0"/>
        <w:pageBreakBefore w:val="0"/>
        <w:widowControl w:val="0"/>
        <w:numPr>
          <w:ilvl w:val="0"/>
          <w:numId w:val="4"/>
        </w:numPr>
        <w:kinsoku/>
        <w:wordWrap/>
        <w:overflowPunct/>
        <w:topLinePunct w:val="0"/>
        <w:autoSpaceDE/>
        <w:autoSpaceDN/>
        <w:bidi w:val="0"/>
        <w:adjustRightInd/>
        <w:spacing w:line="500" w:lineRule="exact"/>
        <w:ind w:left="68"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注意底板湿滑，避免滑倒受伤。</w:t>
      </w:r>
    </w:p>
    <w:p w14:paraId="77970FB5">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（二）专用部分</w:t>
      </w:r>
    </w:p>
    <w:p w14:paraId="0752A5B9">
      <w:pPr>
        <w:keepNext w:val="0"/>
        <w:keepLines w:val="0"/>
        <w:pageBreakBefore w:val="0"/>
        <w:widowControl w:val="0"/>
        <w:numPr>
          <w:ilvl w:val="0"/>
          <w:numId w:val="0"/>
        </w:numPr>
        <w:tabs>
          <w:tab w:val="center" w:pos="4153"/>
          <w:tab w:val="left" w:pos="6098"/>
        </w:tabs>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1.开机前检查</w:t>
      </w:r>
    </w:p>
    <w:p w14:paraId="13838520">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（1）风险描述：</w:t>
      </w:r>
      <w:r>
        <w:rPr>
          <w:rFonts w:hint="eastAsia" w:ascii="仿宋" w:hAnsi="仿宋" w:eastAsia="仿宋" w:cs="仿宋"/>
          <w:color w:val="auto"/>
          <w:sz w:val="28"/>
          <w:szCs w:val="28"/>
          <w:highlight w:val="none"/>
          <w:lang w:val="en-US" w:eastAsia="zh-CN"/>
        </w:rPr>
        <w:t>施工地点顶帮破碎，敲帮问顶不完全，未使用临时支护措施，导致冒顶、片帮伤人。</w:t>
      </w:r>
    </w:p>
    <w:p w14:paraId="4F151B9A">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760F8BD6">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①</w:t>
      </w:r>
      <w:r>
        <w:rPr>
          <w:rFonts w:hint="eastAsia" w:ascii="仿宋" w:hAnsi="仿宋" w:eastAsia="仿宋" w:cs="仿宋"/>
          <w:color w:val="auto"/>
          <w:sz w:val="28"/>
          <w:szCs w:val="28"/>
        </w:rPr>
        <w:t>进入施工地点后，首先使用</w:t>
      </w:r>
      <w:r>
        <w:rPr>
          <w:rFonts w:hint="eastAsia" w:ascii="仿宋" w:hAnsi="仿宋" w:eastAsia="仿宋" w:cs="仿宋"/>
          <w:color w:val="auto"/>
          <w:sz w:val="28"/>
          <w:szCs w:val="28"/>
          <w:lang w:eastAsia="zh-CN"/>
        </w:rPr>
        <w:t>敲帮问顶专用</w:t>
      </w:r>
      <w:r>
        <w:rPr>
          <w:rFonts w:hint="eastAsia" w:ascii="仿宋" w:hAnsi="仿宋" w:eastAsia="仿宋" w:cs="仿宋"/>
          <w:color w:val="auto"/>
          <w:sz w:val="28"/>
          <w:szCs w:val="28"/>
        </w:rPr>
        <w:t>工具对施工地点顶板及帮部进行敲帮问顶，找掉危岩活矸。敲帮问顶应从完好支护的地点开始，由外向里、自上而下、先顶部后两帮依次进行，敲帮问顶范围内严禁其他人员进入。</w:t>
      </w:r>
    </w:p>
    <w:p w14:paraId="158BF487">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②严格按照规程、措施要求，使用好临时支护措施。</w:t>
      </w:r>
    </w:p>
    <w:p w14:paraId="7B69C890">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lang w:val="en-US" w:eastAsia="zh-CN"/>
        </w:rPr>
        <w:t>③</w:t>
      </w:r>
      <w:r>
        <w:rPr>
          <w:rFonts w:hint="eastAsia" w:ascii="仿宋" w:hAnsi="仿宋" w:eastAsia="仿宋" w:cs="仿宋"/>
          <w:color w:val="auto"/>
          <w:sz w:val="28"/>
          <w:szCs w:val="28"/>
        </w:rPr>
        <w:t>施工过程中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随时</w:t>
      </w:r>
      <w:r>
        <w:rPr>
          <w:rFonts w:hint="eastAsia" w:ascii="仿宋" w:hAnsi="仿宋" w:eastAsia="仿宋" w:cs="仿宋"/>
          <w:color w:val="auto"/>
          <w:sz w:val="28"/>
          <w:szCs w:val="28"/>
        </w:rPr>
        <w:t>观察</w:t>
      </w:r>
      <w:r>
        <w:rPr>
          <w:rFonts w:hint="eastAsia" w:ascii="仿宋" w:hAnsi="仿宋" w:eastAsia="仿宋" w:cs="仿宋"/>
          <w:color w:val="auto"/>
          <w:sz w:val="28"/>
          <w:szCs w:val="28"/>
          <w:lang w:val="en-US" w:eastAsia="zh-CN"/>
        </w:rPr>
        <w:t>顶帮</w:t>
      </w:r>
      <w:r>
        <w:rPr>
          <w:rFonts w:hint="eastAsia" w:ascii="仿宋" w:hAnsi="仿宋" w:eastAsia="仿宋" w:cs="仿宋"/>
          <w:color w:val="auto"/>
          <w:sz w:val="28"/>
          <w:szCs w:val="28"/>
        </w:rPr>
        <w:t>，发现异常立即停止操作，进行处理</w:t>
      </w:r>
      <w:r>
        <w:rPr>
          <w:rFonts w:hint="eastAsia" w:ascii="仿宋" w:hAnsi="仿宋" w:eastAsia="仿宋" w:cs="仿宋"/>
          <w:color w:val="auto"/>
          <w:sz w:val="28"/>
          <w:szCs w:val="28"/>
          <w:lang w:eastAsia="zh-CN"/>
        </w:rPr>
        <w:t>。</w:t>
      </w:r>
    </w:p>
    <w:p w14:paraId="681168CA">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（2）风险描述：风、水管路不完好，未按规定使用合格的“U”型卡，存在管路崩裂、管卡崩开伤人的风险。</w:t>
      </w:r>
    </w:p>
    <w:p w14:paraId="47620DF0">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326C0AB8">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①使用钻机等风动工具前，检查各管路“U”型和管路完好情况。</w:t>
      </w:r>
    </w:p>
    <w:p w14:paraId="79F3CBE8">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②及时检查备用管路完好情况，严禁使用老化的管路。</w:t>
      </w:r>
    </w:p>
    <w:p w14:paraId="51642927">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（3）风险描述：喷浆机处通风不良，甲烷积聚，存在甲烷爆炸的风险。</w:t>
      </w:r>
    </w:p>
    <w:p w14:paraId="12476257">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管控措施：开启喷浆机前，检查喷浆机上部甲烷浓度，浓度超限时，必须立即采取措施进行处理或撤人。</w:t>
      </w:r>
    </w:p>
    <w:p w14:paraId="5C24BC8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2.喷浆过程中：</w:t>
      </w:r>
    </w:p>
    <w:p w14:paraId="4B13A42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（1）风险描述：喷浆时，存在管路压力大崩裂、管卡崩开伤人的风险。</w:t>
      </w:r>
    </w:p>
    <w:p w14:paraId="3A9FFED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6A0D3904">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①喷浆前检查各管路及连接情况，确认完好后方可施工，严禁使用不合格的管路及“U”型卡，防止风管脱落、管卡崩开伤人。</w:t>
      </w:r>
    </w:p>
    <w:p w14:paraId="25EF9A3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②喷浆前检查管路完好情况，严禁使用老化的喷浆管。管路崩开时，人员立即躲避，并立即关闭供风阀门。</w:t>
      </w:r>
    </w:p>
    <w:p w14:paraId="2897C221">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（2）喷浆时，存在操作不规范导致人员受伤的风险。</w:t>
      </w:r>
    </w:p>
    <w:p w14:paraId="4321E78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3698D71B">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①喷射工作开始后，严禁将喷射枪头朝向人员。</w:t>
      </w:r>
    </w:p>
    <w:p w14:paraId="2C9E2A3D">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②喷射中突然发生堵塞故障时，喷射手应紧握喷头并将喷口朝下，不得朝向人员，联系人员立即停机；查明原因后，缓慢送风将喷浆管吹净。</w:t>
      </w:r>
    </w:p>
    <w:p w14:paraId="09C4FD49">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③严禁碰触喷浆机转动部位。</w:t>
      </w:r>
    </w:p>
    <w:p w14:paraId="579AF835">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3.喷浆结束后</w:t>
      </w:r>
    </w:p>
    <w:p w14:paraId="086302AB">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风险描述：喷浆完成后，未对喷浆机进行停电闭锁，喷浆机误启动，导致人员受伤。</w:t>
      </w:r>
    </w:p>
    <w:p w14:paraId="2955D52D">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管控措施：喷浆完成后，对喷浆机进行停电闭锁，并悬挂“有人工作、不准送电”停电牌，防止人员误启动。</w:t>
      </w:r>
    </w:p>
    <w:p w14:paraId="0895062B">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、开机前检查</w:t>
      </w:r>
    </w:p>
    <w:p w14:paraId="768AF3B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喷浆机处顶帮支护：</w:t>
      </w:r>
    </w:p>
    <w:p w14:paraId="219B4A4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喷浆机附近顶帮支护完好，无冒顶、漏矸、片帮。</w:t>
      </w:r>
    </w:p>
    <w:p w14:paraId="4C6F141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喷雾、除尘</w:t>
      </w:r>
      <w:r>
        <w:rPr>
          <w:rFonts w:hint="eastAsia" w:ascii="仿宋" w:hAnsi="仿宋" w:eastAsia="仿宋" w:cs="仿宋"/>
          <w:color w:val="auto"/>
          <w:sz w:val="28"/>
          <w:szCs w:val="28"/>
          <w:highlight w:val="none"/>
          <w:lang w:val="en-US" w:eastAsia="zh-CN"/>
        </w:rPr>
        <w:t>器</w:t>
      </w:r>
      <w:r>
        <w:rPr>
          <w:rFonts w:hint="eastAsia" w:ascii="仿宋" w:hAnsi="仿宋" w:eastAsia="仿宋" w:cs="仿宋"/>
          <w:color w:val="auto"/>
          <w:sz w:val="28"/>
          <w:szCs w:val="28"/>
          <w:highlight w:val="none"/>
        </w:rPr>
        <w:t>：</w:t>
      </w:r>
    </w:p>
    <w:p w14:paraId="6778A7FA">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喷雾位置正确、喷嘴齐全、雾化良好，除尘风机完好。</w:t>
      </w:r>
    </w:p>
    <w:p w14:paraId="450B6423">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设备、管线防护：</w:t>
      </w:r>
    </w:p>
    <w:p w14:paraId="3606366C">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喷浆前必须对支护地点的便携仪、甲烷传感器、电缆、风水管线、风筒及机电设备等进行遮盖保护，防止浆料污染设备器材。</w:t>
      </w:r>
    </w:p>
    <w:p w14:paraId="3BCC8ECB">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喷浆区顶帮支护：</w:t>
      </w:r>
    </w:p>
    <w:p w14:paraId="7AE3E3C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喷浆区域内顶帮支护完好，无冒顶、漏矸、片帮。</w:t>
      </w:r>
    </w:p>
    <w:p w14:paraId="74214F7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通风、</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w:t>
      </w:r>
    </w:p>
    <w:p w14:paraId="708990FC">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风筒口距离工作面不超过1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；掘进工作面附近20m范围内</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浓度小于1%时方可开机，若</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浓度超过1.5%时，禁止作业，并撤出人员，进行处理。</w:t>
      </w:r>
    </w:p>
    <w:p w14:paraId="604D226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口罩、乳胶手套、眼镜：</w:t>
      </w:r>
    </w:p>
    <w:p w14:paraId="10F89AC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喷射人员要佩戴防尘口罩、乳胶手套、眼镜。</w:t>
      </w:r>
    </w:p>
    <w:p w14:paraId="505A415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站位：</w:t>
      </w:r>
    </w:p>
    <w:p w14:paraId="6C1EF513">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不准站在喷头前方及喷射范围内，一人持喷头喷射，一人辅助照明并负责联络。观察人站在操作人员的侧后方保持一定距离观察顶帮安全。</w:t>
      </w:r>
    </w:p>
    <w:p w14:paraId="27A25E4B">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喷枪前方无人员：</w:t>
      </w:r>
    </w:p>
    <w:p w14:paraId="0A9B18C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喷枪前方无任何人员。</w:t>
      </w:r>
    </w:p>
    <w:p w14:paraId="2D5AA333">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、喷浆支护工正规操作</w:t>
      </w:r>
    </w:p>
    <w:p w14:paraId="61EF09F2">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（一）喷浆支护工操作顺序：</w:t>
      </w:r>
    </w:p>
    <w:p w14:paraId="0369A47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监护人到位→调整水量、风量→ 冲洗岩面→开机、上料喷浆→正常喷射→停机</w:t>
      </w:r>
      <w:r>
        <w:rPr>
          <w:rFonts w:hint="eastAsia" w:ascii="仿宋" w:hAnsi="仿宋" w:eastAsia="仿宋" w:cs="仿宋"/>
          <w:color w:val="auto"/>
          <w:sz w:val="28"/>
          <w:szCs w:val="28"/>
          <w:highlight w:val="none"/>
          <w:lang w:eastAsia="zh-CN"/>
        </w:rPr>
        <w:t>。</w:t>
      </w:r>
    </w:p>
    <w:p w14:paraId="333055A0">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（二）喷浆支护工正规操作：</w:t>
      </w:r>
    </w:p>
    <w:p w14:paraId="4C13673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监护人到位：</w:t>
      </w:r>
    </w:p>
    <w:p w14:paraId="27E5AAD1">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喷浆时必须监护，一人持喷头喷射，一人辅助照明并负责联络，观察顶帮安全和喷射质量。无监护人严禁进行喷浆作业。</w:t>
      </w:r>
    </w:p>
    <w:p w14:paraId="0471F67E">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调整水量、风量：</w:t>
      </w:r>
    </w:p>
    <w:p w14:paraId="6730A311">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开风，调整水量、风量，保持风压符合要求。</w:t>
      </w:r>
    </w:p>
    <w:p w14:paraId="2F96832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冲洗岩面：</w:t>
      </w:r>
    </w:p>
    <w:p w14:paraId="170A8563">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喷射手操作喷头，自上而下冲洗岩面。</w:t>
      </w:r>
    </w:p>
    <w:p w14:paraId="0F41369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开机、上料喷浆：</w:t>
      </w:r>
    </w:p>
    <w:p w14:paraId="09BB700C">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联系上料人员送电，开喷浆机，上料喷浆。</w:t>
      </w:r>
    </w:p>
    <w:p w14:paraId="3F6EE0C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正常喷射：</w:t>
      </w:r>
    </w:p>
    <w:p w14:paraId="6439F3EA">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正常喷浆过程中应根据上料情况随时调整风、水量，保证喷面无干斑，无流淌。喷射应分段按自下而上先墙后拱的顺序进行喷射，喷射时喷头尽可能垂直受喷面，夹角不得小于70°，喷头距受喷面保持0.6～</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。喷射时，喷头运行轨迹应呈螺旋形，按直径200～300</w:t>
      </w:r>
      <w:r>
        <w:rPr>
          <w:rFonts w:hint="eastAsia" w:ascii="仿宋" w:hAnsi="仿宋" w:eastAsia="仿宋" w:cs="仿宋"/>
          <w:color w:val="auto"/>
          <w:sz w:val="28"/>
          <w:szCs w:val="28"/>
          <w:highlight w:val="none"/>
          <w:lang w:eastAsia="zh-CN"/>
        </w:rPr>
        <w:t>mm</w:t>
      </w:r>
      <w:r>
        <w:rPr>
          <w:rFonts w:hint="eastAsia" w:ascii="仿宋" w:hAnsi="仿宋" w:eastAsia="仿宋" w:cs="仿宋"/>
          <w:color w:val="auto"/>
          <w:sz w:val="28"/>
          <w:szCs w:val="28"/>
          <w:highlight w:val="none"/>
        </w:rPr>
        <w:t>，一圆压半圆的方法均匀缓慢移动。</w:t>
      </w:r>
    </w:p>
    <w:p w14:paraId="421A0D9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停机：</w:t>
      </w:r>
    </w:p>
    <w:p w14:paraId="49F81101">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喷浆结束时，按先停料、后停水、再停电、最后关风的顺序操作。</w:t>
      </w:r>
    </w:p>
    <w:p w14:paraId="1A9F6CD4">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、喷浆支护工操作过程中安全注意事项</w:t>
      </w:r>
    </w:p>
    <w:p w14:paraId="1DA02E60">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看出料：</w:t>
      </w:r>
      <w:r>
        <w:rPr>
          <w:rFonts w:hint="eastAsia" w:ascii="仿宋" w:hAnsi="仿宋" w:eastAsia="仿宋" w:cs="仿宋"/>
          <w:color w:val="auto"/>
          <w:sz w:val="28"/>
          <w:szCs w:val="28"/>
          <w:highlight w:val="none"/>
        </w:rPr>
        <w:t>观察喷射角度、距离、出料情况；处理堵管时，严禁管口对人</w:t>
      </w:r>
      <w:r>
        <w:rPr>
          <w:rFonts w:hint="eastAsia" w:ascii="仿宋" w:hAnsi="仿宋" w:eastAsia="仿宋" w:cs="仿宋"/>
          <w:color w:val="auto"/>
          <w:sz w:val="28"/>
          <w:szCs w:val="28"/>
          <w:highlight w:val="none"/>
          <w:lang w:eastAsia="zh-CN"/>
        </w:rPr>
        <w:t>。</w:t>
      </w:r>
    </w:p>
    <w:p w14:paraId="7962C05D">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听异响：</w:t>
      </w:r>
      <w:r>
        <w:rPr>
          <w:rFonts w:hint="eastAsia" w:ascii="仿宋" w:hAnsi="仿宋" w:eastAsia="仿宋" w:cs="仿宋"/>
          <w:color w:val="auto"/>
          <w:sz w:val="28"/>
          <w:szCs w:val="28"/>
          <w:highlight w:val="none"/>
        </w:rPr>
        <w:t>听喷浆机异常声音</w:t>
      </w:r>
      <w:r>
        <w:rPr>
          <w:rFonts w:hint="eastAsia" w:ascii="仿宋" w:hAnsi="仿宋" w:eastAsia="仿宋" w:cs="仿宋"/>
          <w:color w:val="auto"/>
          <w:sz w:val="28"/>
          <w:szCs w:val="28"/>
          <w:highlight w:val="none"/>
          <w:lang w:eastAsia="zh-CN"/>
        </w:rPr>
        <w:t>。</w:t>
      </w:r>
    </w:p>
    <w:p w14:paraId="6E2835BC">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站好位：</w:t>
      </w:r>
      <w:r>
        <w:rPr>
          <w:rFonts w:hint="eastAsia" w:ascii="仿宋" w:hAnsi="仿宋" w:eastAsia="仿宋" w:cs="仿宋"/>
          <w:color w:val="auto"/>
          <w:sz w:val="28"/>
          <w:szCs w:val="28"/>
          <w:highlight w:val="none"/>
        </w:rPr>
        <w:t>必须站在支护完好位置，负责喷浆照明人员必须站在喷浆人员侧后面</w:t>
      </w:r>
      <w:r>
        <w:rPr>
          <w:rFonts w:hint="eastAsia" w:ascii="仿宋" w:hAnsi="仿宋" w:eastAsia="仿宋" w:cs="仿宋"/>
          <w:color w:val="auto"/>
          <w:sz w:val="28"/>
          <w:szCs w:val="28"/>
          <w:highlight w:val="none"/>
          <w:lang w:eastAsia="zh-CN"/>
        </w:rPr>
        <w:t>。</w:t>
      </w:r>
    </w:p>
    <w:p w14:paraId="5EB5E1BA">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rPr>
        <w:t>、全部注意事项</w:t>
      </w:r>
    </w:p>
    <w:p w14:paraId="112CF1F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1.</w:t>
      </w:r>
      <w:r>
        <w:rPr>
          <w:rFonts w:hint="eastAsia" w:ascii="仿宋" w:hAnsi="仿宋" w:eastAsia="仿宋" w:cs="仿宋"/>
          <w:b w:val="0"/>
          <w:bCs/>
          <w:color w:val="auto"/>
          <w:sz w:val="28"/>
          <w:szCs w:val="28"/>
          <w:highlight w:val="none"/>
        </w:rPr>
        <w:t>不得使用凝结、失效的水泥及速凝剂，以及含泥量超过规定的砂子和石子。</w:t>
      </w:r>
    </w:p>
    <w:p w14:paraId="397C169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2.</w:t>
      </w:r>
      <w:r>
        <w:rPr>
          <w:rFonts w:hint="eastAsia" w:ascii="仿宋" w:hAnsi="仿宋" w:eastAsia="仿宋" w:cs="仿宋"/>
          <w:b w:val="0"/>
          <w:bCs/>
          <w:color w:val="auto"/>
          <w:sz w:val="28"/>
          <w:szCs w:val="28"/>
          <w:highlight w:val="none"/>
        </w:rPr>
        <w:t>喷浆机运转时，严禁手或工具放入喷浆机内。</w:t>
      </w:r>
    </w:p>
    <w:p w14:paraId="69B7A62E">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rPr>
        <w:t>喷射过程中，如发生堵塞、停风或停电等故障时，应立即关闭水门，将喷头向下放置，以防水流入输料管内；处理堵管时，采用敲击法疏通料管；喷枪口前方及其附近严禁有人。</w:t>
      </w:r>
    </w:p>
    <w:p w14:paraId="5710384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4.</w:t>
      </w:r>
      <w:r>
        <w:rPr>
          <w:rFonts w:hint="eastAsia" w:ascii="仿宋" w:hAnsi="仿宋" w:eastAsia="仿宋" w:cs="仿宋"/>
          <w:b w:val="0"/>
          <w:bCs/>
          <w:color w:val="auto"/>
          <w:sz w:val="28"/>
          <w:szCs w:val="28"/>
          <w:highlight w:val="none"/>
        </w:rPr>
        <w:t>有下列情况之一的必须立即停止作业，进行处理：</w:t>
      </w:r>
    </w:p>
    <w:p w14:paraId="49BE83A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(1)喷射过程中，发生输料管路堵塞、停风或停电等故障时。</w:t>
      </w:r>
    </w:p>
    <w:p w14:paraId="048B4E8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(2)喷浆机、开关附近20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以内风流中</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浓度达到1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5%时。</w:t>
      </w:r>
    </w:p>
    <w:p w14:paraId="52C74800">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(3)除尘风机、全断面喷雾不能正常使用。</w:t>
      </w:r>
    </w:p>
    <w:p w14:paraId="5BFBB52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(4)有冒顶、片帮或透水预兆时。</w:t>
      </w:r>
    </w:p>
    <w:p w14:paraId="563C52A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(5)发现喷浆机内部异常震动、声响和异味，或零部件损坏时。</w:t>
      </w:r>
    </w:p>
    <w:p w14:paraId="7BF8F5CA">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(6)发现喷浆料有板结、凝固现象。</w:t>
      </w:r>
    </w:p>
    <w:p w14:paraId="53722F6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(7)施工地点无风或风量不足。</w:t>
      </w:r>
    </w:p>
    <w:p w14:paraId="4D86425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(8)矸石块、坚硬物料落入喷浆机内。</w:t>
      </w:r>
    </w:p>
    <w:p w14:paraId="4A6DF09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喷浆时严格执行除尘及降尘措施，喷射人员要佩戴防尘口罩、手套、眼镜等。</w:t>
      </w:r>
    </w:p>
    <w:p w14:paraId="35E68470">
      <w:pPr>
        <w:keepNext w:val="0"/>
        <w:keepLines w:val="0"/>
        <w:pageBreakBefore w:val="0"/>
        <w:widowControl w:val="0"/>
        <w:kinsoku/>
        <w:wordWrap/>
        <w:overflowPunct/>
        <w:topLinePunct w:val="0"/>
        <w:autoSpaceDE/>
        <w:autoSpaceDN/>
        <w:bidi w:val="0"/>
        <w:adjustRightInd/>
        <w:snapToGrid w:val="0"/>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喷射混凝土前，必须对锚杆、金属网质量进行检查，确保达到规程要求。</w:t>
      </w:r>
    </w:p>
    <w:p w14:paraId="33C12FAA">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喷浆时必须先给水，后开风，再开机，最后上料；停喷时，要先停料，后停机，再关水，最后停风。</w:t>
      </w:r>
    </w:p>
    <w:p w14:paraId="3D89C0AB">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喷射</w:t>
      </w:r>
    </w:p>
    <w:p w14:paraId="3591015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(1)开风，调整水量、风量，保持风压不得低0.4兆帕。</w:t>
      </w:r>
    </w:p>
    <w:p w14:paraId="3DCBF4E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(2)喷射手操作喷头，自上而下冲洗岩面。</w:t>
      </w:r>
    </w:p>
    <w:p w14:paraId="0D560DFA">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(3)送电，开喷浆机，上料喷浆。</w:t>
      </w:r>
    </w:p>
    <w:p w14:paraId="062AFFA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(4)根据上料情况再次调整风、水量，保证喷面无干斑，无流淌。</w:t>
      </w:r>
    </w:p>
    <w:p w14:paraId="6AFE65AB">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(5)喷射手分段按自下而上先墙后拱的顺序进行喷射。</w:t>
      </w:r>
    </w:p>
    <w:p w14:paraId="1DE3B61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(6)喷射时喷头尽可能垂直受喷面，夹角不得小于70°。</w:t>
      </w:r>
    </w:p>
    <w:p w14:paraId="62C0ADE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(7)喷头距受喷面保持0.6～1</w:t>
      </w:r>
      <w:r>
        <w:rPr>
          <w:rFonts w:hint="eastAsia" w:ascii="仿宋" w:hAnsi="仿宋" w:eastAsia="仿宋" w:cs="仿宋"/>
          <w:color w:val="auto"/>
          <w:sz w:val="28"/>
          <w:szCs w:val="28"/>
          <w:highlight w:val="none"/>
          <w:lang w:eastAsia="zh-CN"/>
        </w:rPr>
        <w:t>m。</w:t>
      </w:r>
    </w:p>
    <w:p w14:paraId="2444461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(8)喷射时，喷头运行轨迹应呈螺旋形，按直径200～300</w:t>
      </w:r>
      <w:r>
        <w:rPr>
          <w:rFonts w:hint="eastAsia" w:ascii="仿宋" w:hAnsi="仿宋" w:eastAsia="仿宋" w:cs="仿宋"/>
          <w:color w:val="auto"/>
          <w:sz w:val="28"/>
          <w:szCs w:val="28"/>
          <w:highlight w:val="none"/>
          <w:lang w:eastAsia="zh-CN"/>
        </w:rPr>
        <w:t>mm</w:t>
      </w:r>
      <w:r>
        <w:rPr>
          <w:rFonts w:hint="eastAsia" w:ascii="仿宋" w:hAnsi="仿宋" w:eastAsia="仿宋" w:cs="仿宋"/>
          <w:color w:val="auto"/>
          <w:sz w:val="28"/>
          <w:szCs w:val="28"/>
          <w:highlight w:val="none"/>
        </w:rPr>
        <w:t>，一圆压半圆的方法均匀缓慢移动。</w:t>
      </w:r>
    </w:p>
    <w:p w14:paraId="0F3A107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(9)应配两人，一人持喷头喷射，一人辅助照明并负责联络，观察顶帮安全和喷射质量。</w:t>
      </w:r>
    </w:p>
    <w:p w14:paraId="439F076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复喷前必须认真冲刷受喷面。</w:t>
      </w:r>
    </w:p>
    <w:p w14:paraId="173C9CF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一次喷射混凝土厚度达不到设计要求时，应分次喷射，但复喷间隔时间不得超过2小时，否则应用高压水冲洗受喷面。</w:t>
      </w:r>
    </w:p>
    <w:p w14:paraId="6FDA54C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遇有超挖或裂缝低凹处，应先喷补平整，然后再正常喷射。</w:t>
      </w:r>
    </w:p>
    <w:p w14:paraId="2878DF2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喷射结束后必须及时清理回收回弹料并检查喷砼质量和厚度。</w:t>
      </w:r>
    </w:p>
    <w:p w14:paraId="4E33A14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喷射工作结束后，喷层在7天以内，每班洒水一次，7天以后，每天洒水一次，持续养护28天。</w:t>
      </w:r>
    </w:p>
    <w:p w14:paraId="3B2E1050">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每班喷完浆后，将控制开关手把置于零位，并闭锁，拆开喷浆机清理内外卫生，搞好作业地点文明生产；按规定进行交接班，向接班人员交待清楚当班存在问题、注意事项，填写交接班记录。</w:t>
      </w:r>
    </w:p>
    <w:p w14:paraId="64A70FBD">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、停机后确认</w:t>
      </w:r>
    </w:p>
    <w:p w14:paraId="5A82EE2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1.停水、停机、停风：</w:t>
      </w:r>
    </w:p>
    <w:p w14:paraId="4F4A5F9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喷浆结束时，按先停料、后停水、再停电、最后关风的顺序操作。</w:t>
      </w:r>
    </w:p>
    <w:p w14:paraId="7F39D38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2.喷层质量：</w:t>
      </w:r>
    </w:p>
    <w:p w14:paraId="2F47C49B">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喷射混凝土支护应与围岩紧密粘贴，结合牢固，喷层厚度应符合设计要求，初喷厚度30～50</w:t>
      </w:r>
      <w:r>
        <w:rPr>
          <w:rFonts w:hint="eastAsia" w:ascii="仿宋" w:hAnsi="仿宋" w:eastAsia="仿宋" w:cs="仿宋"/>
          <w:color w:val="auto"/>
          <w:sz w:val="28"/>
          <w:szCs w:val="28"/>
          <w:highlight w:val="none"/>
          <w:lang w:val="en-US" w:eastAsia="zh-CN"/>
        </w:rPr>
        <w:t>mm</w:t>
      </w:r>
      <w:r>
        <w:rPr>
          <w:rFonts w:hint="eastAsia" w:ascii="仿宋" w:hAnsi="仿宋" w:eastAsia="仿宋" w:cs="仿宋"/>
          <w:color w:val="auto"/>
          <w:sz w:val="28"/>
          <w:szCs w:val="28"/>
          <w:highlight w:val="none"/>
        </w:rPr>
        <w:t>，喷层厚度不小于设计90%，喷层表面平整度1</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范围内凸凹≤50</w:t>
      </w:r>
      <w:r>
        <w:rPr>
          <w:rFonts w:hint="eastAsia" w:ascii="仿宋" w:hAnsi="仿宋" w:eastAsia="仿宋" w:cs="仿宋"/>
          <w:color w:val="auto"/>
          <w:sz w:val="28"/>
          <w:szCs w:val="28"/>
          <w:highlight w:val="none"/>
          <w:lang w:val="en-US" w:eastAsia="zh-CN"/>
        </w:rPr>
        <w:t>mm</w:t>
      </w:r>
      <w:r>
        <w:rPr>
          <w:rFonts w:hint="eastAsia" w:ascii="仿宋" w:hAnsi="仿宋" w:eastAsia="仿宋" w:cs="仿宋"/>
          <w:color w:val="auto"/>
          <w:sz w:val="28"/>
          <w:szCs w:val="28"/>
          <w:highlight w:val="none"/>
        </w:rPr>
        <w:t>，无穿裙、无孔空。喷层内不允许添加片石和木板等杂物，必要时应进行粘结力测试。</w:t>
      </w:r>
    </w:p>
    <w:p w14:paraId="1CA7945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3.风水管、输料管存放：</w:t>
      </w:r>
    </w:p>
    <w:p w14:paraId="4DB0D12B">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将风水管、输料管盘放好，摆放整齐。</w:t>
      </w:r>
    </w:p>
    <w:p w14:paraId="20848B13">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4.喷头、喷浆机内外处理：</w:t>
      </w:r>
    </w:p>
    <w:p w14:paraId="5A18BF4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卸开喷头，清理喷浆机内外灰浆。</w:t>
      </w:r>
    </w:p>
    <w:p w14:paraId="0D351DA6">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、单元检查表：</w:t>
      </w:r>
    </w:p>
    <w:p w14:paraId="0BE22EE8">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（一）喷浆机单元检查表：</w:t>
      </w:r>
    </w:p>
    <w:p w14:paraId="2ABE9F2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电机：</w:t>
      </w:r>
    </w:p>
    <w:p w14:paraId="143425E5">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电机无於埋，扇叶、护罩完好，固定牢固。</w:t>
      </w:r>
    </w:p>
    <w:p w14:paraId="0A34ED97">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筛网、搅拌装置：</w:t>
      </w:r>
    </w:p>
    <w:p w14:paraId="256930C7">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震动筛网孔均匀，搅拌装置完好可靠。</w:t>
      </w:r>
    </w:p>
    <w:p w14:paraId="4929A30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摩擦板、料腔：</w:t>
      </w:r>
    </w:p>
    <w:p w14:paraId="0BED3C53">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摩擦板紧固无漏风，料腔密封完好无堵塞。</w:t>
      </w:r>
    </w:p>
    <w:p w14:paraId="5D7A699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机体位置、固定：</w:t>
      </w:r>
    </w:p>
    <w:p w14:paraId="2326F92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检查喷浆机固定位置是否平稳牢固，可使用木楔四轮掩住，宜安设在平巷内。</w:t>
      </w:r>
    </w:p>
    <w:p w14:paraId="239360C0">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输料管、风水管、喷枪：</w:t>
      </w:r>
    </w:p>
    <w:p w14:paraId="4D242C41">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输料管路平直，无急弯，接头严紧，不漏风。严禁使用非抗静电的塑料管做输料管使用。喷枪完好，与输料管连接可靠。</w:t>
      </w:r>
    </w:p>
    <w:p w14:paraId="3E26B5A0">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（二）湿式喷浆机单元检查表：</w:t>
      </w:r>
    </w:p>
    <w:p w14:paraId="1AC6DF57">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电机：</w:t>
      </w:r>
    </w:p>
    <w:p w14:paraId="75C66C7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电机无於埋，扇叶、护罩完好，固定牢固。</w:t>
      </w:r>
    </w:p>
    <w:p w14:paraId="6BDD8A8F">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振动料斗、发射缸：</w:t>
      </w:r>
    </w:p>
    <w:p w14:paraId="7B2AAB6E">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振动料斗、发射缸体完好无变形。</w:t>
      </w:r>
    </w:p>
    <w:p w14:paraId="23BE6BEA">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护板、链轮、链条、紧链器：</w:t>
      </w:r>
    </w:p>
    <w:p w14:paraId="6507E0E3">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护板完好；链轮无缺失、破损；链条松紧适度，紧链器灵敏可靠。</w:t>
      </w:r>
    </w:p>
    <w:p w14:paraId="17162F1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主风截止阀、压力表：</w:t>
      </w:r>
    </w:p>
    <w:p w14:paraId="2EF967F0">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主风截止阀关闭，压力表显示为零</w:t>
      </w:r>
      <w:r>
        <w:rPr>
          <w:rFonts w:hint="eastAsia" w:ascii="仿宋" w:hAnsi="仿宋" w:eastAsia="仿宋" w:cs="仿宋"/>
          <w:color w:val="auto"/>
          <w:sz w:val="28"/>
          <w:szCs w:val="28"/>
          <w:highlight w:val="none"/>
          <w:lang w:eastAsia="zh-CN"/>
        </w:rPr>
        <w:t>。</w:t>
      </w:r>
    </w:p>
    <w:p w14:paraId="7B00FA1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机体位置、固定：</w:t>
      </w:r>
    </w:p>
    <w:p w14:paraId="65D6E65C">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检查喷浆机固定位置是否平稳牢固，可使用木楔四轮掩住，宜安设在平巷内。</w:t>
      </w:r>
    </w:p>
    <w:p w14:paraId="7768AE3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输料管、风水管、喷枪：</w:t>
      </w:r>
    </w:p>
    <w:p w14:paraId="099ACFF7">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输料管路平直，无急弯，接头严紧，不漏风。严禁使用非抗静电的塑料管做输料管使用。喷枪完好，与输料管连接可靠。</w:t>
      </w:r>
    </w:p>
    <w:p w14:paraId="56E2C370">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十</w:t>
      </w:r>
      <w:r>
        <w:rPr>
          <w:rFonts w:hint="eastAsia" w:ascii="仿宋" w:hAnsi="仿宋" w:eastAsia="仿宋" w:cs="仿宋"/>
          <w:b/>
          <w:color w:val="auto"/>
          <w:sz w:val="28"/>
          <w:szCs w:val="28"/>
          <w:highlight w:val="none"/>
        </w:rPr>
        <w:t>、事故案例教育</w:t>
      </w:r>
    </w:p>
    <w:p w14:paraId="607CAC67">
      <w:pPr>
        <w:keepNext w:val="0"/>
        <w:keepLines w:val="0"/>
        <w:pageBreakBefore w:val="0"/>
        <w:widowControl w:val="0"/>
        <w:kinsoku/>
        <w:wordWrap/>
        <w:overflowPunct/>
        <w:topLinePunct w:val="0"/>
        <w:autoSpaceDE/>
        <w:autoSpaceDN/>
        <w:bidi w:val="0"/>
        <w:adjustRightInd/>
        <w:spacing w:line="500" w:lineRule="exact"/>
        <w:ind w:firstLine="562" w:firstLineChars="200"/>
        <w:jc w:val="both"/>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综掘队2011年“1.29”喷浆料伤眼事故</w:t>
      </w:r>
    </w:p>
    <w:p w14:paraId="751147EC">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（人员违背规程措施操作）</w:t>
      </w:r>
    </w:p>
    <w:p w14:paraId="38110C38">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lang w:eastAsia="zh-CN"/>
        </w:rPr>
      </w:pPr>
      <w:r>
        <w:rPr>
          <w:rFonts w:hint="eastAsia" w:ascii="仿宋" w:hAnsi="仿宋" w:eastAsia="仿宋" w:cs="仿宋"/>
          <w:b w:val="0"/>
          <w:bCs w:val="0"/>
          <w:color w:val="auto"/>
          <w:sz w:val="28"/>
          <w:szCs w:val="28"/>
          <w:lang w:eastAsia="zh-CN"/>
        </w:rPr>
        <w:t>（一）</w:t>
      </w:r>
      <w:r>
        <w:rPr>
          <w:rFonts w:hint="eastAsia" w:ascii="仿宋" w:hAnsi="仿宋" w:eastAsia="仿宋" w:cs="仿宋"/>
          <w:b w:val="0"/>
          <w:bCs w:val="0"/>
          <w:color w:val="auto"/>
          <w:sz w:val="28"/>
          <w:szCs w:val="28"/>
        </w:rPr>
        <w:t>事故时间：2011年1月29日夜班凌晨五点左右</w:t>
      </w:r>
      <w:r>
        <w:rPr>
          <w:rFonts w:hint="eastAsia" w:ascii="仿宋" w:hAnsi="仿宋" w:eastAsia="仿宋" w:cs="仿宋"/>
          <w:b w:val="0"/>
          <w:bCs w:val="0"/>
          <w:color w:val="auto"/>
          <w:sz w:val="28"/>
          <w:szCs w:val="28"/>
          <w:lang w:eastAsia="zh-CN"/>
        </w:rPr>
        <w:t>。</w:t>
      </w:r>
    </w:p>
    <w:p w14:paraId="006A619F">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lang w:eastAsia="zh-CN"/>
        </w:rPr>
      </w:pPr>
      <w:r>
        <w:rPr>
          <w:rFonts w:hint="eastAsia" w:ascii="仿宋" w:hAnsi="仿宋" w:eastAsia="仿宋" w:cs="仿宋"/>
          <w:b w:val="0"/>
          <w:bCs w:val="0"/>
          <w:color w:val="auto"/>
          <w:sz w:val="28"/>
          <w:szCs w:val="28"/>
          <w:lang w:eastAsia="zh-CN"/>
        </w:rPr>
        <w:t>（二）</w:t>
      </w:r>
      <w:r>
        <w:rPr>
          <w:rFonts w:hint="eastAsia" w:ascii="仿宋" w:hAnsi="仿宋" w:eastAsia="仿宋" w:cs="仿宋"/>
          <w:b w:val="0"/>
          <w:bCs w:val="0"/>
          <w:color w:val="auto"/>
          <w:sz w:val="28"/>
          <w:szCs w:val="28"/>
        </w:rPr>
        <w:t>事故地点：4602上顺</w:t>
      </w:r>
      <w:r>
        <w:rPr>
          <w:rFonts w:hint="eastAsia" w:ascii="仿宋" w:hAnsi="仿宋" w:eastAsia="仿宋" w:cs="仿宋"/>
          <w:b w:val="0"/>
          <w:bCs w:val="0"/>
          <w:color w:val="auto"/>
          <w:sz w:val="28"/>
          <w:szCs w:val="28"/>
          <w:lang w:eastAsia="zh-CN"/>
        </w:rPr>
        <w:t>。</w:t>
      </w:r>
    </w:p>
    <w:p w14:paraId="3CD024C3">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lang w:eastAsia="zh-CN"/>
        </w:rPr>
      </w:pPr>
      <w:r>
        <w:rPr>
          <w:rFonts w:hint="eastAsia" w:ascii="仿宋" w:hAnsi="仿宋" w:eastAsia="仿宋" w:cs="仿宋"/>
          <w:b w:val="0"/>
          <w:bCs w:val="0"/>
          <w:color w:val="auto"/>
          <w:sz w:val="28"/>
          <w:szCs w:val="28"/>
          <w:lang w:eastAsia="zh-CN"/>
        </w:rPr>
        <w:t>（三）</w:t>
      </w:r>
      <w:r>
        <w:rPr>
          <w:rFonts w:hint="eastAsia" w:ascii="仿宋" w:hAnsi="仿宋" w:eastAsia="仿宋" w:cs="仿宋"/>
          <w:b w:val="0"/>
          <w:bCs w:val="0"/>
          <w:color w:val="auto"/>
          <w:sz w:val="28"/>
          <w:szCs w:val="28"/>
        </w:rPr>
        <w:t>事故单位：综掘队</w:t>
      </w:r>
      <w:r>
        <w:rPr>
          <w:rFonts w:hint="eastAsia" w:ascii="仿宋" w:hAnsi="仿宋" w:eastAsia="仿宋" w:cs="仿宋"/>
          <w:b w:val="0"/>
          <w:bCs w:val="0"/>
          <w:color w:val="auto"/>
          <w:sz w:val="28"/>
          <w:szCs w:val="28"/>
          <w:lang w:eastAsia="zh-CN"/>
        </w:rPr>
        <w:t>。</w:t>
      </w:r>
    </w:p>
    <w:p w14:paraId="3247AC0B">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lang w:eastAsia="zh-CN"/>
        </w:rPr>
        <w:t>（四）</w:t>
      </w:r>
      <w:r>
        <w:rPr>
          <w:rFonts w:hint="eastAsia" w:ascii="仿宋" w:hAnsi="仿宋" w:eastAsia="仿宋" w:cs="仿宋"/>
          <w:b w:val="0"/>
          <w:bCs w:val="0"/>
          <w:color w:val="auto"/>
          <w:sz w:val="28"/>
          <w:szCs w:val="28"/>
        </w:rPr>
        <w:t>事故经过：</w:t>
      </w:r>
    </w:p>
    <w:p w14:paraId="63A5D3B1">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2011年1月29日夜班凌晨五点左右，综掘队生产一班在4602上顺进行喷浆作业时，由于出料管堵塞，造成喷浆机窜料，将正在拌料的新工人闫鲁平右眼蹦伤。</w:t>
      </w:r>
    </w:p>
    <w:p w14:paraId="791E75A9">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lang w:eastAsia="zh-CN"/>
        </w:rPr>
        <w:t>（五）</w:t>
      </w:r>
      <w:r>
        <w:rPr>
          <w:rFonts w:hint="eastAsia" w:ascii="仿宋" w:hAnsi="仿宋" w:eastAsia="仿宋" w:cs="仿宋"/>
          <w:b w:val="0"/>
          <w:bCs w:val="0"/>
          <w:color w:val="auto"/>
          <w:sz w:val="28"/>
          <w:szCs w:val="28"/>
        </w:rPr>
        <w:t>事故原因：</w:t>
      </w:r>
    </w:p>
    <w:p w14:paraId="74C7C7E4">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伤者闫鲁平安全意识淡薄，自主保安意识差，对所在岗位可能存在安全隐患认知不足，对现场环境存在的安全隐患认识不足，对危险不认知，存在松懈、麻痹思想，自主保安不到位，是事故发生的主要原因，对事故负有直接责任。</w:t>
      </w:r>
    </w:p>
    <w:p w14:paraId="16FA82F8">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主师傅孙运华、副师傅刘先民对新工人的安全管理不到位，师徒合同落实不到位，没有严格执行好以师带徒制度，对新工人安全注意事项强调不细，现场对新工人的安全监管不力，是这起事故的重要原因。</w:t>
      </w:r>
    </w:p>
    <w:p w14:paraId="1820BA17">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班组现场安全隐患排查不到位，对喷浆机存在的安全隐患排查不到位，以致于出料管堵塞造成喷浆机串料，是这起事故的重要原因。</w:t>
      </w:r>
    </w:p>
    <w:p w14:paraId="460343F3">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长孙运华现场安全管理不到位，对新工人安全管理不到位。没有充分考虑到新工人对煤矿工作不熟悉的特点，安排新工人工作时没有充分强调好安全注意事项，没有严格履行好现场安全第一责任者的责任，是造成事故发生的一个重要原因，对事故负有重要责任。</w:t>
      </w:r>
    </w:p>
    <w:p w14:paraId="516E37B2">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头长王世长、材料员叶战军安全教育不到位，班前会时间对现场的安全注意事项安排不细，对新工人作业安全强调不到位，且现场安全管理不到位，是这起事故发生的另一原因。</w:t>
      </w:r>
    </w:p>
    <w:p w14:paraId="17D0192E">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跟班闫凡华安全管理不到位，现场管理不严不细，没有及时排查处理现场存在的安全隐患，加强新工人管理，是这起事故的另一原因。</w:t>
      </w:r>
    </w:p>
    <w:p w14:paraId="3D6EE195">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综掘队队长王军、书记郝保仁对员工的安全管理、安全教育不到位，是造成事故发生的管理原因。</w:t>
      </w:r>
    </w:p>
    <w:p w14:paraId="3202A567">
      <w:pPr>
        <w:keepNext w:val="0"/>
        <w:keepLines w:val="0"/>
        <w:pageBreakBefore w:val="0"/>
        <w:widowControl w:val="0"/>
        <w:kinsoku/>
        <w:wordWrap/>
        <w:overflowPunct/>
        <w:topLinePunct w:val="0"/>
        <w:autoSpaceDE/>
        <w:autoSpaceDN/>
        <w:bidi w:val="0"/>
        <w:adjustRightInd/>
        <w:spacing w:line="500" w:lineRule="exact"/>
        <w:ind w:firstLine="560" w:firstLineChars="200"/>
        <w:jc w:val="both"/>
        <w:textAlignment w:val="baseline"/>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lang w:eastAsia="zh-CN"/>
        </w:rPr>
        <w:t>（六）</w:t>
      </w:r>
      <w:r>
        <w:rPr>
          <w:rFonts w:hint="eastAsia" w:ascii="仿宋" w:hAnsi="仿宋" w:eastAsia="仿宋" w:cs="仿宋"/>
          <w:b w:val="0"/>
          <w:bCs w:val="0"/>
          <w:color w:val="auto"/>
          <w:sz w:val="28"/>
          <w:szCs w:val="28"/>
        </w:rPr>
        <w:t>处理意见（略）</w:t>
      </w:r>
    </w:p>
    <w:p w14:paraId="12D93A7A">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lang w:eastAsia="zh-CN"/>
        </w:rPr>
        <w:t>（七）</w:t>
      </w:r>
      <w:r>
        <w:rPr>
          <w:rFonts w:hint="eastAsia" w:ascii="仿宋" w:hAnsi="仿宋" w:eastAsia="仿宋" w:cs="仿宋"/>
          <w:b w:val="0"/>
          <w:bCs w:val="0"/>
          <w:color w:val="auto"/>
          <w:sz w:val="28"/>
          <w:szCs w:val="28"/>
        </w:rPr>
        <w:t>防范措施：</w:t>
      </w:r>
    </w:p>
    <w:p w14:paraId="40864A8A">
      <w:pPr>
        <w:keepNext w:val="0"/>
        <w:keepLines w:val="0"/>
        <w:pageBreakBefore w:val="0"/>
        <w:widowControl w:val="0"/>
        <w:kinsoku/>
        <w:wordWrap/>
        <w:overflowPunct/>
        <w:topLinePunct w:val="0"/>
        <w:autoSpaceDE/>
        <w:autoSpaceDN/>
        <w:bidi w:val="0"/>
        <w:adjustRightInd/>
        <w:spacing w:line="50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进一步加强员工安全教育力度，重点加强新工人教育，提高员工的安全意识，不断增强自主保安和互保联保意识，牢固树立安全生产的理念，在施工过程中主动抓好自身安全。</w:t>
      </w:r>
    </w:p>
    <w:p w14:paraId="27244777">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以本次事故为典型，迅速开展安全生产大讨论，充分剖析事故发生的原因，制定防范措施，使全体员工切实消除松懈、麻痹大意的思想，树立对待安全永远战战兢兢、如履薄冰的思想意识。</w:t>
      </w:r>
    </w:p>
    <w:p w14:paraId="34F96C40">
      <w:pPr>
        <w:keepNext w:val="0"/>
        <w:keepLines w:val="0"/>
        <w:pageBreakBefore w:val="0"/>
        <w:widowControl w:val="0"/>
        <w:tabs>
          <w:tab w:val="left" w:pos="8100"/>
        </w:tabs>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切实加强新工人安全管理，强化师徒合同在现场的落实，一旦发现师徒合同不落实或落实不严格现象一律严格按制度进行处理，加强主副师傅、周围作业人员、当班班组长及头长、材料员的连带力度，切实提高各职级安全责任心，共同保障新工人作业安全。</w:t>
      </w:r>
    </w:p>
    <w:p w14:paraId="7D88319F">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加强现场的隐患排查，从“人、机、物、环”等各个方面严谨严细排查安全隐患，坚决做到“不安全不生产、隐患不排除不生产、问题不整改不生产”，为员工打造本质安全型生产环境，确保现场安全生产。</w:t>
      </w:r>
    </w:p>
    <w:p w14:paraId="32251F3E">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进一步加强班组安全管理，突出发挥好班组长安全第一责任者的作用，加强班组长教育培训，提高其责任意识，促进其加强班组施工过程中的动态巡察，做好隐患排查治理、员工操作规范监督等各项工作。</w:t>
      </w:r>
    </w:p>
    <w:p w14:paraId="0F142777">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要进一步加强施工现场的安全管理，出现问题依次追究责任，充分加强各级安全主体责任落实，提高各职级责任意识，形成一级为一级负责的安全闭合管理体系。</w:t>
      </w:r>
    </w:p>
    <w:p w14:paraId="7B96D57D">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工区各管理人员要多深入井下，多靠现场，认真排查治理现场安全隐患，及时规范员工的操作行为，确保现场安全无隐患、无漏洞。</w:t>
      </w:r>
    </w:p>
    <w:p w14:paraId="7D435B90">
      <w:pPr>
        <w:keepNext w:val="0"/>
        <w:keepLines w:val="0"/>
        <w:pageBreakBefore w:val="0"/>
        <w:widowControl w:val="0"/>
        <w:kinsoku/>
        <w:wordWrap/>
        <w:overflowPunct/>
        <w:topLinePunct w:val="0"/>
        <w:autoSpaceDE/>
        <w:autoSpaceDN/>
        <w:bidi w:val="0"/>
        <w:adjustRightInd/>
        <w:snapToGrid/>
        <w:spacing w:line="480" w:lineRule="exact"/>
        <w:ind w:firstLine="562" w:firstLineChars="200"/>
        <w:jc w:val="both"/>
        <w:textAlignment w:val="baseline"/>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rPr>
        <w:t>、常见三违</w:t>
      </w:r>
    </w:p>
    <w:p w14:paraId="40844C85">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喷浆机运行时将手或其他物体伸入喷浆机内的；</w:t>
      </w:r>
    </w:p>
    <w:p w14:paraId="00C2D3B3">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喷浆不正常使用防尘设施的；</w:t>
      </w:r>
    </w:p>
    <w:p w14:paraId="3F0A65A5">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未按顺序开、停机或停机不停电的；</w:t>
      </w:r>
    </w:p>
    <w:p w14:paraId="50D4D83D">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管路连接不合格喷浆的；</w:t>
      </w:r>
    </w:p>
    <w:p w14:paraId="4605AD81">
      <w:pPr>
        <w:keepNext w:val="0"/>
        <w:keepLines w:val="0"/>
        <w:pageBreakBefore w:val="0"/>
        <w:widowControl w:val="0"/>
        <w:tabs>
          <w:tab w:val="left" w:pos="8607"/>
        </w:tabs>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喷浆或处理喷浆管路堵塞时出料口前方有人的；</w:t>
      </w:r>
    </w:p>
    <w:p w14:paraId="61F4D2C1">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巷道内有失效锚杆未处理就喷浆封闭的；</w:t>
      </w:r>
    </w:p>
    <w:p w14:paraId="710C80CE">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喷浆厚度不符合规定，喷浆前未冲洗巷道顶帮的</w:t>
      </w:r>
      <w:r>
        <w:rPr>
          <w:rFonts w:hint="eastAsia" w:ascii="仿宋" w:hAnsi="仿宋" w:eastAsia="仿宋" w:cs="仿宋"/>
          <w:color w:val="auto"/>
          <w:sz w:val="28"/>
          <w:szCs w:val="28"/>
          <w:highlight w:val="none"/>
          <w:lang w:eastAsia="zh-CN"/>
        </w:rPr>
        <w:t>。</w:t>
      </w:r>
    </w:p>
    <w:p w14:paraId="1BF9001F">
      <w:pPr>
        <w:rPr>
          <w:rFonts w:hint="eastAsia" w:ascii="仿宋" w:hAnsi="仿宋" w:eastAsia="仿宋" w:cs="仿宋"/>
          <w:b/>
          <w:bCs/>
          <w:color w:val="auto"/>
          <w:kern w:val="0"/>
          <w:sz w:val="36"/>
          <w:szCs w:val="36"/>
          <w:highlight w:val="none"/>
          <w:lang w:val="en-US" w:eastAsia="zh-CN"/>
        </w:rPr>
      </w:pPr>
      <w:bookmarkStart w:id="134" w:name="_Toc28554"/>
      <w:bookmarkStart w:id="135" w:name="_Toc20227"/>
      <w:bookmarkStart w:id="136" w:name="_Toc50"/>
      <w:bookmarkStart w:id="137" w:name="_Toc5728"/>
      <w:bookmarkStart w:id="138" w:name="_Toc6235"/>
      <w:bookmarkStart w:id="139" w:name="_Toc10737"/>
      <w:r>
        <w:rPr>
          <w:rFonts w:hint="eastAsia" w:ascii="仿宋" w:hAnsi="仿宋" w:eastAsia="仿宋" w:cs="仿宋"/>
          <w:b/>
          <w:bCs/>
          <w:color w:val="auto"/>
          <w:kern w:val="0"/>
          <w:sz w:val="36"/>
          <w:szCs w:val="36"/>
          <w:highlight w:val="none"/>
          <w:lang w:val="en-US" w:eastAsia="zh-CN"/>
        </w:rPr>
        <w:br w:type="page"/>
      </w:r>
    </w:p>
    <w:p w14:paraId="4209C196">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21"/>
          <w:szCs w:val="21"/>
          <w:highlight w:val="none"/>
          <w:lang w:val="en-US" w:eastAsia="zh-CN"/>
        </w:rPr>
      </w:pPr>
      <w:bookmarkStart w:id="140" w:name="_Toc18902"/>
      <w:r>
        <w:rPr>
          <w:rFonts w:hint="eastAsia" w:ascii="仿宋" w:hAnsi="仿宋" w:eastAsia="仿宋" w:cs="仿宋"/>
          <w:b/>
          <w:bCs/>
          <w:color w:val="auto"/>
          <w:kern w:val="0"/>
          <w:sz w:val="36"/>
          <w:szCs w:val="36"/>
          <w:highlight w:val="none"/>
          <w:lang w:val="en-US" w:eastAsia="zh-CN"/>
        </w:rPr>
        <w:t>注浆工</w:t>
      </w:r>
      <w:bookmarkEnd w:id="134"/>
      <w:bookmarkEnd w:id="135"/>
      <w:bookmarkEnd w:id="136"/>
      <w:bookmarkEnd w:id="137"/>
      <w:bookmarkEnd w:id="138"/>
      <w:bookmarkEnd w:id="139"/>
      <w:bookmarkEnd w:id="140"/>
    </w:p>
    <w:tbl>
      <w:tblPr>
        <w:tblStyle w:val="12"/>
        <w:tblW w:w="9000" w:type="dxa"/>
        <w:jc w:val="center"/>
        <w:tblLayout w:type="fixed"/>
        <w:tblCellMar>
          <w:top w:w="0" w:type="dxa"/>
          <w:left w:w="108" w:type="dxa"/>
          <w:bottom w:w="0" w:type="dxa"/>
          <w:right w:w="108" w:type="dxa"/>
        </w:tblCellMar>
      </w:tblPr>
      <w:tblGrid>
        <w:gridCol w:w="871"/>
        <w:gridCol w:w="3431"/>
        <w:gridCol w:w="785"/>
        <w:gridCol w:w="3913"/>
      </w:tblGrid>
      <w:tr w14:paraId="251C8CCD">
        <w:tblPrEx>
          <w:tblCellMar>
            <w:top w:w="0" w:type="dxa"/>
            <w:left w:w="108" w:type="dxa"/>
            <w:bottom w:w="0" w:type="dxa"/>
            <w:right w:w="108" w:type="dxa"/>
          </w:tblCellMar>
        </w:tblPrEx>
        <w:trPr>
          <w:trHeight w:val="505" w:hRule="atLeast"/>
          <w:jc w:val="center"/>
        </w:trPr>
        <w:tc>
          <w:tcPr>
            <w:tcW w:w="9000" w:type="dxa"/>
            <w:gridSpan w:val="4"/>
            <w:tcBorders>
              <w:top w:val="single" w:color="auto" w:sz="4" w:space="0"/>
              <w:left w:val="single" w:color="auto" w:sz="4" w:space="0"/>
              <w:bottom w:val="single" w:color="auto" w:sz="4" w:space="0"/>
              <w:right w:val="single" w:color="auto" w:sz="4" w:space="0"/>
            </w:tcBorders>
            <w:vAlign w:val="center"/>
          </w:tcPr>
          <w:p w14:paraId="3CB51411">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注浆工岗位</w:t>
            </w:r>
            <w:r>
              <w:rPr>
                <w:rFonts w:hint="eastAsia" w:ascii="仿宋" w:hAnsi="仿宋" w:eastAsia="仿宋" w:cs="仿宋"/>
                <w:color w:val="auto"/>
                <w:kern w:val="0"/>
                <w:sz w:val="21"/>
                <w:szCs w:val="21"/>
                <w:highlight w:val="none"/>
                <w:lang w:val="en-US" w:eastAsia="zh-CN"/>
              </w:rPr>
              <w:t>安全</w:t>
            </w:r>
            <w:r>
              <w:rPr>
                <w:rFonts w:hint="eastAsia" w:ascii="仿宋" w:hAnsi="仿宋" w:eastAsia="仿宋" w:cs="仿宋"/>
                <w:color w:val="auto"/>
                <w:kern w:val="0"/>
                <w:sz w:val="21"/>
                <w:szCs w:val="21"/>
                <w:highlight w:val="none"/>
              </w:rPr>
              <w:t>风险告知卡</w:t>
            </w:r>
          </w:p>
        </w:tc>
      </w:tr>
      <w:tr w14:paraId="138502FB">
        <w:tblPrEx>
          <w:tblCellMar>
            <w:top w:w="0" w:type="dxa"/>
            <w:left w:w="108" w:type="dxa"/>
            <w:bottom w:w="0" w:type="dxa"/>
            <w:right w:w="108" w:type="dxa"/>
          </w:tblCellMar>
        </w:tblPrEx>
        <w:trPr>
          <w:trHeight w:val="876" w:hRule="atLeast"/>
          <w:jc w:val="center"/>
        </w:trPr>
        <w:tc>
          <w:tcPr>
            <w:tcW w:w="871" w:type="dxa"/>
            <w:tcBorders>
              <w:top w:val="nil"/>
              <w:left w:val="single" w:color="auto" w:sz="4" w:space="0"/>
              <w:bottom w:val="single" w:color="auto" w:sz="4" w:space="0"/>
              <w:right w:val="single" w:color="auto" w:sz="4" w:space="0"/>
            </w:tcBorders>
            <w:vAlign w:val="center"/>
          </w:tcPr>
          <w:p w14:paraId="7A1417C6">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险</w:t>
            </w:r>
          </w:p>
          <w:p w14:paraId="7152182C">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3431" w:type="dxa"/>
            <w:tcBorders>
              <w:top w:val="nil"/>
              <w:left w:val="nil"/>
              <w:bottom w:val="single" w:color="auto" w:sz="4" w:space="0"/>
              <w:right w:val="single" w:color="auto" w:sz="4" w:space="0"/>
            </w:tcBorders>
            <w:vAlign w:val="center"/>
          </w:tcPr>
          <w:p w14:paraId="2F24EE37">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冒顶（片帮）、机械伤害、职业病危害</w:t>
            </w:r>
          </w:p>
        </w:tc>
        <w:tc>
          <w:tcPr>
            <w:tcW w:w="785" w:type="dxa"/>
            <w:tcBorders>
              <w:top w:val="nil"/>
              <w:left w:val="nil"/>
              <w:bottom w:val="single" w:color="auto" w:sz="4" w:space="0"/>
              <w:right w:val="single" w:color="auto" w:sz="4" w:space="0"/>
            </w:tcBorders>
            <w:vAlign w:val="center"/>
          </w:tcPr>
          <w:p w14:paraId="0BD662CF">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告</w:t>
            </w:r>
          </w:p>
        </w:tc>
        <w:tc>
          <w:tcPr>
            <w:tcW w:w="3913" w:type="dxa"/>
            <w:tcBorders>
              <w:top w:val="nil"/>
              <w:left w:val="nil"/>
              <w:bottom w:val="single" w:color="auto" w:sz="4" w:space="0"/>
              <w:right w:val="single" w:color="auto" w:sz="4" w:space="0"/>
            </w:tcBorders>
            <w:vAlign w:val="center"/>
          </w:tcPr>
          <w:p w14:paraId="3C45DB73">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14:paraId="2A7B5C0A">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w:t>
            </w:r>
            <w:r>
              <w:rPr>
                <w:rFonts w:hint="eastAsia" w:ascii="仿宋" w:hAnsi="仿宋" w:eastAsia="仿宋" w:cs="仿宋"/>
                <w:color w:val="auto"/>
                <w:kern w:val="0"/>
                <w:sz w:val="21"/>
                <w:szCs w:val="21"/>
                <w:highlight w:val="none"/>
                <w:lang w:val="en-US" w:eastAsia="zh-CN"/>
              </w:rPr>
              <w:t>8650305</w:t>
            </w:r>
          </w:p>
          <w:p w14:paraId="6B075E94">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5B69C01D">
        <w:tblPrEx>
          <w:tblCellMar>
            <w:top w:w="0" w:type="dxa"/>
            <w:left w:w="108" w:type="dxa"/>
            <w:bottom w:w="0" w:type="dxa"/>
            <w:right w:w="108" w:type="dxa"/>
          </w:tblCellMar>
        </w:tblPrEx>
        <w:trPr>
          <w:trHeight w:val="299"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14:paraId="52874A3C">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698" w:type="dxa"/>
            <w:gridSpan w:val="2"/>
            <w:tcBorders>
              <w:top w:val="single" w:color="auto" w:sz="4" w:space="0"/>
              <w:left w:val="nil"/>
              <w:bottom w:val="single" w:color="auto" w:sz="4" w:space="0"/>
              <w:right w:val="single" w:color="auto" w:sz="4" w:space="0"/>
            </w:tcBorders>
            <w:vAlign w:val="center"/>
          </w:tcPr>
          <w:p w14:paraId="695661FC">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14:paraId="76614813">
        <w:tblPrEx>
          <w:tblCellMar>
            <w:top w:w="0" w:type="dxa"/>
            <w:left w:w="108" w:type="dxa"/>
            <w:bottom w:w="0" w:type="dxa"/>
            <w:right w:w="108" w:type="dxa"/>
          </w:tblCellMar>
        </w:tblPrEx>
        <w:trPr>
          <w:trHeight w:val="682"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14:paraId="0EAAA09D">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注浆管余压未卸载，人员拆注浆管时被管内注浆料崩伤</w:t>
            </w:r>
            <w:r>
              <w:rPr>
                <w:rFonts w:hint="eastAsia" w:ascii="仿宋" w:hAnsi="仿宋" w:eastAsia="仿宋" w:cs="仿宋"/>
                <w:color w:val="auto"/>
                <w:kern w:val="0"/>
                <w:sz w:val="21"/>
                <w:szCs w:val="21"/>
                <w:highlight w:val="none"/>
                <w:lang w:eastAsia="zh-CN"/>
              </w:rPr>
              <w:t>。</w:t>
            </w:r>
          </w:p>
        </w:tc>
        <w:tc>
          <w:tcPr>
            <w:tcW w:w="4698" w:type="dxa"/>
            <w:gridSpan w:val="2"/>
            <w:tcBorders>
              <w:top w:val="single" w:color="auto" w:sz="4" w:space="0"/>
              <w:left w:val="nil"/>
              <w:bottom w:val="single" w:color="auto" w:sz="4" w:space="0"/>
              <w:right w:val="single" w:color="auto" w:sz="4" w:space="0"/>
            </w:tcBorders>
            <w:vAlign w:val="center"/>
          </w:tcPr>
          <w:p w14:paraId="356D4C9E">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注浆后注浆人员及时打开卸压阀将注浆管内余压卸载</w:t>
            </w:r>
            <w:r>
              <w:rPr>
                <w:rFonts w:hint="eastAsia" w:ascii="仿宋" w:hAnsi="仿宋" w:eastAsia="仿宋" w:cs="仿宋"/>
                <w:color w:val="auto"/>
                <w:kern w:val="0"/>
                <w:sz w:val="21"/>
                <w:szCs w:val="21"/>
                <w:highlight w:val="none"/>
                <w:lang w:eastAsia="zh-CN"/>
              </w:rPr>
              <w:t>。</w:t>
            </w:r>
          </w:p>
        </w:tc>
      </w:tr>
      <w:tr w14:paraId="6AB9A9AA">
        <w:tblPrEx>
          <w:tblCellMar>
            <w:top w:w="0" w:type="dxa"/>
            <w:left w:w="108" w:type="dxa"/>
            <w:bottom w:w="0" w:type="dxa"/>
            <w:right w:w="108" w:type="dxa"/>
          </w:tblCellMar>
        </w:tblPrEx>
        <w:trPr>
          <w:trHeight w:val="744"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14:paraId="31623358">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2.通风不良，造成</w:t>
            </w:r>
            <w:r>
              <w:rPr>
                <w:rFonts w:hint="eastAsia" w:ascii="仿宋" w:hAnsi="仿宋" w:eastAsia="仿宋" w:cs="仿宋"/>
                <w:color w:val="auto"/>
                <w:kern w:val="0"/>
                <w:sz w:val="21"/>
                <w:szCs w:val="21"/>
                <w:highlight w:val="none"/>
                <w:lang w:eastAsia="zh-CN"/>
              </w:rPr>
              <w:t>甲烷</w:t>
            </w:r>
            <w:r>
              <w:rPr>
                <w:rFonts w:hint="eastAsia" w:ascii="仿宋" w:hAnsi="仿宋" w:eastAsia="仿宋" w:cs="仿宋"/>
                <w:color w:val="auto"/>
                <w:kern w:val="0"/>
                <w:sz w:val="21"/>
                <w:szCs w:val="21"/>
                <w:highlight w:val="none"/>
              </w:rPr>
              <w:t>积聚；粉尘积聚，造成人体健康伤害。</w:t>
            </w:r>
          </w:p>
        </w:tc>
        <w:tc>
          <w:tcPr>
            <w:tcW w:w="4698" w:type="dxa"/>
            <w:gridSpan w:val="2"/>
            <w:tcBorders>
              <w:top w:val="single" w:color="auto" w:sz="4" w:space="0"/>
              <w:left w:val="nil"/>
              <w:bottom w:val="single" w:color="auto" w:sz="4" w:space="0"/>
              <w:right w:val="single" w:color="auto" w:sz="4" w:space="0"/>
            </w:tcBorders>
            <w:vAlign w:val="center"/>
          </w:tcPr>
          <w:p w14:paraId="48CEB3F8">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2.保持注浆地点正常通风，监控系统正常运行；规范使用喷雾、除尘器，佩戴防尘口罩。</w:t>
            </w:r>
          </w:p>
        </w:tc>
      </w:tr>
      <w:tr w14:paraId="5D139973">
        <w:tblPrEx>
          <w:tblCellMar>
            <w:top w:w="0" w:type="dxa"/>
            <w:left w:w="108" w:type="dxa"/>
            <w:bottom w:w="0" w:type="dxa"/>
            <w:right w:w="108" w:type="dxa"/>
          </w:tblCellMar>
        </w:tblPrEx>
        <w:trPr>
          <w:trHeight w:val="709"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14:paraId="35AC9C63">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3.注浆管堵塞，造成注浆管开裂伤人</w:t>
            </w:r>
            <w:r>
              <w:rPr>
                <w:rFonts w:hint="eastAsia" w:ascii="仿宋" w:hAnsi="仿宋" w:eastAsia="仿宋" w:cs="仿宋"/>
                <w:color w:val="auto"/>
                <w:kern w:val="0"/>
                <w:sz w:val="21"/>
                <w:szCs w:val="21"/>
                <w:highlight w:val="none"/>
                <w:lang w:eastAsia="zh-CN"/>
              </w:rPr>
              <w:t>。</w:t>
            </w:r>
          </w:p>
        </w:tc>
        <w:tc>
          <w:tcPr>
            <w:tcW w:w="4698" w:type="dxa"/>
            <w:gridSpan w:val="2"/>
            <w:tcBorders>
              <w:top w:val="single" w:color="auto" w:sz="4" w:space="0"/>
              <w:left w:val="nil"/>
              <w:bottom w:val="single" w:color="auto" w:sz="4" w:space="0"/>
              <w:right w:val="single" w:color="auto" w:sz="4" w:space="0"/>
            </w:tcBorders>
            <w:vAlign w:val="center"/>
          </w:tcPr>
          <w:p w14:paraId="6A237897">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3.注浆地点5</w:t>
            </w:r>
            <w:r>
              <w:rPr>
                <w:rFonts w:hint="eastAsia" w:ascii="仿宋" w:hAnsi="仿宋" w:eastAsia="仿宋" w:cs="仿宋"/>
                <w:color w:val="auto"/>
                <w:kern w:val="0"/>
                <w:sz w:val="21"/>
                <w:szCs w:val="21"/>
                <w:highlight w:val="none"/>
                <w:lang w:eastAsia="zh-CN"/>
              </w:rPr>
              <w:t>m</w:t>
            </w:r>
            <w:r>
              <w:rPr>
                <w:rFonts w:hint="eastAsia" w:ascii="仿宋" w:hAnsi="仿宋" w:eastAsia="仿宋" w:cs="仿宋"/>
                <w:color w:val="auto"/>
                <w:kern w:val="0"/>
                <w:sz w:val="21"/>
                <w:szCs w:val="21"/>
                <w:highlight w:val="none"/>
              </w:rPr>
              <w:t>范围内无闲杂人员，观察出料情况，发现堵塞时，及时停机处理</w:t>
            </w:r>
            <w:r>
              <w:rPr>
                <w:rFonts w:hint="eastAsia" w:ascii="仿宋" w:hAnsi="仿宋" w:eastAsia="仿宋" w:cs="仿宋"/>
                <w:color w:val="auto"/>
                <w:kern w:val="0"/>
                <w:sz w:val="21"/>
                <w:szCs w:val="21"/>
                <w:highlight w:val="none"/>
                <w:lang w:eastAsia="zh-CN"/>
              </w:rPr>
              <w:t>。</w:t>
            </w:r>
          </w:p>
        </w:tc>
      </w:tr>
      <w:tr w14:paraId="55F0A00C">
        <w:tblPrEx>
          <w:tblCellMar>
            <w:top w:w="0" w:type="dxa"/>
            <w:left w:w="108" w:type="dxa"/>
            <w:bottom w:w="0" w:type="dxa"/>
            <w:right w:w="108" w:type="dxa"/>
          </w:tblCellMar>
        </w:tblPrEx>
        <w:trPr>
          <w:trHeight w:val="830"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14:paraId="73DDA725">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4.注浆管路与注浆锚杆接头处管卡崩开，造成注浆料喷出伤人。</w:t>
            </w:r>
          </w:p>
        </w:tc>
        <w:tc>
          <w:tcPr>
            <w:tcW w:w="4698" w:type="dxa"/>
            <w:gridSpan w:val="2"/>
            <w:tcBorders>
              <w:top w:val="single" w:color="auto" w:sz="4" w:space="0"/>
              <w:left w:val="nil"/>
              <w:bottom w:val="single" w:color="auto" w:sz="4" w:space="0"/>
              <w:right w:val="single" w:color="auto" w:sz="4" w:space="0"/>
            </w:tcBorders>
            <w:vAlign w:val="center"/>
          </w:tcPr>
          <w:p w14:paraId="01FBD35E">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4.注浆地点5</w:t>
            </w:r>
            <w:r>
              <w:rPr>
                <w:rFonts w:hint="eastAsia" w:ascii="仿宋" w:hAnsi="仿宋" w:eastAsia="仿宋" w:cs="仿宋"/>
                <w:color w:val="auto"/>
                <w:kern w:val="0"/>
                <w:sz w:val="21"/>
                <w:szCs w:val="21"/>
                <w:highlight w:val="none"/>
                <w:lang w:eastAsia="zh-CN"/>
              </w:rPr>
              <w:t>m</w:t>
            </w:r>
            <w:r>
              <w:rPr>
                <w:rFonts w:hint="eastAsia" w:ascii="仿宋" w:hAnsi="仿宋" w:eastAsia="仿宋" w:cs="仿宋"/>
                <w:color w:val="auto"/>
                <w:kern w:val="0"/>
                <w:sz w:val="21"/>
                <w:szCs w:val="21"/>
                <w:highlight w:val="none"/>
              </w:rPr>
              <w:t>范围内无闲杂人员，观察出料情况，发现管路断开时，及时停机处理</w:t>
            </w:r>
            <w:r>
              <w:rPr>
                <w:rFonts w:hint="eastAsia" w:ascii="仿宋" w:hAnsi="仿宋" w:eastAsia="仿宋" w:cs="仿宋"/>
                <w:color w:val="auto"/>
                <w:kern w:val="0"/>
                <w:sz w:val="21"/>
                <w:szCs w:val="21"/>
                <w:highlight w:val="none"/>
                <w:lang w:eastAsia="zh-CN"/>
              </w:rPr>
              <w:t>。</w:t>
            </w:r>
          </w:p>
        </w:tc>
      </w:tr>
      <w:tr w14:paraId="5A3AFB25">
        <w:tblPrEx>
          <w:tblCellMar>
            <w:top w:w="0" w:type="dxa"/>
            <w:left w:w="108" w:type="dxa"/>
            <w:bottom w:w="0" w:type="dxa"/>
            <w:right w:w="108" w:type="dxa"/>
          </w:tblCellMar>
        </w:tblPrEx>
        <w:trPr>
          <w:trHeight w:val="1026" w:hRule="atLeast"/>
          <w:jc w:val="center"/>
        </w:trPr>
        <w:tc>
          <w:tcPr>
            <w:tcW w:w="871" w:type="dxa"/>
            <w:tcBorders>
              <w:top w:val="nil"/>
              <w:left w:val="single" w:color="auto" w:sz="4" w:space="0"/>
              <w:bottom w:val="single" w:color="auto" w:sz="4" w:space="0"/>
              <w:right w:val="single" w:color="auto" w:sz="4" w:space="0"/>
            </w:tcBorders>
            <w:vAlign w:val="center"/>
          </w:tcPr>
          <w:p w14:paraId="05432940">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5D0F984E">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29" w:type="dxa"/>
            <w:gridSpan w:val="3"/>
            <w:tcBorders>
              <w:top w:val="single" w:color="auto" w:sz="4" w:space="0"/>
              <w:left w:val="nil"/>
              <w:bottom w:val="single" w:color="auto" w:sz="4" w:space="0"/>
              <w:right w:val="single" w:color="auto" w:sz="4" w:space="0"/>
            </w:tcBorders>
            <w:vAlign w:val="center"/>
          </w:tcPr>
          <w:p w14:paraId="1D1F9DC0">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17069250">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00AAFB62">
        <w:tblPrEx>
          <w:tblCellMar>
            <w:top w:w="0" w:type="dxa"/>
            <w:left w:w="108" w:type="dxa"/>
            <w:bottom w:w="0" w:type="dxa"/>
            <w:right w:w="108" w:type="dxa"/>
          </w:tblCellMar>
        </w:tblPrEx>
        <w:trPr>
          <w:trHeight w:val="1316" w:hRule="atLeast"/>
          <w:jc w:val="center"/>
        </w:trPr>
        <w:tc>
          <w:tcPr>
            <w:tcW w:w="871" w:type="dxa"/>
            <w:tcBorders>
              <w:top w:val="nil"/>
              <w:left w:val="single" w:color="auto" w:sz="4" w:space="0"/>
              <w:bottom w:val="single" w:color="auto" w:sz="4" w:space="0"/>
              <w:right w:val="single" w:color="auto" w:sz="4" w:space="0"/>
            </w:tcBorders>
            <w:vAlign w:val="center"/>
          </w:tcPr>
          <w:p w14:paraId="1C399E46">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14:paraId="799BEB05">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14:paraId="1DD06E29">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8129" w:type="dxa"/>
            <w:gridSpan w:val="3"/>
            <w:tcBorders>
              <w:top w:val="single" w:color="auto" w:sz="4" w:space="0"/>
              <w:left w:val="nil"/>
              <w:bottom w:val="single" w:color="auto" w:sz="4" w:space="0"/>
              <w:right w:val="single" w:color="auto" w:sz="4" w:space="0"/>
            </w:tcBorders>
            <w:vAlign w:val="center"/>
          </w:tcPr>
          <w:p w14:paraId="6192C3DD">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1.出现紧急情况时，应立即停止工作。</w:t>
            </w:r>
          </w:p>
          <w:p w14:paraId="761FE93E">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5FB16219">
      <w:pPr>
        <w:pStyle w:val="2"/>
        <w:keepNext w:val="0"/>
        <w:keepLines w:val="0"/>
        <w:pageBreakBefore w:val="0"/>
        <w:kinsoku/>
        <w:wordWrap/>
        <w:overflowPunct/>
        <w:topLinePunct w:val="0"/>
        <w:autoSpaceDE/>
        <w:autoSpaceDN/>
        <w:bidi w:val="0"/>
        <w:adjustRightInd/>
        <w:snapToGrid/>
        <w:ind w:left="0" w:leftChars="0" w:firstLine="0" w:firstLineChars="0"/>
        <w:textAlignment w:val="auto"/>
        <w:outlineLvl w:val="9"/>
        <w:rPr>
          <w:rFonts w:hint="eastAsia"/>
          <w:color w:val="auto"/>
        </w:rPr>
      </w:pPr>
    </w:p>
    <w:tbl>
      <w:tblPr>
        <w:tblStyle w:val="12"/>
        <w:tblW w:w="9020" w:type="dxa"/>
        <w:jc w:val="center"/>
        <w:tblLayout w:type="fixed"/>
        <w:tblCellMar>
          <w:top w:w="0" w:type="dxa"/>
          <w:left w:w="108" w:type="dxa"/>
          <w:bottom w:w="0" w:type="dxa"/>
          <w:right w:w="108" w:type="dxa"/>
        </w:tblCellMar>
      </w:tblPr>
      <w:tblGrid>
        <w:gridCol w:w="4926"/>
        <w:gridCol w:w="4094"/>
      </w:tblGrid>
      <w:tr w14:paraId="45C1CD97">
        <w:tblPrEx>
          <w:tblCellMar>
            <w:top w:w="0" w:type="dxa"/>
            <w:left w:w="108" w:type="dxa"/>
            <w:bottom w:w="0" w:type="dxa"/>
            <w:right w:w="108" w:type="dxa"/>
          </w:tblCellMar>
        </w:tblPrEx>
        <w:trPr>
          <w:trHeight w:val="264" w:hRule="atLeast"/>
          <w:jc w:val="center"/>
        </w:trPr>
        <w:tc>
          <w:tcPr>
            <w:tcW w:w="9020" w:type="dxa"/>
            <w:gridSpan w:val="2"/>
            <w:tcBorders>
              <w:top w:val="single" w:color="auto" w:sz="4" w:space="0"/>
              <w:left w:val="single" w:color="auto" w:sz="4" w:space="0"/>
              <w:bottom w:val="single" w:color="auto" w:sz="4" w:space="0"/>
              <w:right w:val="single" w:color="auto" w:sz="4" w:space="0"/>
            </w:tcBorders>
            <w:vAlign w:val="bottom"/>
          </w:tcPr>
          <w:p w14:paraId="63274906">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rPr>
              <w:t>注浆工安全提示卡</w:t>
            </w:r>
          </w:p>
        </w:tc>
      </w:tr>
      <w:tr w14:paraId="19F6C560">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single" w:color="auto" w:sz="4" w:space="0"/>
              <w:right w:val="single" w:color="auto" w:sz="4" w:space="0"/>
            </w:tcBorders>
            <w:vAlign w:val="bottom"/>
          </w:tcPr>
          <w:p w14:paraId="295C6DB0">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注浆前检查</w:t>
            </w:r>
          </w:p>
        </w:tc>
        <w:tc>
          <w:tcPr>
            <w:tcW w:w="4094" w:type="dxa"/>
            <w:tcBorders>
              <w:top w:val="single" w:color="auto" w:sz="4" w:space="0"/>
              <w:left w:val="nil"/>
              <w:bottom w:val="single" w:color="auto" w:sz="4" w:space="0"/>
              <w:right w:val="single" w:color="auto" w:sz="4" w:space="0"/>
            </w:tcBorders>
            <w:vAlign w:val="bottom"/>
          </w:tcPr>
          <w:p w14:paraId="3B1D6AB9">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注浆后确认</w:t>
            </w:r>
          </w:p>
        </w:tc>
      </w:tr>
      <w:tr w14:paraId="32589B1E">
        <w:tblPrEx>
          <w:tblCellMar>
            <w:top w:w="0" w:type="dxa"/>
            <w:left w:w="108" w:type="dxa"/>
            <w:bottom w:w="0" w:type="dxa"/>
            <w:right w:w="108" w:type="dxa"/>
          </w:tblCellMar>
        </w:tblPrEx>
        <w:trPr>
          <w:trHeight w:val="272" w:hRule="atLeast"/>
          <w:jc w:val="center"/>
        </w:trPr>
        <w:tc>
          <w:tcPr>
            <w:tcW w:w="4926" w:type="dxa"/>
            <w:tcBorders>
              <w:top w:val="nil"/>
              <w:left w:val="single" w:color="auto" w:sz="4" w:space="0"/>
              <w:bottom w:val="single" w:color="auto" w:sz="4" w:space="0"/>
              <w:right w:val="single" w:color="auto" w:sz="4" w:space="0"/>
            </w:tcBorders>
            <w:vAlign w:val="bottom"/>
          </w:tcPr>
          <w:p w14:paraId="57B06635">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1.注浆泵处顶帮支护</w:t>
            </w:r>
          </w:p>
        </w:tc>
        <w:tc>
          <w:tcPr>
            <w:tcW w:w="4094" w:type="dxa"/>
            <w:tcBorders>
              <w:top w:val="nil"/>
              <w:left w:val="nil"/>
              <w:bottom w:val="single" w:color="auto" w:sz="4" w:space="0"/>
              <w:right w:val="single" w:color="auto" w:sz="4" w:space="0"/>
            </w:tcBorders>
            <w:vAlign w:val="bottom"/>
          </w:tcPr>
          <w:p w14:paraId="0F5D4900">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1.停机、停风</w:t>
            </w:r>
          </w:p>
        </w:tc>
      </w:tr>
      <w:tr w14:paraId="4AD09F1D">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single" w:color="auto" w:sz="4" w:space="0"/>
              <w:right w:val="single" w:color="auto" w:sz="4" w:space="0"/>
            </w:tcBorders>
            <w:vAlign w:val="bottom"/>
          </w:tcPr>
          <w:p w14:paraId="1840B0BD">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★2.注浆区顶帮支护</w:t>
            </w:r>
          </w:p>
        </w:tc>
        <w:tc>
          <w:tcPr>
            <w:tcW w:w="4094" w:type="dxa"/>
            <w:tcBorders>
              <w:top w:val="single" w:color="auto" w:sz="4" w:space="0"/>
              <w:left w:val="nil"/>
              <w:bottom w:val="single" w:color="auto" w:sz="4" w:space="0"/>
              <w:right w:val="single" w:color="auto" w:sz="4" w:space="0"/>
            </w:tcBorders>
            <w:vAlign w:val="bottom"/>
          </w:tcPr>
          <w:p w14:paraId="57603587">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2.注浆质量</w:t>
            </w:r>
          </w:p>
        </w:tc>
      </w:tr>
      <w:tr w14:paraId="33AA302F">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single" w:color="auto" w:sz="4" w:space="0"/>
              <w:right w:val="single" w:color="auto" w:sz="4" w:space="0"/>
            </w:tcBorders>
            <w:vAlign w:val="bottom"/>
          </w:tcPr>
          <w:p w14:paraId="217A66E9">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3.通风、</w:t>
            </w:r>
            <w:r>
              <w:rPr>
                <w:rFonts w:hint="eastAsia" w:ascii="仿宋" w:hAnsi="仿宋" w:eastAsia="仿宋" w:cs="仿宋"/>
                <w:b w:val="0"/>
                <w:bCs w:val="0"/>
                <w:color w:val="auto"/>
                <w:kern w:val="0"/>
                <w:sz w:val="21"/>
                <w:szCs w:val="21"/>
                <w:highlight w:val="none"/>
                <w:lang w:eastAsia="zh-CN"/>
              </w:rPr>
              <w:t>甲烷</w:t>
            </w:r>
          </w:p>
        </w:tc>
        <w:tc>
          <w:tcPr>
            <w:tcW w:w="4094" w:type="dxa"/>
            <w:tcBorders>
              <w:top w:val="single" w:color="auto" w:sz="4" w:space="0"/>
              <w:left w:val="nil"/>
              <w:bottom w:val="single" w:color="auto" w:sz="4" w:space="0"/>
              <w:right w:val="single" w:color="auto" w:sz="4" w:space="0"/>
            </w:tcBorders>
            <w:vAlign w:val="bottom"/>
          </w:tcPr>
          <w:p w14:paraId="3A62C1A1">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★3.注浆管余压</w:t>
            </w:r>
          </w:p>
        </w:tc>
      </w:tr>
      <w:tr w14:paraId="13C6F212">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single" w:color="auto" w:sz="4" w:space="0"/>
              <w:right w:val="single" w:color="auto" w:sz="4" w:space="0"/>
            </w:tcBorders>
            <w:vAlign w:val="bottom"/>
          </w:tcPr>
          <w:p w14:paraId="065559EB">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★4、注浆泵、管路连接</w:t>
            </w:r>
          </w:p>
        </w:tc>
        <w:tc>
          <w:tcPr>
            <w:tcW w:w="4094" w:type="dxa"/>
            <w:tcBorders>
              <w:top w:val="single" w:color="auto" w:sz="4" w:space="0"/>
              <w:left w:val="nil"/>
              <w:bottom w:val="single" w:color="auto" w:sz="4" w:space="0"/>
              <w:right w:val="single" w:color="auto" w:sz="4" w:space="0"/>
            </w:tcBorders>
            <w:vAlign w:val="bottom"/>
          </w:tcPr>
          <w:p w14:paraId="50058EB6">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4.注浆设备内外清理</w:t>
            </w:r>
          </w:p>
        </w:tc>
      </w:tr>
      <w:tr w14:paraId="6EAC8DBD">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nil"/>
              <w:right w:val="single" w:color="auto" w:sz="4" w:space="0"/>
            </w:tcBorders>
            <w:vAlign w:val="bottom"/>
          </w:tcPr>
          <w:p w14:paraId="60240F02">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★5.注浆处附近5m范围内无其他人员</w:t>
            </w:r>
          </w:p>
        </w:tc>
        <w:tc>
          <w:tcPr>
            <w:tcW w:w="4094" w:type="dxa"/>
            <w:tcBorders>
              <w:top w:val="single" w:color="auto" w:sz="4" w:space="0"/>
              <w:left w:val="nil"/>
              <w:bottom w:val="single" w:color="auto" w:sz="4" w:space="0"/>
              <w:right w:val="single" w:color="auto" w:sz="4" w:space="0"/>
            </w:tcBorders>
            <w:vAlign w:val="bottom"/>
          </w:tcPr>
          <w:p w14:paraId="0D298AD7">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p>
        </w:tc>
      </w:tr>
      <w:tr w14:paraId="0D55B669">
        <w:tblPrEx>
          <w:tblCellMar>
            <w:top w:w="0" w:type="dxa"/>
            <w:left w:w="108" w:type="dxa"/>
            <w:bottom w:w="0" w:type="dxa"/>
            <w:right w:w="108" w:type="dxa"/>
          </w:tblCellMar>
        </w:tblPrEx>
        <w:trPr>
          <w:trHeight w:val="536" w:hRule="atLeast"/>
          <w:jc w:val="center"/>
        </w:trPr>
        <w:tc>
          <w:tcPr>
            <w:tcW w:w="9020" w:type="dxa"/>
            <w:gridSpan w:val="2"/>
            <w:tcBorders>
              <w:top w:val="single" w:color="auto" w:sz="4" w:space="0"/>
              <w:left w:val="single" w:color="auto" w:sz="4" w:space="0"/>
              <w:bottom w:val="single" w:color="auto" w:sz="4" w:space="0"/>
              <w:right w:val="single" w:color="auto" w:sz="4" w:space="0"/>
            </w:tcBorders>
            <w:vAlign w:val="bottom"/>
          </w:tcPr>
          <w:p w14:paraId="2EBD78C2">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注：第一次按开机前检查内容逐项检查并确认，存在问题整改后再确认；中间再次操作只检查带“★”部分；喷浆任务全部结束后按停机后确认内容逐项检查并确认。</w:t>
            </w:r>
          </w:p>
        </w:tc>
      </w:tr>
    </w:tbl>
    <w:p w14:paraId="27B6E8F3">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020" w:type="dxa"/>
        <w:jc w:val="center"/>
        <w:tblLayout w:type="fixed"/>
        <w:tblCellMar>
          <w:top w:w="0" w:type="dxa"/>
          <w:left w:w="108" w:type="dxa"/>
          <w:bottom w:w="0" w:type="dxa"/>
          <w:right w:w="108" w:type="dxa"/>
        </w:tblCellMar>
      </w:tblPr>
      <w:tblGrid>
        <w:gridCol w:w="9020"/>
      </w:tblGrid>
      <w:tr w14:paraId="4CAB6AA0">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auto" w:sz="4" w:space="0"/>
            </w:tcBorders>
            <w:vAlign w:val="bottom"/>
          </w:tcPr>
          <w:p w14:paraId="3B2D0FA8">
            <w:pPr>
              <w:keepNext w:val="0"/>
              <w:keepLines w:val="0"/>
              <w:pageBreakBefore w:val="0"/>
              <w:widowControl/>
              <w:kinsoku/>
              <w:wordWrap/>
              <w:overflowPunct/>
              <w:topLinePunct w:val="0"/>
              <w:autoSpaceDE/>
              <w:autoSpaceDN/>
              <w:bidi w:val="0"/>
              <w:adjustRightInd/>
              <w:snapToGrid/>
              <w:spacing w:line="240" w:lineRule="auto"/>
              <w:ind w:firstLine="3570" w:firstLineChars="1700"/>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注浆泵单元检查表</w:t>
            </w:r>
          </w:p>
        </w:tc>
      </w:tr>
      <w:tr w14:paraId="4955A647">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14:paraId="64A105F2">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1.主风截止阀、压力表</w:t>
            </w:r>
          </w:p>
        </w:tc>
      </w:tr>
      <w:tr w14:paraId="63F2E49B">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14:paraId="60878D7A">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2.油位</w:t>
            </w:r>
          </w:p>
        </w:tc>
      </w:tr>
      <w:tr w14:paraId="4ECEA22F">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14:paraId="207F309D">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3.吸浆口、出浆口</w:t>
            </w:r>
          </w:p>
        </w:tc>
      </w:tr>
      <w:tr w14:paraId="21F0949A">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14:paraId="21914D6C">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4.机体位置</w:t>
            </w:r>
          </w:p>
        </w:tc>
      </w:tr>
      <w:tr w14:paraId="1D78272E">
        <w:tblPrEx>
          <w:tblCellMar>
            <w:top w:w="0" w:type="dxa"/>
            <w:left w:w="108" w:type="dxa"/>
            <w:bottom w:w="0" w:type="dxa"/>
            <w:right w:w="108" w:type="dxa"/>
          </w:tblCellMar>
        </w:tblPrEx>
        <w:trPr>
          <w:trHeight w:val="281"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14:paraId="58CACC71">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接班后单元检查表检查前，先进行停电闭锁确认。</w:t>
            </w:r>
          </w:p>
        </w:tc>
      </w:tr>
    </w:tbl>
    <w:tbl>
      <w:tblPr>
        <w:tblStyle w:val="12"/>
        <w:tblpPr w:leftFromText="180" w:rightFromText="180" w:vertAnchor="text" w:horzAnchor="page" w:tblpX="1562" w:tblpY="495"/>
        <w:tblOverlap w:val="never"/>
        <w:tblW w:w="9038" w:type="dxa"/>
        <w:tblInd w:w="0" w:type="dxa"/>
        <w:tblLayout w:type="fixed"/>
        <w:tblCellMar>
          <w:top w:w="0" w:type="dxa"/>
          <w:left w:w="108" w:type="dxa"/>
          <w:bottom w:w="0" w:type="dxa"/>
          <w:right w:w="108" w:type="dxa"/>
        </w:tblCellMar>
      </w:tblPr>
      <w:tblGrid>
        <w:gridCol w:w="1268"/>
        <w:gridCol w:w="2134"/>
        <w:gridCol w:w="5636"/>
      </w:tblGrid>
      <w:tr w14:paraId="0EAD0800">
        <w:tblPrEx>
          <w:tblCellMar>
            <w:top w:w="0" w:type="dxa"/>
            <w:left w:w="108" w:type="dxa"/>
            <w:bottom w:w="0" w:type="dxa"/>
            <w:right w:w="108" w:type="dxa"/>
          </w:tblCellMar>
        </w:tblPrEx>
        <w:trPr>
          <w:trHeight w:val="664" w:hRule="atLeast"/>
        </w:trPr>
        <w:tc>
          <w:tcPr>
            <w:tcW w:w="9038" w:type="dxa"/>
            <w:gridSpan w:val="3"/>
            <w:tcBorders>
              <w:top w:val="single" w:color="auto" w:sz="4" w:space="0"/>
              <w:left w:val="single" w:color="auto" w:sz="4" w:space="0"/>
              <w:bottom w:val="single" w:color="auto" w:sz="4" w:space="0"/>
              <w:right w:val="single" w:color="auto" w:sz="4" w:space="0"/>
            </w:tcBorders>
            <w:vAlign w:val="center"/>
          </w:tcPr>
          <w:p w14:paraId="739AEF8E">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注浆工操作过程注意事项</w:t>
            </w:r>
          </w:p>
        </w:tc>
      </w:tr>
      <w:tr w14:paraId="42371C39">
        <w:tblPrEx>
          <w:tblCellMar>
            <w:top w:w="0" w:type="dxa"/>
            <w:left w:w="108" w:type="dxa"/>
            <w:bottom w:w="0" w:type="dxa"/>
            <w:right w:w="108" w:type="dxa"/>
          </w:tblCellMar>
        </w:tblPrEx>
        <w:trPr>
          <w:trHeight w:val="358" w:hRule="atLeast"/>
        </w:trPr>
        <w:tc>
          <w:tcPr>
            <w:tcW w:w="1268" w:type="dxa"/>
            <w:tcBorders>
              <w:top w:val="nil"/>
              <w:left w:val="single" w:color="auto" w:sz="4" w:space="0"/>
              <w:bottom w:val="single" w:color="auto" w:sz="4" w:space="0"/>
              <w:right w:val="single" w:color="auto" w:sz="4" w:space="0"/>
            </w:tcBorders>
            <w:vAlign w:val="center"/>
          </w:tcPr>
          <w:p w14:paraId="30E8D727">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序号</w:t>
            </w:r>
          </w:p>
        </w:tc>
        <w:tc>
          <w:tcPr>
            <w:tcW w:w="2134" w:type="dxa"/>
            <w:tcBorders>
              <w:top w:val="nil"/>
              <w:left w:val="nil"/>
              <w:bottom w:val="single" w:color="auto" w:sz="4" w:space="0"/>
              <w:right w:val="single" w:color="auto" w:sz="4" w:space="0"/>
            </w:tcBorders>
            <w:vAlign w:val="center"/>
          </w:tcPr>
          <w:p w14:paraId="01F4F935">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提示词</w:t>
            </w:r>
          </w:p>
        </w:tc>
        <w:tc>
          <w:tcPr>
            <w:tcW w:w="5636" w:type="dxa"/>
            <w:tcBorders>
              <w:top w:val="nil"/>
              <w:left w:val="nil"/>
              <w:bottom w:val="single" w:color="auto" w:sz="4" w:space="0"/>
              <w:right w:val="single" w:color="auto" w:sz="4" w:space="0"/>
            </w:tcBorders>
            <w:vAlign w:val="center"/>
          </w:tcPr>
          <w:p w14:paraId="4A710ECF">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主要内容</w:t>
            </w:r>
          </w:p>
        </w:tc>
      </w:tr>
      <w:tr w14:paraId="51D5AECC">
        <w:tblPrEx>
          <w:tblCellMar>
            <w:top w:w="0" w:type="dxa"/>
            <w:left w:w="108" w:type="dxa"/>
            <w:bottom w:w="0" w:type="dxa"/>
            <w:right w:w="108" w:type="dxa"/>
          </w:tblCellMar>
        </w:tblPrEx>
        <w:trPr>
          <w:trHeight w:val="453" w:hRule="atLeast"/>
        </w:trPr>
        <w:tc>
          <w:tcPr>
            <w:tcW w:w="1268" w:type="dxa"/>
            <w:tcBorders>
              <w:top w:val="nil"/>
              <w:left w:val="single" w:color="auto" w:sz="4" w:space="0"/>
              <w:bottom w:val="single" w:color="auto" w:sz="4" w:space="0"/>
              <w:right w:val="single" w:color="auto" w:sz="4" w:space="0"/>
            </w:tcBorders>
            <w:vAlign w:val="center"/>
          </w:tcPr>
          <w:p w14:paraId="060A6800">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w:t>
            </w:r>
          </w:p>
        </w:tc>
        <w:tc>
          <w:tcPr>
            <w:tcW w:w="2134" w:type="dxa"/>
            <w:tcBorders>
              <w:top w:val="nil"/>
              <w:left w:val="nil"/>
              <w:bottom w:val="single" w:color="auto" w:sz="4" w:space="0"/>
              <w:right w:val="single" w:color="auto" w:sz="4" w:space="0"/>
            </w:tcBorders>
            <w:vAlign w:val="center"/>
          </w:tcPr>
          <w:p w14:paraId="6BCD51F1">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站位</w:t>
            </w:r>
          </w:p>
        </w:tc>
        <w:tc>
          <w:tcPr>
            <w:tcW w:w="5636" w:type="dxa"/>
            <w:tcBorders>
              <w:top w:val="nil"/>
              <w:left w:val="nil"/>
              <w:bottom w:val="single" w:color="auto" w:sz="4" w:space="0"/>
              <w:right w:val="single" w:color="auto" w:sz="4" w:space="0"/>
            </w:tcBorders>
            <w:vAlign w:val="center"/>
          </w:tcPr>
          <w:p w14:paraId="515C2FDF">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注浆时，不要在高压胶管附近停留。</w:t>
            </w:r>
          </w:p>
        </w:tc>
      </w:tr>
      <w:tr w14:paraId="18723F8F">
        <w:tblPrEx>
          <w:tblCellMar>
            <w:top w:w="0" w:type="dxa"/>
            <w:left w:w="108" w:type="dxa"/>
            <w:bottom w:w="0" w:type="dxa"/>
            <w:right w:w="108" w:type="dxa"/>
          </w:tblCellMar>
        </w:tblPrEx>
        <w:trPr>
          <w:trHeight w:val="703" w:hRule="atLeast"/>
        </w:trPr>
        <w:tc>
          <w:tcPr>
            <w:tcW w:w="1268" w:type="dxa"/>
            <w:tcBorders>
              <w:top w:val="nil"/>
              <w:left w:val="single" w:color="auto" w:sz="4" w:space="0"/>
              <w:bottom w:val="single" w:color="auto" w:sz="4" w:space="0"/>
              <w:right w:val="single" w:color="auto" w:sz="4" w:space="0"/>
            </w:tcBorders>
            <w:vAlign w:val="center"/>
          </w:tcPr>
          <w:p w14:paraId="4EAD00F7">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w:t>
            </w:r>
          </w:p>
        </w:tc>
        <w:tc>
          <w:tcPr>
            <w:tcW w:w="2134" w:type="dxa"/>
            <w:tcBorders>
              <w:top w:val="nil"/>
              <w:left w:val="nil"/>
              <w:bottom w:val="single" w:color="auto" w:sz="4" w:space="0"/>
              <w:right w:val="single" w:color="auto" w:sz="4" w:space="0"/>
            </w:tcBorders>
            <w:vAlign w:val="center"/>
          </w:tcPr>
          <w:p w14:paraId="1B1BDB30">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“一听、两看”</w:t>
            </w:r>
          </w:p>
        </w:tc>
        <w:tc>
          <w:tcPr>
            <w:tcW w:w="5636" w:type="dxa"/>
            <w:tcBorders>
              <w:top w:val="nil"/>
              <w:left w:val="nil"/>
              <w:bottom w:val="single" w:color="auto" w:sz="4" w:space="0"/>
              <w:right w:val="single" w:color="auto" w:sz="4" w:space="0"/>
            </w:tcBorders>
            <w:vAlign w:val="center"/>
          </w:tcPr>
          <w:p w14:paraId="1A346250">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听机器运转声音；看回浆情况，看管路连接情况，发现异常及时处理。</w:t>
            </w:r>
          </w:p>
        </w:tc>
      </w:tr>
      <w:tr w14:paraId="7C909B43">
        <w:tblPrEx>
          <w:tblCellMar>
            <w:top w:w="0" w:type="dxa"/>
            <w:left w:w="108" w:type="dxa"/>
            <w:bottom w:w="0" w:type="dxa"/>
            <w:right w:w="108" w:type="dxa"/>
          </w:tblCellMar>
        </w:tblPrEx>
        <w:trPr>
          <w:trHeight w:val="584" w:hRule="atLeast"/>
        </w:trPr>
        <w:tc>
          <w:tcPr>
            <w:tcW w:w="1268" w:type="dxa"/>
            <w:tcBorders>
              <w:top w:val="nil"/>
              <w:left w:val="single" w:color="auto" w:sz="4" w:space="0"/>
              <w:bottom w:val="single" w:color="auto" w:sz="4" w:space="0"/>
              <w:right w:val="single" w:color="auto" w:sz="4" w:space="0"/>
            </w:tcBorders>
            <w:vAlign w:val="center"/>
          </w:tcPr>
          <w:p w14:paraId="35B60E34">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w:t>
            </w:r>
          </w:p>
        </w:tc>
        <w:tc>
          <w:tcPr>
            <w:tcW w:w="2134" w:type="dxa"/>
            <w:tcBorders>
              <w:top w:val="nil"/>
              <w:left w:val="nil"/>
              <w:bottom w:val="single" w:color="auto" w:sz="4" w:space="0"/>
              <w:right w:val="single" w:color="auto" w:sz="4" w:space="0"/>
            </w:tcBorders>
            <w:vAlign w:val="center"/>
          </w:tcPr>
          <w:p w14:paraId="14058FC3">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注浆压力</w:t>
            </w:r>
          </w:p>
        </w:tc>
        <w:tc>
          <w:tcPr>
            <w:tcW w:w="5636" w:type="dxa"/>
            <w:tcBorders>
              <w:top w:val="nil"/>
              <w:left w:val="nil"/>
              <w:bottom w:val="single" w:color="auto" w:sz="4" w:space="0"/>
              <w:right w:val="single" w:color="auto" w:sz="4" w:space="0"/>
            </w:tcBorders>
            <w:vAlign w:val="center"/>
          </w:tcPr>
          <w:p w14:paraId="40BE2DC6">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在注浆过程中掌握好压力，根据回浆情况调整注浆压力。</w:t>
            </w:r>
          </w:p>
        </w:tc>
      </w:tr>
      <w:tr w14:paraId="331692EA">
        <w:tblPrEx>
          <w:tblCellMar>
            <w:top w:w="0" w:type="dxa"/>
            <w:left w:w="108" w:type="dxa"/>
            <w:bottom w:w="0" w:type="dxa"/>
            <w:right w:w="108" w:type="dxa"/>
          </w:tblCellMar>
        </w:tblPrEx>
        <w:trPr>
          <w:trHeight w:val="818" w:hRule="atLeast"/>
        </w:trPr>
        <w:tc>
          <w:tcPr>
            <w:tcW w:w="1268" w:type="dxa"/>
            <w:tcBorders>
              <w:top w:val="nil"/>
              <w:left w:val="single" w:color="auto" w:sz="4" w:space="0"/>
              <w:bottom w:val="single" w:color="auto" w:sz="4" w:space="0"/>
              <w:right w:val="single" w:color="auto" w:sz="4" w:space="0"/>
            </w:tcBorders>
            <w:vAlign w:val="center"/>
          </w:tcPr>
          <w:p w14:paraId="4F393DBC">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w:t>
            </w:r>
          </w:p>
        </w:tc>
        <w:tc>
          <w:tcPr>
            <w:tcW w:w="2134" w:type="dxa"/>
            <w:tcBorders>
              <w:top w:val="nil"/>
              <w:left w:val="nil"/>
              <w:bottom w:val="single" w:color="auto" w:sz="4" w:space="0"/>
              <w:right w:val="single" w:color="auto" w:sz="4" w:space="0"/>
            </w:tcBorders>
            <w:vAlign w:val="center"/>
          </w:tcPr>
          <w:p w14:paraId="59A61CA4">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异常处理</w:t>
            </w:r>
          </w:p>
        </w:tc>
        <w:tc>
          <w:tcPr>
            <w:tcW w:w="5636" w:type="dxa"/>
            <w:tcBorders>
              <w:top w:val="nil"/>
              <w:left w:val="nil"/>
              <w:bottom w:val="single" w:color="auto" w:sz="4" w:space="0"/>
              <w:right w:val="single" w:color="auto" w:sz="4" w:space="0"/>
            </w:tcBorders>
            <w:vAlign w:val="center"/>
          </w:tcPr>
          <w:p w14:paraId="6922948F">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注意设备运转情况，发现压力突然增大、注浆管突然跳动等异常情况，立即停机，检查处理。</w:t>
            </w:r>
          </w:p>
        </w:tc>
      </w:tr>
    </w:tbl>
    <w:p w14:paraId="4158793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371CFB5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14:paraId="6DC5CB0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14:paraId="057F157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14:paraId="65A8AEE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14:paraId="58C076E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14:paraId="0E2E955A">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14:paraId="43C5272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14:paraId="32A217D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14:paraId="11DB6A7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14:paraId="173EF2E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14:paraId="694D987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14:paraId="6C916B5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14:paraId="3D57019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14:paraId="49FA9AD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14:paraId="7061FBE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14:paraId="38483AC8">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512BE23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31D4227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28142EB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004BE26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104037D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2745D18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w:t>
      </w:r>
    </w:p>
    <w:p w14:paraId="562B123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1FAD580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146BD89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0C48498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14:paraId="3C1644E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14:paraId="0E36656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14:paraId="6788DC0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14:paraId="05CF446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14:paraId="0DC1F32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14:paraId="5C4600E1">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4113F16A">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683DC6D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16A751B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1EE9DB8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710FB91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5317393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27B00B2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442B38E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3BB06DB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7A9C5EB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74B1CEF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35EBC8E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735FEDC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2B8D048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4483E94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7CF1DAA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2A796A5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29E06D1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6963509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4B7773F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331DF80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2CD7144B">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09C938A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410A7FE9">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79F0220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072FDBD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789DD7A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6056BCC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3011E4B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5B8C930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5B8E6C3D">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2DA76CB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0E48B6E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66A28A3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0A82008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0F5389F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58EB8C0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58DBF94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173E825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007873E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66D30B1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265BF68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6A9EC68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5D7DDD4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381601C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709E608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176E31C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5B70198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三、安全风险辨识与管控措施</w:t>
      </w:r>
    </w:p>
    <w:p w14:paraId="3EAEDB9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（一）通用部分</w:t>
      </w:r>
    </w:p>
    <w:p w14:paraId="502CEF3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14:paraId="482122E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14:paraId="2CAD3F5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14:paraId="7FAE21A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14:paraId="28DB669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14:paraId="7B1666F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14:paraId="1B248C9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14:paraId="18FA693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14:paraId="220D49B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14:paraId="55A7BFE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75B22A5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14:paraId="09128E0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14:paraId="3261E68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14:paraId="634EEE6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14:paraId="511B500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14:paraId="605D2EC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D2D4CEA">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14:paraId="0D97FD2B">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14:paraId="76F6771E">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14:paraId="1EF72BF1">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14:paraId="1C5189F9">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14:paraId="276ED7CF">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14:paraId="67C00E40">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14:paraId="5D02BCC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61502D6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14:paraId="4B53EAF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14:paraId="103722AD">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14:paraId="160C7D99">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（4）一旦出现甲烷浓度超限，立即按照规定要求的撤人路线进行避灾。</w:t>
      </w:r>
    </w:p>
    <w:p w14:paraId="600338A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14:paraId="3EFBA48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5451ECB3">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14:paraId="0B1015DE">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14:paraId="6E4781F4">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14:paraId="7C7A1356">
      <w:pPr>
        <w:keepNext w:val="0"/>
        <w:keepLines w:val="0"/>
        <w:pageBreakBefore w:val="0"/>
        <w:widowControl w:val="0"/>
        <w:numPr>
          <w:ilvl w:val="0"/>
          <w:numId w:val="6"/>
        </w:numPr>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专用部分</w:t>
      </w:r>
    </w:p>
    <w:p w14:paraId="1D8FE568">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1.注浆前</w:t>
      </w:r>
    </w:p>
    <w:p w14:paraId="49732157">
      <w:pPr>
        <w:pStyle w:val="5"/>
        <w:keepNext w:val="0"/>
        <w:keepLines w:val="0"/>
        <w:pageBreakBefore w:val="0"/>
        <w:widowControl w:val="0"/>
        <w:numPr>
          <w:ilvl w:val="0"/>
          <w:numId w:val="7"/>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风险描述：注浆区域、注浆泵处顶帮不完好，存在漏顶、片帮伤人的风险。</w:t>
      </w:r>
    </w:p>
    <w:p w14:paraId="47B75A98">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03CD24A8">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①</w:t>
      </w:r>
      <w:r>
        <w:rPr>
          <w:rFonts w:hint="eastAsia" w:ascii="仿宋" w:hAnsi="仿宋" w:eastAsia="仿宋" w:cs="仿宋"/>
          <w:color w:val="auto"/>
          <w:sz w:val="28"/>
          <w:szCs w:val="28"/>
          <w:highlight w:val="none"/>
        </w:rPr>
        <w:t>进入施工地点后，首先使用</w:t>
      </w:r>
      <w:r>
        <w:rPr>
          <w:rFonts w:hint="eastAsia" w:ascii="仿宋" w:hAnsi="仿宋" w:eastAsia="仿宋" w:cs="仿宋"/>
          <w:color w:val="auto"/>
          <w:sz w:val="28"/>
          <w:szCs w:val="28"/>
          <w:highlight w:val="none"/>
          <w:lang w:eastAsia="zh-CN"/>
        </w:rPr>
        <w:t>敲帮问顶专用</w:t>
      </w:r>
      <w:r>
        <w:rPr>
          <w:rFonts w:hint="eastAsia" w:ascii="仿宋" w:hAnsi="仿宋" w:eastAsia="仿宋" w:cs="仿宋"/>
          <w:color w:val="auto"/>
          <w:sz w:val="28"/>
          <w:szCs w:val="28"/>
          <w:highlight w:val="none"/>
        </w:rPr>
        <w:t>工具对施工地点顶板及帮部进行敲帮问顶，找掉危岩活矸。敲帮问顶应从完好支护的地点开始，由外向里、自上而下、先顶部后两帮依次进行，敲帮问顶范围内严禁其他人员进入。</w:t>
      </w:r>
    </w:p>
    <w:p w14:paraId="7303E879">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②严格按照规程、措施要求，落实好支护措施。</w:t>
      </w:r>
    </w:p>
    <w:p w14:paraId="69E05B2E">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③</w:t>
      </w:r>
      <w:r>
        <w:rPr>
          <w:rFonts w:hint="eastAsia" w:ascii="仿宋" w:hAnsi="仿宋" w:eastAsia="仿宋" w:cs="仿宋"/>
          <w:color w:val="auto"/>
          <w:sz w:val="28"/>
          <w:szCs w:val="28"/>
          <w:highlight w:val="none"/>
        </w:rPr>
        <w:t>施工过程中</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随时</w:t>
      </w:r>
      <w:r>
        <w:rPr>
          <w:rFonts w:hint="eastAsia" w:ascii="仿宋" w:hAnsi="仿宋" w:eastAsia="仿宋" w:cs="仿宋"/>
          <w:color w:val="auto"/>
          <w:sz w:val="28"/>
          <w:szCs w:val="28"/>
          <w:highlight w:val="none"/>
        </w:rPr>
        <w:t>观察</w:t>
      </w:r>
      <w:r>
        <w:rPr>
          <w:rFonts w:hint="eastAsia" w:ascii="仿宋" w:hAnsi="仿宋" w:eastAsia="仿宋" w:cs="仿宋"/>
          <w:color w:val="auto"/>
          <w:sz w:val="28"/>
          <w:szCs w:val="28"/>
          <w:highlight w:val="none"/>
          <w:lang w:val="en-US" w:eastAsia="zh-CN"/>
        </w:rPr>
        <w:t>顶帮</w:t>
      </w:r>
      <w:r>
        <w:rPr>
          <w:rFonts w:hint="eastAsia" w:ascii="仿宋" w:hAnsi="仿宋" w:eastAsia="仿宋" w:cs="仿宋"/>
          <w:color w:val="auto"/>
          <w:sz w:val="28"/>
          <w:szCs w:val="28"/>
          <w:highlight w:val="none"/>
        </w:rPr>
        <w:t>，发现异常立即停止操作，进行处理</w:t>
      </w:r>
      <w:r>
        <w:rPr>
          <w:rFonts w:hint="eastAsia" w:ascii="仿宋" w:hAnsi="仿宋" w:eastAsia="仿宋" w:cs="仿宋"/>
          <w:color w:val="auto"/>
          <w:sz w:val="28"/>
          <w:szCs w:val="28"/>
          <w:highlight w:val="none"/>
          <w:lang w:eastAsia="zh-CN"/>
        </w:rPr>
        <w:t>。</w:t>
      </w:r>
    </w:p>
    <w:p w14:paraId="1BEE44A6">
      <w:pPr>
        <w:pStyle w:val="5"/>
        <w:keepNext w:val="0"/>
        <w:keepLines w:val="0"/>
        <w:pageBreakBefore w:val="0"/>
        <w:widowControl w:val="0"/>
        <w:numPr>
          <w:ilvl w:val="0"/>
          <w:numId w:val="7"/>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风险描述：施工区域通风不良，甲烷积聚，存在甲烷爆炸的风险。</w:t>
      </w:r>
    </w:p>
    <w:p w14:paraId="2677D14E">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499E67B5">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①施工前，由通防部门检查风量及甲烷状况，严禁风量不足、甲烷超限作业。</w:t>
      </w:r>
    </w:p>
    <w:p w14:paraId="2592DC66">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②施工时，在施工地点顶板悬挂便携仪，实时监测甲烷浓度。</w:t>
      </w:r>
    </w:p>
    <w:p w14:paraId="4F03E647">
      <w:pPr>
        <w:pStyle w:val="5"/>
        <w:keepNext w:val="0"/>
        <w:keepLines w:val="0"/>
        <w:pageBreakBefore w:val="0"/>
        <w:widowControl w:val="0"/>
        <w:numPr>
          <w:ilvl w:val="0"/>
          <w:numId w:val="7"/>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风险描述：注浆泵、管路连接不可靠，管路老化，存在管卡崩开、管路崩开伤人的风险。</w:t>
      </w:r>
    </w:p>
    <w:p w14:paraId="12CC4A4E">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625F9FF0">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①使用注浆泵等风动工具前，检查各管路“U”型和管路完好情况。</w:t>
      </w:r>
    </w:p>
    <w:p w14:paraId="14743F92">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②及时检查备用管路完好情况，严禁使用老化的管路。</w:t>
      </w:r>
    </w:p>
    <w:p w14:paraId="5D138879">
      <w:pPr>
        <w:pStyle w:val="5"/>
        <w:keepNext w:val="0"/>
        <w:keepLines w:val="0"/>
        <w:pageBreakBefore w:val="0"/>
        <w:widowControl w:val="0"/>
        <w:numPr>
          <w:ilvl w:val="0"/>
          <w:numId w:val="7"/>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风险描述：注浆泵、注浆区域5m范围内有人，存在高压浆液伤人的风险。</w:t>
      </w:r>
    </w:p>
    <w:p w14:paraId="5EFAB48D">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4BAE1D73">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①注浆作业前，确认注浆泵、注浆区域5m范围内有无闲杂人员，严禁人员逗留。</w:t>
      </w:r>
    </w:p>
    <w:p w14:paraId="4B926A1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②在注浆泵、注浆区域前后5m位置处设置防护栏和“正在施工、严禁入内”警示牌板，防止人员进入施工区域。</w:t>
      </w:r>
    </w:p>
    <w:p w14:paraId="778910AC">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2.注浆过程中</w:t>
      </w:r>
    </w:p>
    <w:p w14:paraId="778BC877">
      <w:pPr>
        <w:pStyle w:val="5"/>
        <w:keepNext w:val="0"/>
        <w:keepLines w:val="0"/>
        <w:pageBreakBefore w:val="0"/>
        <w:widowControl w:val="0"/>
        <w:numPr>
          <w:ilvl w:val="0"/>
          <w:numId w:val="8"/>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风险描述：人员站位不当，靠近注浆泵、管路，存在管路崩开伤人的风险</w:t>
      </w:r>
    </w:p>
    <w:p w14:paraId="18150DF5">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14:paraId="0CB35D7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①注浆前，检查好管路完好情况及连接情况，严禁不规范使用“U”型卡和使用老化的管路。</w:t>
      </w:r>
    </w:p>
    <w:p w14:paraId="1DD7E1D7">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②随时观察注浆情况，发现突发情况，立即停机处理。</w:t>
      </w:r>
    </w:p>
    <w:p w14:paraId="2E53FBBE">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3.注浆后</w:t>
      </w:r>
    </w:p>
    <w:p w14:paraId="60BDFE21">
      <w:pPr>
        <w:pStyle w:val="5"/>
        <w:keepNext w:val="0"/>
        <w:keepLines w:val="0"/>
        <w:pageBreakBefore w:val="0"/>
        <w:widowControl w:val="0"/>
        <w:numPr>
          <w:ilvl w:val="0"/>
          <w:numId w:val="9"/>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风险描述：注浆完成后，未提前对管路卸压，导致高压浆液崩伤人员。</w:t>
      </w:r>
    </w:p>
    <w:p w14:paraId="6F429ADB">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14:paraId="308E423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注浆完成后，先停风、再停机，随后对管路进行卸压，方可拆卸管路。</w:t>
      </w:r>
    </w:p>
    <w:p w14:paraId="326AAF68">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、注浆前检查</w:t>
      </w:r>
    </w:p>
    <w:p w14:paraId="69F3E63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注浆泵处顶帮支护：</w:t>
      </w:r>
    </w:p>
    <w:p w14:paraId="3E65F16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注浆泵附近顶帮支护完好，无冒顶、漏矸、片帮。</w:t>
      </w:r>
    </w:p>
    <w:p w14:paraId="3AE5425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注浆区顶帮支护：</w:t>
      </w:r>
    </w:p>
    <w:p w14:paraId="0217422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注浆区域内顶帮支护完好，无冒顶、漏矸、片帮。</w:t>
      </w:r>
    </w:p>
    <w:p w14:paraId="53E6909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通风、</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w:t>
      </w:r>
    </w:p>
    <w:p w14:paraId="63B7D41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通风正常，风量满足要求，注浆地点20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rPr>
        <w:t>范围内风流中甲烷浓度&lt;</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w:t>
      </w:r>
    </w:p>
    <w:p w14:paraId="590FCF3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注浆泵、管路连接：</w:t>
      </w:r>
    </w:p>
    <w:p w14:paraId="6DF3513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注浆前必须对注浆泵完好程度进行检查，保证注浆泵完好才能注浆；检查注浆管路完好程度，及注浆管与注浆锚杆连接牢固，注浆泵与注浆管连接牢固。</w:t>
      </w:r>
    </w:p>
    <w:p w14:paraId="2599649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注浆处附近5m范围内无闲杂人员：</w:t>
      </w:r>
    </w:p>
    <w:p w14:paraId="47C7B64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检查注浆处附近5</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rPr>
        <w:t>范围内无闲杂人员，并悬挂正在注浆严禁入内牌板。</w:t>
      </w:r>
    </w:p>
    <w:p w14:paraId="3C5D6616">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、注浆工正规操作</w:t>
      </w:r>
    </w:p>
    <w:p w14:paraId="77CB7DF9">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（一）注浆工操作顺序：</w:t>
      </w:r>
    </w:p>
    <w:p w14:paraId="5E7B2C1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调整水量、水泥、速凝剂比例，搅拌均匀→连接注浆泵与注浆锚杆→开风、开机→正常注浆→停风、停机</w:t>
      </w:r>
      <w:r>
        <w:rPr>
          <w:rFonts w:hint="eastAsia" w:ascii="仿宋" w:hAnsi="仿宋" w:eastAsia="仿宋" w:cs="仿宋"/>
          <w:color w:val="auto"/>
          <w:sz w:val="28"/>
          <w:szCs w:val="28"/>
          <w:highlight w:val="none"/>
          <w:lang w:eastAsia="zh-CN"/>
        </w:rPr>
        <w:t>。</w:t>
      </w:r>
    </w:p>
    <w:p w14:paraId="54CF60E5">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（二）喷浆支护工正规操作：</w:t>
      </w:r>
    </w:p>
    <w:p w14:paraId="1B1F77A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调整水量、水泥、添加剂比例，搅拌均匀：</w:t>
      </w:r>
    </w:p>
    <w:p w14:paraId="610215B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注浆前将注浆料按比例搅拌、混合均匀。</w:t>
      </w:r>
    </w:p>
    <w:p w14:paraId="52EFCE3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连接注浆泵与注浆锚杆：</w:t>
      </w:r>
    </w:p>
    <w:p w14:paraId="3E193CC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使用注浆管路将注浆泵与注浆锚杆连接牢固，检查注浆锚杆与注浆管路接头处连接及管卡固定情况。</w:t>
      </w:r>
    </w:p>
    <w:p w14:paraId="3ADCFCB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开风、开机：</w:t>
      </w:r>
    </w:p>
    <w:p w14:paraId="389762B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先开风将注浆管内杂物吹净，然后开启注浆泵风截门。</w:t>
      </w:r>
    </w:p>
    <w:p w14:paraId="2EC5CCF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正常注浆：</w:t>
      </w:r>
    </w:p>
    <w:p w14:paraId="7B183AA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开始正常注浆。</w:t>
      </w:r>
    </w:p>
    <w:p w14:paraId="11E84A3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停风、停机：</w:t>
      </w:r>
    </w:p>
    <w:p w14:paraId="6C7F5F2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注浆结束时，按先停风后停机的顺序操作，停风后及时将注浆管内余压卸载，再停止注浆泵风截门。</w:t>
      </w:r>
    </w:p>
    <w:p w14:paraId="23A332D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站位：注浆时，不要在高压胶管附近停留。</w:t>
      </w:r>
    </w:p>
    <w:p w14:paraId="7D5E406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一听、两看：听机器运转声音；看回浆情况，看管路连接情况，发现异常及时处理</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听异响：听</w:t>
      </w:r>
      <w:r>
        <w:rPr>
          <w:rFonts w:hint="eastAsia" w:ascii="仿宋" w:hAnsi="仿宋" w:eastAsia="仿宋" w:cs="仿宋"/>
          <w:color w:val="auto"/>
          <w:sz w:val="28"/>
          <w:szCs w:val="28"/>
          <w:highlight w:val="none"/>
          <w:lang w:eastAsia="zh-CN"/>
        </w:rPr>
        <w:t>注</w:t>
      </w:r>
      <w:r>
        <w:rPr>
          <w:rFonts w:hint="eastAsia" w:ascii="仿宋" w:hAnsi="仿宋" w:eastAsia="仿宋" w:cs="仿宋"/>
          <w:color w:val="auto"/>
          <w:sz w:val="28"/>
          <w:szCs w:val="28"/>
          <w:highlight w:val="none"/>
        </w:rPr>
        <w:t>浆机异常声音</w:t>
      </w:r>
      <w:r>
        <w:rPr>
          <w:rFonts w:hint="eastAsia" w:ascii="仿宋" w:hAnsi="仿宋" w:eastAsia="仿宋" w:cs="仿宋"/>
          <w:color w:val="auto"/>
          <w:sz w:val="28"/>
          <w:szCs w:val="28"/>
          <w:highlight w:val="none"/>
          <w:lang w:eastAsia="zh-CN"/>
        </w:rPr>
        <w:t>。</w:t>
      </w:r>
    </w:p>
    <w:p w14:paraId="0ACF11E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注浆压力：必须站在支护完好位置，负责喷浆照明人员必须站在喷浆人员侧后面</w:t>
      </w:r>
      <w:r>
        <w:rPr>
          <w:rFonts w:hint="eastAsia" w:ascii="仿宋" w:hAnsi="仿宋" w:eastAsia="仿宋" w:cs="仿宋"/>
          <w:color w:val="auto"/>
          <w:sz w:val="28"/>
          <w:szCs w:val="28"/>
          <w:highlight w:val="none"/>
          <w:lang w:eastAsia="zh-CN"/>
        </w:rPr>
        <w:t>。</w:t>
      </w:r>
    </w:p>
    <w:p w14:paraId="5B50B67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异常处理：注意设备运转情况，发现压力突然增大、注浆管突然跳动等异常情况，立即停机，检查处理。</w:t>
      </w:r>
    </w:p>
    <w:p w14:paraId="0458E246">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六、全部注意事项</w:t>
      </w:r>
    </w:p>
    <w:p w14:paraId="10BF8FD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不得使用凝结、失效的水泥及添加剂。</w:t>
      </w:r>
    </w:p>
    <w:p w14:paraId="3F67A47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2.注浆泵运转时，严禁手或工具放入注浆桶内。</w:t>
      </w:r>
    </w:p>
    <w:p w14:paraId="4D8BDB9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注浆时，如发生堵塞、停风等故障时，应立即关闭水门，将注浆泵主风截门；处理堵管时，采用清水冲洗注浆管路；注浆区5m范围内严禁闲杂人员进入。</w:t>
      </w:r>
    </w:p>
    <w:p w14:paraId="114E724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有下列情况之一的必须立即停止作业，进行处理：</w:t>
      </w:r>
    </w:p>
    <w:p w14:paraId="67B1D32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(1)注浆过程中，发生注浆管路管路堵塞、停风等故障时。</w:t>
      </w:r>
    </w:p>
    <w:p w14:paraId="48CB55C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(2)有冒顶、片帮或透水预兆时。</w:t>
      </w:r>
    </w:p>
    <w:p w14:paraId="778CDCE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(3)发现注浆泵内部异常震动、声响和异味，或零部件损坏时。</w:t>
      </w:r>
    </w:p>
    <w:p w14:paraId="475E13E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(4)施工地点无风或风量不足。</w:t>
      </w:r>
    </w:p>
    <w:p w14:paraId="056D60A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(5)注浆泵压力表突然上升或下降，摆动异常时。</w:t>
      </w:r>
    </w:p>
    <w:p w14:paraId="4C49AF5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注浆时严格执行除尘及降尘措施，注浆人员要佩戴防尘口罩、手套、眼镜等。</w:t>
      </w:r>
    </w:p>
    <w:p w14:paraId="5F7629A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注浆时必须先给风，再开机；停喷时，要先停风，后停机</w:t>
      </w:r>
      <w:r>
        <w:rPr>
          <w:rFonts w:hint="eastAsia" w:ascii="仿宋" w:hAnsi="仿宋" w:eastAsia="仿宋" w:cs="仿宋"/>
          <w:color w:val="auto"/>
          <w:sz w:val="28"/>
          <w:szCs w:val="28"/>
          <w:highlight w:val="none"/>
          <w:lang w:eastAsia="zh-CN"/>
        </w:rPr>
        <w:t>。</w:t>
      </w:r>
    </w:p>
    <w:p w14:paraId="52C007D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w:t>
      </w:r>
    </w:p>
    <w:p w14:paraId="36E7A09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(1)注浆时注浆压力表到达注浆压力时及时停止注浆。</w:t>
      </w:r>
    </w:p>
    <w:p w14:paraId="2906B8E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(2)应配两人，一人持观察注浆情况，一人负责注浆泵及注浆桶看护。</w:t>
      </w:r>
    </w:p>
    <w:p w14:paraId="283F5AE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一次注浆达不到注浆要求时，应分次注浆，但注浆间隔时间不得超过0.5小时。</w:t>
      </w:r>
    </w:p>
    <w:p w14:paraId="69E5058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每班注浆后，将控制开关手把置于零位，将注浆泵及注浆管路、注浆桶使用清水冲洗干净，搞好作业地点文明生产；按规定进行交接班，向接班人员交待清楚当班存在问题、注意事项，填写注浆记录。</w:t>
      </w:r>
    </w:p>
    <w:p w14:paraId="1E415A3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七、停机后确认</w:t>
      </w:r>
    </w:p>
    <w:p w14:paraId="02A9423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1.停机、停风：</w:t>
      </w:r>
    </w:p>
    <w:p w14:paraId="34EC428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注浆结束时，按先停风、后停机的顺序操作。</w:t>
      </w:r>
    </w:p>
    <w:p w14:paraId="75726A6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2.注浆质量：</w:t>
      </w:r>
    </w:p>
    <w:p w14:paraId="1CA825D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注浆时达到注浆压力表额定注浆压力（3.5兆帕），且无漏浆等问题。</w:t>
      </w:r>
    </w:p>
    <w:p w14:paraId="3EBA4E4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3.注浆管余压：</w:t>
      </w:r>
    </w:p>
    <w:p w14:paraId="0493B04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将注浆管路内余压通过卸载截门卸载。</w:t>
      </w:r>
    </w:p>
    <w:p w14:paraId="7D97978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4.注浆设备内外清理：</w:t>
      </w:r>
    </w:p>
    <w:p w14:paraId="4B870F2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使用清水清理注浆泵、注浆桶、注浆管路内外灰浆。</w:t>
      </w:r>
    </w:p>
    <w:p w14:paraId="4AF89161">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八、注浆泵单元检查表：</w:t>
      </w:r>
    </w:p>
    <w:p w14:paraId="5FAAB43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（1）主风截止阀、压力表：</w:t>
      </w:r>
    </w:p>
    <w:p w14:paraId="74453FC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主风截止阀关闭，压力表显示为零。</w:t>
      </w:r>
    </w:p>
    <w:p w14:paraId="73E35C5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（2）油位</w:t>
      </w:r>
    </w:p>
    <w:p w14:paraId="7546099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注浆泵内油位符合规定要求。</w:t>
      </w:r>
    </w:p>
    <w:p w14:paraId="23A2320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（3）吸浆口、出浆口：</w:t>
      </w:r>
    </w:p>
    <w:p w14:paraId="4D0D0CB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吸浆口、出浆口畅通无堵塞问题。</w:t>
      </w:r>
    </w:p>
    <w:p w14:paraId="5057A33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（4）机体位置</w:t>
      </w:r>
    </w:p>
    <w:p w14:paraId="4639A2C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检查注浆泵安放位置是否平稳牢固，宜安设在平巷内。</w:t>
      </w:r>
    </w:p>
    <w:p w14:paraId="555BED0B">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九、</w:t>
      </w:r>
      <w:r>
        <w:rPr>
          <w:rFonts w:hint="eastAsia" w:ascii="仿宋" w:hAnsi="仿宋" w:eastAsia="仿宋" w:cs="仿宋"/>
          <w:b/>
          <w:color w:val="auto"/>
          <w:sz w:val="28"/>
          <w:szCs w:val="28"/>
          <w:highlight w:val="none"/>
        </w:rPr>
        <w:t>事故案例教育</w:t>
      </w:r>
    </w:p>
    <w:p w14:paraId="7E191041">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注浆管开焊伤人事故分析报告（管路设施维护不到位）</w:t>
      </w:r>
    </w:p>
    <w:p w14:paraId="487CBC8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一、事故经过：</w:t>
      </w:r>
    </w:p>
    <w:p w14:paraId="21C979D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12日2日早班6：30通风工区书记张振武主持召开了班前会，对1210下顺密闭注浆工作进行了安排。员工孙兴勤、王耀章到达注浆现场完成准备工作后，孙兴勤打电话到注浆站要求注浆，并看护密闭，王耀章顺着注浆管路巡查管路。约8：15左右巷修工区、开拓队早班人员走到集中皮带联络巷三岔口处，发现左帮管路跑浆，巷修工区葛仁军安排陈勇去关阀门，这时正在集中下车场电话处的通风工区技术员孙伟成立即通知注浆站停止注浆，并回头与陈勇一起去关阀门。走到此处的早班人员巷修工区姜荣旺、遇恒俊、崔积顺、郭纯民、开拓队员工刘悦领、郗超学到对侧躲避，同时巷修工区夜班人员孙行强、马宝朋将一辆矸石车推到停车位置并掩好车，正在这时，集中皮带联络巷风门外拐弯处注浆管接头突然开焊，注浆管路断开后打在姜荣旺右腿上，将其打倒，头部磕在道轨上，其他人员也被浆液喷到身上。</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上早班人员张士民立即组织人员进行抢救，并将受伤人员送上井。经医院检查姜荣旺右小腿骨折、颅底骨折。</w:t>
      </w:r>
    </w:p>
    <w:p w14:paraId="12871F2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二、事故原因：</w:t>
      </w:r>
    </w:p>
    <w:p w14:paraId="1CD067C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注浆管路拐弯处管口开焊，是事故发生的直接原因。</w:t>
      </w:r>
    </w:p>
    <w:p w14:paraId="407F3D7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通风工区注浆期间对注浆管路的巡检检查不到位，对老化锈蚀严重的注浆管路隐患没有及时发现、及时处理，是造成这次事故的重要原因</w:t>
      </w:r>
      <w:r>
        <w:rPr>
          <w:rFonts w:hint="eastAsia" w:ascii="仿宋" w:hAnsi="仿宋" w:eastAsia="仿宋" w:cs="仿宋"/>
          <w:color w:val="auto"/>
          <w:sz w:val="28"/>
          <w:szCs w:val="28"/>
          <w:lang w:eastAsia="zh-CN"/>
        </w:rPr>
        <w:t>。</w:t>
      </w:r>
    </w:p>
    <w:p w14:paraId="32199E5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事故发生时，正是交接班期间，该区域人员流动量大，并且左侧注浆管路跑浆，人员到右侧躲避，是造成这次事故的一个原因</w:t>
      </w:r>
      <w:r>
        <w:rPr>
          <w:rFonts w:hint="eastAsia" w:ascii="仿宋" w:hAnsi="仿宋" w:eastAsia="仿宋" w:cs="仿宋"/>
          <w:color w:val="auto"/>
          <w:sz w:val="28"/>
          <w:szCs w:val="28"/>
          <w:lang w:eastAsia="zh-CN"/>
        </w:rPr>
        <w:t>。</w:t>
      </w:r>
    </w:p>
    <w:p w14:paraId="382713F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通风工区注浆过程中采取的卸压措施落实不到位，是造成这次事故的一个原因。</w:t>
      </w:r>
    </w:p>
    <w:p w14:paraId="0536906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三、防范措施：</w:t>
      </w:r>
    </w:p>
    <w:p w14:paraId="3B8AEE3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要认真吸取此次事故教训，举一反三，在全矿立即开展注浆、压风、供水管路、压力容器隐患排查工作，所有管理使用上述管路和容器的单位，重点是通风工区、机电二区、机电一区及采掘各单位，对井下各个地点的注浆管、风水管、压力容器等进行普查，对排查出的年久失修、锈蚀老化的管路，要立即停止使用进行维修。</w:t>
      </w:r>
    </w:p>
    <w:p w14:paraId="1BF9130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通风工区严禁在交接班人员流动量大期间进行注浆，注浆时要加大巡检力度，分区域设专人，并于巷口、道岔设立注浆警示标牌，注浆管要采取加固措施，尤其是管路弯头、接口处、弯管、过路管必须逐节固定牢固。</w:t>
      </w:r>
    </w:p>
    <w:p w14:paraId="215A52F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下井人员在通过注浆区域时，须与该区域注浆巡检人员联系，在保证的安全的情况下才可通过或由巡检人员的带领下方可通过。</w:t>
      </w:r>
    </w:p>
    <w:p w14:paraId="185F2B0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下井管路接头处都要采取两面焊接的方式，必须保证能够承压6.5MP以上；下井前的管路要严格进行承压测试，测试不合格的管路严禁下井；井下循环使用的管路也要进行承压测试，否则不准使用。机电科要制定专门的管理规定。</w:t>
      </w:r>
    </w:p>
    <w:p w14:paraId="41E0F22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全矿上下要认真吸取此次事故教训，加强安全形势任务宣传教育，切实引导员工提高对安全工作的认知程度，切实加强员工的安全教育，要牢固树立不安全不生产、先安全后生产、隐患不排除不生产的意识，真正把“安全第一”的思想落到实处。</w:t>
      </w:r>
    </w:p>
    <w:p w14:paraId="06D95A2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各单位要进一步加强班前会的会议质量，加强各类安全隐患人物排查，对安全重点工作要重点强调，进一步强化责任，落实到人。</w:t>
      </w:r>
    </w:p>
    <w:p w14:paraId="675BD46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各单位要认真吸取事故教训，加强一通三防、顶板管理、放炮管理、火工品管理、提升运输、员工行为规范等方面安全管理，进一步提高对安全工作重要性的认识，认真抓好各单位的安全工作，确保实现安全年。</w:t>
      </w:r>
    </w:p>
    <w:p w14:paraId="49E553F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bookmarkStart w:id="141" w:name="_Toc16156"/>
      <w:bookmarkStart w:id="142" w:name="_Toc19599"/>
      <w:bookmarkStart w:id="143" w:name="_Toc6962"/>
      <w:bookmarkStart w:id="144" w:name="_Toc18640"/>
      <w:bookmarkStart w:id="145" w:name="_Toc28126"/>
      <w:r>
        <w:rPr>
          <w:rFonts w:hint="eastAsia" w:ascii="仿宋" w:hAnsi="仿宋" w:eastAsia="仿宋" w:cs="仿宋"/>
          <w:b/>
          <w:color w:val="auto"/>
          <w:sz w:val="28"/>
          <w:szCs w:val="28"/>
          <w:highlight w:val="none"/>
          <w:lang w:eastAsia="zh-CN"/>
        </w:rPr>
        <w:t>十</w:t>
      </w:r>
      <w:r>
        <w:rPr>
          <w:rFonts w:hint="eastAsia" w:ascii="仿宋" w:hAnsi="仿宋" w:eastAsia="仿宋" w:cs="仿宋"/>
          <w:b/>
          <w:color w:val="auto"/>
          <w:sz w:val="28"/>
          <w:szCs w:val="28"/>
          <w:highlight w:val="none"/>
        </w:rPr>
        <w:t>、常见三违</w:t>
      </w:r>
    </w:p>
    <w:p w14:paraId="698AD43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注浆泵运行时将手或其他物体伸入注浆桶内的；</w:t>
      </w:r>
    </w:p>
    <w:p w14:paraId="2537908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未按顺序开、停机的；</w:t>
      </w:r>
    </w:p>
    <w:p w14:paraId="0DF15F5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注浆管路连接不合格的；</w:t>
      </w:r>
    </w:p>
    <w:p w14:paraId="4E553986">
      <w:pPr>
        <w:keepNext w:val="0"/>
        <w:keepLines w:val="0"/>
        <w:pageBreakBefore w:val="0"/>
        <w:widowControl w:val="0"/>
        <w:tabs>
          <w:tab w:val="left" w:pos="8607"/>
        </w:tabs>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注浆或处理注浆管路堵塞时注浆区范围内有闲杂人员的；</w:t>
      </w:r>
    </w:p>
    <w:p w14:paraId="249F25D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b/>
          <w:bCs/>
          <w:color w:val="auto"/>
          <w:kern w:val="0"/>
          <w:sz w:val="36"/>
          <w:szCs w:val="36"/>
          <w:highlight w:val="none"/>
          <w:lang w:val="en-US"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注浆质量不符合规定要求的</w:t>
      </w:r>
      <w:r>
        <w:rPr>
          <w:rFonts w:hint="eastAsia" w:ascii="仿宋" w:hAnsi="仿宋" w:eastAsia="仿宋" w:cs="仿宋"/>
          <w:color w:val="auto"/>
          <w:sz w:val="28"/>
          <w:szCs w:val="28"/>
          <w:highlight w:val="none"/>
          <w:lang w:eastAsia="zh-CN"/>
        </w:rPr>
        <w:t>。</w:t>
      </w:r>
    </w:p>
    <w:p w14:paraId="5CC3C89A">
      <w:pPr>
        <w:rPr>
          <w:rFonts w:hint="eastAsia" w:ascii="仿宋" w:hAnsi="仿宋" w:eastAsia="仿宋" w:cs="仿宋"/>
          <w:b/>
          <w:bCs/>
          <w:color w:val="auto"/>
          <w:kern w:val="0"/>
          <w:sz w:val="36"/>
          <w:szCs w:val="36"/>
          <w:highlight w:val="none"/>
          <w:lang w:val="en-US" w:eastAsia="zh-CN"/>
        </w:rPr>
      </w:pPr>
      <w:bookmarkStart w:id="146" w:name="_Toc22946"/>
      <w:bookmarkStart w:id="147" w:name="_Toc17521"/>
      <w:r>
        <w:rPr>
          <w:rFonts w:hint="eastAsia" w:ascii="仿宋" w:hAnsi="仿宋" w:eastAsia="仿宋" w:cs="仿宋"/>
          <w:b/>
          <w:bCs/>
          <w:color w:val="auto"/>
          <w:kern w:val="0"/>
          <w:sz w:val="36"/>
          <w:szCs w:val="36"/>
          <w:highlight w:val="none"/>
          <w:lang w:val="en-US" w:eastAsia="zh-CN"/>
        </w:rPr>
        <w:br w:type="page"/>
      </w:r>
    </w:p>
    <w:p w14:paraId="048DF68A">
      <w:pPr>
        <w:keepNext w:val="0"/>
        <w:keepLines w:val="0"/>
        <w:pageBreakBefore w:val="0"/>
        <w:kinsoku/>
        <w:wordWrap/>
        <w:overflowPunct/>
        <w:topLinePunct w:val="0"/>
        <w:bidi w:val="0"/>
        <w:spacing w:before="312" w:beforeLines="100" w:after="312" w:afterLines="100" w:line="240" w:lineRule="auto"/>
        <w:ind w:firstLine="3614" w:firstLineChars="1000"/>
        <w:jc w:val="both"/>
        <w:outlineLvl w:val="1"/>
        <w:rPr>
          <w:rFonts w:hint="eastAsia" w:ascii="仿宋" w:hAnsi="仿宋" w:eastAsia="仿宋" w:cs="仿宋"/>
          <w:b/>
          <w:bCs/>
          <w:color w:val="auto"/>
          <w:sz w:val="36"/>
          <w:szCs w:val="36"/>
          <w:highlight w:val="none"/>
          <w:lang w:val="en-US" w:eastAsia="zh-CN"/>
        </w:rPr>
      </w:pPr>
      <w:bookmarkStart w:id="148" w:name="_Toc11247"/>
      <w:r>
        <w:rPr>
          <w:rFonts w:hint="eastAsia" w:ascii="仿宋" w:hAnsi="仿宋" w:eastAsia="仿宋" w:cs="仿宋"/>
          <w:b/>
          <w:bCs/>
          <w:color w:val="auto"/>
          <w:kern w:val="0"/>
          <w:sz w:val="36"/>
          <w:szCs w:val="36"/>
          <w:highlight w:val="none"/>
          <w:lang w:val="en-US" w:eastAsia="zh-CN"/>
        </w:rPr>
        <w:t>掘进支护工</w:t>
      </w:r>
      <w:bookmarkEnd w:id="141"/>
      <w:bookmarkEnd w:id="142"/>
      <w:bookmarkEnd w:id="143"/>
      <w:bookmarkEnd w:id="144"/>
      <w:bookmarkEnd w:id="145"/>
      <w:bookmarkEnd w:id="146"/>
      <w:bookmarkEnd w:id="147"/>
      <w:bookmarkEnd w:id="148"/>
    </w:p>
    <w:tbl>
      <w:tblPr>
        <w:tblStyle w:val="12"/>
        <w:tblW w:w="8878" w:type="dxa"/>
        <w:tblInd w:w="93" w:type="dxa"/>
        <w:tblLayout w:type="fixed"/>
        <w:tblCellMar>
          <w:top w:w="0" w:type="dxa"/>
          <w:left w:w="108" w:type="dxa"/>
          <w:bottom w:w="0" w:type="dxa"/>
          <w:right w:w="108" w:type="dxa"/>
        </w:tblCellMar>
      </w:tblPr>
      <w:tblGrid>
        <w:gridCol w:w="793"/>
        <w:gridCol w:w="3288"/>
        <w:gridCol w:w="852"/>
        <w:gridCol w:w="3945"/>
      </w:tblGrid>
      <w:tr w14:paraId="00822442">
        <w:tblPrEx>
          <w:tblCellMar>
            <w:top w:w="0" w:type="dxa"/>
            <w:left w:w="108" w:type="dxa"/>
            <w:bottom w:w="0" w:type="dxa"/>
            <w:right w:w="108" w:type="dxa"/>
          </w:tblCellMar>
        </w:tblPrEx>
        <w:trPr>
          <w:trHeight w:val="804" w:hRule="atLeast"/>
        </w:trPr>
        <w:tc>
          <w:tcPr>
            <w:tcW w:w="8878" w:type="dxa"/>
            <w:gridSpan w:val="4"/>
            <w:tcBorders>
              <w:top w:val="single" w:color="auto" w:sz="4" w:space="0"/>
              <w:left w:val="single" w:color="auto" w:sz="4" w:space="0"/>
              <w:bottom w:val="single" w:color="auto" w:sz="4" w:space="0"/>
              <w:right w:val="single" w:color="auto" w:sz="4" w:space="0"/>
            </w:tcBorders>
            <w:vAlign w:val="center"/>
          </w:tcPr>
          <w:p w14:paraId="66977C4E">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支护工岗位</w:t>
            </w:r>
            <w:r>
              <w:rPr>
                <w:rFonts w:hint="eastAsia" w:ascii="仿宋" w:hAnsi="仿宋" w:eastAsia="仿宋" w:cs="仿宋"/>
                <w:color w:val="auto"/>
                <w:kern w:val="0"/>
                <w:sz w:val="21"/>
                <w:szCs w:val="21"/>
                <w:highlight w:val="none"/>
                <w:lang w:val="en-US" w:eastAsia="zh-CN"/>
              </w:rPr>
              <w:t>安全</w:t>
            </w:r>
            <w:r>
              <w:rPr>
                <w:rFonts w:hint="eastAsia" w:ascii="仿宋" w:hAnsi="仿宋" w:eastAsia="仿宋" w:cs="仿宋"/>
                <w:color w:val="auto"/>
                <w:kern w:val="0"/>
                <w:sz w:val="21"/>
                <w:szCs w:val="21"/>
                <w:highlight w:val="none"/>
              </w:rPr>
              <w:t>风险告知卡</w:t>
            </w:r>
          </w:p>
        </w:tc>
      </w:tr>
      <w:tr w14:paraId="250AD492">
        <w:tblPrEx>
          <w:tblCellMar>
            <w:top w:w="0" w:type="dxa"/>
            <w:left w:w="108" w:type="dxa"/>
            <w:bottom w:w="0" w:type="dxa"/>
            <w:right w:w="108" w:type="dxa"/>
          </w:tblCellMar>
        </w:tblPrEx>
        <w:trPr>
          <w:trHeight w:val="1340" w:hRule="atLeast"/>
        </w:trPr>
        <w:tc>
          <w:tcPr>
            <w:tcW w:w="793" w:type="dxa"/>
            <w:tcBorders>
              <w:top w:val="nil"/>
              <w:left w:val="single" w:color="auto" w:sz="4" w:space="0"/>
              <w:bottom w:val="single" w:color="auto" w:sz="4" w:space="0"/>
              <w:right w:val="single" w:color="auto" w:sz="4" w:space="0"/>
            </w:tcBorders>
            <w:vAlign w:val="center"/>
          </w:tcPr>
          <w:p w14:paraId="3744BC90">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3288" w:type="dxa"/>
            <w:tcBorders>
              <w:top w:val="nil"/>
              <w:left w:val="nil"/>
              <w:bottom w:val="single" w:color="auto" w:sz="4" w:space="0"/>
              <w:right w:val="single" w:color="auto" w:sz="4" w:space="0"/>
            </w:tcBorders>
            <w:vAlign w:val="center"/>
          </w:tcPr>
          <w:p w14:paraId="1EB2756E">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冒顶（片帮）、机械伤害、职业病危害</w:t>
            </w:r>
          </w:p>
        </w:tc>
        <w:tc>
          <w:tcPr>
            <w:tcW w:w="852" w:type="dxa"/>
            <w:tcBorders>
              <w:top w:val="nil"/>
              <w:left w:val="nil"/>
              <w:bottom w:val="single" w:color="auto" w:sz="4" w:space="0"/>
              <w:right w:val="single" w:color="auto" w:sz="4" w:space="0"/>
            </w:tcBorders>
            <w:vAlign w:val="center"/>
          </w:tcPr>
          <w:p w14:paraId="0BFAE63B">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故</w:t>
            </w:r>
          </w:p>
          <w:p w14:paraId="785B8E3B">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报</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告</w:t>
            </w:r>
          </w:p>
        </w:tc>
        <w:tc>
          <w:tcPr>
            <w:tcW w:w="3945" w:type="dxa"/>
            <w:tcBorders>
              <w:top w:val="nil"/>
              <w:left w:val="nil"/>
              <w:bottom w:val="single" w:color="auto" w:sz="4" w:space="0"/>
              <w:right w:val="single" w:color="auto" w:sz="4" w:space="0"/>
            </w:tcBorders>
            <w:vAlign w:val="center"/>
          </w:tcPr>
          <w:p w14:paraId="7FCCAF8F">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eastAsia="zh-CN"/>
              </w:rPr>
              <w:t>调度室：8650200、8650202、“#”</w:t>
            </w:r>
          </w:p>
          <w:p w14:paraId="4AF9A3C3">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650807</w:t>
            </w:r>
          </w:p>
          <w:p w14:paraId="606F7587">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7BD3D050">
        <w:tblPrEx>
          <w:tblCellMar>
            <w:top w:w="0" w:type="dxa"/>
            <w:left w:w="108" w:type="dxa"/>
            <w:bottom w:w="0" w:type="dxa"/>
            <w:right w:w="108" w:type="dxa"/>
          </w:tblCellMar>
        </w:tblPrEx>
        <w:trPr>
          <w:trHeight w:val="608"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14:paraId="4966C3DC">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797" w:type="dxa"/>
            <w:gridSpan w:val="2"/>
            <w:tcBorders>
              <w:top w:val="single" w:color="auto" w:sz="4" w:space="0"/>
              <w:left w:val="nil"/>
              <w:bottom w:val="single" w:color="auto" w:sz="4" w:space="0"/>
              <w:right w:val="single" w:color="auto" w:sz="4" w:space="0"/>
            </w:tcBorders>
            <w:vAlign w:val="center"/>
          </w:tcPr>
          <w:p w14:paraId="36822CFD">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14:paraId="08696569">
        <w:tblPrEx>
          <w:tblCellMar>
            <w:top w:w="0" w:type="dxa"/>
            <w:left w:w="108" w:type="dxa"/>
            <w:bottom w:w="0" w:type="dxa"/>
            <w:right w:w="108" w:type="dxa"/>
          </w:tblCellMar>
        </w:tblPrEx>
        <w:trPr>
          <w:trHeight w:val="607"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14:paraId="17434A9F">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1.不执行敲帮问顶制度；支护不及时，支护质量不合格</w:t>
            </w:r>
            <w:r>
              <w:rPr>
                <w:rFonts w:hint="eastAsia" w:ascii="仿宋" w:hAnsi="仿宋" w:eastAsia="仿宋" w:cs="仿宋"/>
                <w:color w:val="auto"/>
                <w:kern w:val="0"/>
                <w:sz w:val="21"/>
                <w:szCs w:val="21"/>
                <w:highlight w:val="none"/>
                <w:lang w:eastAsia="zh-CN"/>
              </w:rPr>
              <w:t>。</w:t>
            </w:r>
          </w:p>
        </w:tc>
        <w:tc>
          <w:tcPr>
            <w:tcW w:w="4797" w:type="dxa"/>
            <w:gridSpan w:val="2"/>
            <w:tcBorders>
              <w:top w:val="single" w:color="auto" w:sz="4" w:space="0"/>
              <w:left w:val="nil"/>
              <w:bottom w:val="single" w:color="auto" w:sz="4" w:space="0"/>
              <w:right w:val="single" w:color="auto" w:sz="4" w:space="0"/>
            </w:tcBorders>
            <w:vAlign w:val="center"/>
          </w:tcPr>
          <w:p w14:paraId="5C199DEC">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1.严格执行敲帮问顶制度；严禁空顶作业，保证后退路畅通</w:t>
            </w:r>
            <w:r>
              <w:rPr>
                <w:rFonts w:hint="eastAsia" w:ascii="仿宋" w:hAnsi="仿宋" w:eastAsia="仿宋" w:cs="仿宋"/>
                <w:color w:val="auto"/>
                <w:kern w:val="0"/>
                <w:sz w:val="21"/>
                <w:szCs w:val="21"/>
                <w:highlight w:val="none"/>
                <w:lang w:eastAsia="zh-CN"/>
              </w:rPr>
              <w:t>。</w:t>
            </w:r>
          </w:p>
        </w:tc>
      </w:tr>
      <w:tr w14:paraId="66B5CC6E">
        <w:tblPrEx>
          <w:tblCellMar>
            <w:top w:w="0" w:type="dxa"/>
            <w:left w:w="108" w:type="dxa"/>
            <w:bottom w:w="0" w:type="dxa"/>
            <w:right w:w="108" w:type="dxa"/>
          </w:tblCellMar>
        </w:tblPrEx>
        <w:trPr>
          <w:trHeight w:val="438"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14:paraId="05F6D301">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2.干打眼，未采取防尘措施</w:t>
            </w:r>
            <w:r>
              <w:rPr>
                <w:rFonts w:hint="eastAsia" w:ascii="仿宋" w:hAnsi="仿宋" w:eastAsia="仿宋" w:cs="仿宋"/>
                <w:color w:val="auto"/>
                <w:kern w:val="0"/>
                <w:sz w:val="21"/>
                <w:szCs w:val="21"/>
                <w:highlight w:val="none"/>
                <w:lang w:eastAsia="zh-CN"/>
              </w:rPr>
              <w:t>。</w:t>
            </w:r>
          </w:p>
        </w:tc>
        <w:tc>
          <w:tcPr>
            <w:tcW w:w="4797" w:type="dxa"/>
            <w:gridSpan w:val="2"/>
            <w:tcBorders>
              <w:top w:val="single" w:color="auto" w:sz="4" w:space="0"/>
              <w:left w:val="nil"/>
              <w:bottom w:val="single" w:color="auto" w:sz="4" w:space="0"/>
              <w:right w:val="single" w:color="auto" w:sz="4" w:space="0"/>
            </w:tcBorders>
            <w:vAlign w:val="center"/>
          </w:tcPr>
          <w:p w14:paraId="6F730B1C">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2.湿式打眼，严禁干打眼</w:t>
            </w:r>
            <w:r>
              <w:rPr>
                <w:rFonts w:hint="eastAsia" w:ascii="仿宋" w:hAnsi="仿宋" w:eastAsia="仿宋" w:cs="仿宋"/>
                <w:color w:val="auto"/>
                <w:kern w:val="0"/>
                <w:sz w:val="21"/>
                <w:szCs w:val="21"/>
                <w:highlight w:val="none"/>
                <w:lang w:eastAsia="zh-CN"/>
              </w:rPr>
              <w:t>。</w:t>
            </w:r>
          </w:p>
        </w:tc>
      </w:tr>
      <w:tr w14:paraId="2116FAEA">
        <w:tblPrEx>
          <w:tblCellMar>
            <w:top w:w="0" w:type="dxa"/>
            <w:left w:w="108" w:type="dxa"/>
            <w:bottom w:w="0" w:type="dxa"/>
            <w:right w:w="108" w:type="dxa"/>
          </w:tblCellMar>
        </w:tblPrEx>
        <w:trPr>
          <w:trHeight w:val="1078"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14:paraId="70DF70BA">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3.钻机及管路连接不完好；断钎、掉钎伤人；转动部位伤人</w:t>
            </w:r>
            <w:r>
              <w:rPr>
                <w:rFonts w:hint="eastAsia" w:ascii="仿宋" w:hAnsi="仿宋" w:eastAsia="仿宋" w:cs="仿宋"/>
                <w:color w:val="auto"/>
                <w:kern w:val="0"/>
                <w:sz w:val="21"/>
                <w:szCs w:val="21"/>
                <w:highlight w:val="none"/>
                <w:lang w:eastAsia="zh-CN"/>
              </w:rPr>
              <w:t>。</w:t>
            </w:r>
          </w:p>
        </w:tc>
        <w:tc>
          <w:tcPr>
            <w:tcW w:w="4797" w:type="dxa"/>
            <w:gridSpan w:val="2"/>
            <w:tcBorders>
              <w:top w:val="single" w:color="auto" w:sz="4" w:space="0"/>
              <w:left w:val="nil"/>
              <w:bottom w:val="single" w:color="auto" w:sz="4" w:space="0"/>
              <w:right w:val="single" w:color="auto" w:sz="4" w:space="0"/>
            </w:tcBorders>
            <w:vAlign w:val="center"/>
          </w:tcPr>
          <w:p w14:paraId="565F3A3D">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3.作业前检查钻机及管路连接是否完好；操作者站在操作臂长度以外，分腿站立保持平衡；打眼期间不要戴手套，不要把毛巾露在衣领外。</w:t>
            </w:r>
          </w:p>
        </w:tc>
      </w:tr>
      <w:tr w14:paraId="3F45EAB0">
        <w:tblPrEx>
          <w:tblCellMar>
            <w:top w:w="0" w:type="dxa"/>
            <w:left w:w="108" w:type="dxa"/>
            <w:bottom w:w="0" w:type="dxa"/>
            <w:right w:w="108" w:type="dxa"/>
          </w:tblCellMar>
        </w:tblPrEx>
        <w:trPr>
          <w:trHeight w:val="465"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14:paraId="7D970751">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4.误触碰风煤钻至其转动伤人</w:t>
            </w:r>
            <w:r>
              <w:rPr>
                <w:rFonts w:hint="eastAsia" w:ascii="仿宋" w:hAnsi="仿宋" w:eastAsia="仿宋" w:cs="仿宋"/>
                <w:color w:val="auto"/>
                <w:kern w:val="0"/>
                <w:sz w:val="21"/>
                <w:szCs w:val="21"/>
                <w:highlight w:val="none"/>
                <w:lang w:eastAsia="zh-CN"/>
              </w:rPr>
              <w:t>。</w:t>
            </w:r>
          </w:p>
        </w:tc>
        <w:tc>
          <w:tcPr>
            <w:tcW w:w="4797" w:type="dxa"/>
            <w:gridSpan w:val="2"/>
            <w:tcBorders>
              <w:top w:val="single" w:color="auto" w:sz="4" w:space="0"/>
              <w:left w:val="nil"/>
              <w:bottom w:val="single" w:color="auto" w:sz="4" w:space="0"/>
              <w:right w:val="single" w:color="auto" w:sz="4" w:space="0"/>
            </w:tcBorders>
            <w:vAlign w:val="center"/>
          </w:tcPr>
          <w:p w14:paraId="1B2FF3AE">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4.风煤钻停用必须关风、放风。</w:t>
            </w:r>
          </w:p>
        </w:tc>
      </w:tr>
      <w:tr w14:paraId="08330B0D">
        <w:tblPrEx>
          <w:tblCellMar>
            <w:top w:w="0" w:type="dxa"/>
            <w:left w:w="108" w:type="dxa"/>
            <w:bottom w:w="0" w:type="dxa"/>
            <w:right w:w="108" w:type="dxa"/>
          </w:tblCellMar>
        </w:tblPrEx>
        <w:trPr>
          <w:trHeight w:val="710"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14:paraId="40AF353A">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5.未执行“三紧两不要”规定；防护用品佩戴不齐全。</w:t>
            </w:r>
          </w:p>
        </w:tc>
        <w:tc>
          <w:tcPr>
            <w:tcW w:w="4797" w:type="dxa"/>
            <w:gridSpan w:val="2"/>
            <w:tcBorders>
              <w:top w:val="single" w:color="auto" w:sz="4" w:space="0"/>
              <w:left w:val="nil"/>
              <w:bottom w:val="single" w:color="auto" w:sz="4" w:space="0"/>
              <w:right w:val="single" w:color="auto" w:sz="4" w:space="0"/>
            </w:tcBorders>
            <w:vAlign w:val="center"/>
          </w:tcPr>
          <w:p w14:paraId="3F783257">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5.严格执行“三紧两不要”规定；佩戴好防尘口罩等劳保用品。</w:t>
            </w:r>
          </w:p>
        </w:tc>
      </w:tr>
      <w:tr w14:paraId="22ABF1C8">
        <w:tblPrEx>
          <w:tblCellMar>
            <w:top w:w="0" w:type="dxa"/>
            <w:left w:w="108" w:type="dxa"/>
            <w:bottom w:w="0" w:type="dxa"/>
            <w:right w:w="108" w:type="dxa"/>
          </w:tblCellMar>
        </w:tblPrEx>
        <w:trPr>
          <w:trHeight w:val="1056" w:hRule="atLeast"/>
        </w:trPr>
        <w:tc>
          <w:tcPr>
            <w:tcW w:w="793" w:type="dxa"/>
            <w:tcBorders>
              <w:top w:val="nil"/>
              <w:left w:val="single" w:color="auto" w:sz="4" w:space="0"/>
              <w:bottom w:val="single" w:color="auto" w:sz="4" w:space="0"/>
              <w:right w:val="single" w:color="auto" w:sz="4" w:space="0"/>
            </w:tcBorders>
            <w:vAlign w:val="center"/>
          </w:tcPr>
          <w:p w14:paraId="49021D20">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41A6A978">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085" w:type="dxa"/>
            <w:gridSpan w:val="3"/>
            <w:tcBorders>
              <w:top w:val="single" w:color="auto" w:sz="4" w:space="0"/>
              <w:left w:val="nil"/>
              <w:bottom w:val="single" w:color="auto" w:sz="4" w:space="0"/>
              <w:right w:val="single" w:color="auto" w:sz="4" w:space="0"/>
            </w:tcBorders>
            <w:vAlign w:val="center"/>
          </w:tcPr>
          <w:p w14:paraId="67C6F53D">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328D1EB3">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716D6462">
        <w:tblPrEx>
          <w:tblCellMar>
            <w:top w:w="0" w:type="dxa"/>
            <w:left w:w="108" w:type="dxa"/>
            <w:bottom w:w="0" w:type="dxa"/>
            <w:right w:w="108" w:type="dxa"/>
          </w:tblCellMar>
        </w:tblPrEx>
        <w:trPr>
          <w:trHeight w:val="1493" w:hRule="atLeast"/>
        </w:trPr>
        <w:tc>
          <w:tcPr>
            <w:tcW w:w="793" w:type="dxa"/>
            <w:tcBorders>
              <w:top w:val="nil"/>
              <w:left w:val="single" w:color="auto" w:sz="4" w:space="0"/>
              <w:bottom w:val="single" w:color="auto" w:sz="4" w:space="0"/>
              <w:right w:val="single" w:color="auto" w:sz="4" w:space="0"/>
            </w:tcBorders>
            <w:vAlign w:val="center"/>
          </w:tcPr>
          <w:p w14:paraId="33D5835F">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施</w:t>
            </w:r>
          </w:p>
        </w:tc>
        <w:tc>
          <w:tcPr>
            <w:tcW w:w="8085" w:type="dxa"/>
            <w:gridSpan w:val="3"/>
            <w:tcBorders>
              <w:top w:val="single" w:color="auto" w:sz="4" w:space="0"/>
              <w:left w:val="nil"/>
              <w:bottom w:val="single" w:color="auto" w:sz="4" w:space="0"/>
              <w:right w:val="single" w:color="auto" w:sz="4" w:space="0"/>
            </w:tcBorders>
            <w:vAlign w:val="center"/>
          </w:tcPr>
          <w:p w14:paraId="71ED55F6">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1.出现紧急情况时，应立即停止工作。</w:t>
            </w:r>
          </w:p>
          <w:p w14:paraId="59ABF299">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32E91257">
      <w:pPr>
        <w:keepNext w:val="0"/>
        <w:keepLines w:val="0"/>
        <w:pageBreakBefore w:val="0"/>
        <w:kinsoku/>
        <w:wordWrap/>
        <w:overflowPunct/>
        <w:topLinePunct w:val="0"/>
        <w:autoSpaceDE/>
        <w:autoSpaceDN/>
        <w:bidi w:val="0"/>
        <w:adjustRightInd/>
        <w:jc w:val="center"/>
        <w:textAlignment w:val="auto"/>
        <w:outlineLvl w:val="9"/>
        <w:rPr>
          <w:rFonts w:hint="eastAsia" w:ascii="仿宋" w:hAnsi="仿宋" w:eastAsia="仿宋" w:cs="仿宋"/>
          <w:b/>
          <w:bCs w:val="0"/>
          <w:color w:val="auto"/>
          <w:sz w:val="21"/>
          <w:szCs w:val="21"/>
          <w:highlight w:val="none"/>
        </w:rPr>
      </w:pPr>
    </w:p>
    <w:p w14:paraId="68F449D7">
      <w:pPr>
        <w:keepNext w:val="0"/>
        <w:keepLines w:val="0"/>
        <w:pageBreakBefore w:val="0"/>
        <w:kinsoku/>
        <w:wordWrap/>
        <w:overflowPunct/>
        <w:topLinePunct w:val="0"/>
        <w:autoSpaceDE/>
        <w:autoSpaceDN/>
        <w:bidi w:val="0"/>
        <w:adjustRightInd/>
        <w:jc w:val="center"/>
        <w:textAlignment w:val="auto"/>
        <w:outlineLvl w:val="9"/>
        <w:rPr>
          <w:color w:val="auto"/>
        </w:rPr>
      </w:pPr>
      <w:r>
        <w:rPr>
          <w:rFonts w:hint="eastAsia" w:ascii="仿宋" w:hAnsi="仿宋" w:eastAsia="仿宋" w:cs="仿宋"/>
          <w:b/>
          <w:bCs w:val="0"/>
          <w:color w:val="auto"/>
          <w:sz w:val="21"/>
          <w:szCs w:val="21"/>
          <w:highlight w:val="none"/>
        </w:rPr>
        <w:t>掘进支护工安全提示（手指口述）卡</w:t>
      </w:r>
    </w:p>
    <w:tbl>
      <w:tblPr>
        <w:tblStyle w:val="12"/>
        <w:tblW w:w="8883" w:type="dxa"/>
        <w:tblInd w:w="88" w:type="dxa"/>
        <w:tblLayout w:type="fixed"/>
        <w:tblCellMar>
          <w:top w:w="0" w:type="dxa"/>
          <w:left w:w="108" w:type="dxa"/>
          <w:bottom w:w="0" w:type="dxa"/>
          <w:right w:w="108" w:type="dxa"/>
        </w:tblCellMar>
      </w:tblPr>
      <w:tblGrid>
        <w:gridCol w:w="3"/>
        <w:gridCol w:w="821"/>
        <w:gridCol w:w="1114"/>
        <w:gridCol w:w="3356"/>
        <w:gridCol w:w="3589"/>
      </w:tblGrid>
      <w:tr w14:paraId="3D7F6987">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14:paraId="782D7917">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支护前检查</w:t>
            </w:r>
          </w:p>
        </w:tc>
        <w:tc>
          <w:tcPr>
            <w:tcW w:w="3589" w:type="dxa"/>
            <w:tcBorders>
              <w:top w:val="single" w:color="auto" w:sz="4" w:space="0"/>
              <w:left w:val="single" w:color="auto" w:sz="4" w:space="0"/>
              <w:bottom w:val="single" w:color="auto" w:sz="4" w:space="0"/>
              <w:right w:val="single" w:color="auto" w:sz="4" w:space="0"/>
            </w:tcBorders>
            <w:vAlign w:val="center"/>
          </w:tcPr>
          <w:p w14:paraId="7C579B66">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bidi="ar-SA"/>
              </w:rPr>
            </w:pPr>
            <w:r>
              <w:rPr>
                <w:rFonts w:hint="eastAsia" w:ascii="仿宋" w:hAnsi="仿宋" w:eastAsia="仿宋" w:cs="仿宋"/>
                <w:b w:val="0"/>
                <w:bCs/>
                <w:color w:val="auto"/>
                <w:kern w:val="0"/>
                <w:sz w:val="21"/>
                <w:szCs w:val="21"/>
                <w:highlight w:val="none"/>
              </w:rPr>
              <w:t>支护后确认</w:t>
            </w:r>
          </w:p>
        </w:tc>
      </w:tr>
      <w:tr w14:paraId="66170E24">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14:paraId="666E84E9">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★1.顶帮</w:t>
            </w:r>
          </w:p>
        </w:tc>
        <w:tc>
          <w:tcPr>
            <w:tcW w:w="3589" w:type="dxa"/>
            <w:tcBorders>
              <w:top w:val="single" w:color="auto" w:sz="4" w:space="0"/>
              <w:left w:val="single" w:color="auto" w:sz="4" w:space="0"/>
              <w:bottom w:val="single" w:color="auto" w:sz="4" w:space="0"/>
              <w:right w:val="single" w:color="auto" w:sz="4" w:space="0"/>
            </w:tcBorders>
            <w:vAlign w:val="center"/>
          </w:tcPr>
          <w:p w14:paraId="36F157EF">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bidi="ar-SA"/>
              </w:rPr>
            </w:pPr>
            <w:r>
              <w:rPr>
                <w:rFonts w:hint="eastAsia" w:ascii="仿宋" w:hAnsi="仿宋" w:eastAsia="仿宋" w:cs="仿宋"/>
                <w:b w:val="0"/>
                <w:bCs/>
                <w:color w:val="auto"/>
                <w:kern w:val="0"/>
                <w:sz w:val="21"/>
                <w:szCs w:val="21"/>
                <w:highlight w:val="none"/>
              </w:rPr>
              <w:t>1.停水、风</w:t>
            </w:r>
          </w:p>
        </w:tc>
      </w:tr>
      <w:tr w14:paraId="1251EC38">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14:paraId="20151979">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eastAsia="zh-CN"/>
              </w:rPr>
            </w:pPr>
            <w:r>
              <w:rPr>
                <w:rFonts w:hint="eastAsia" w:ascii="仿宋" w:hAnsi="仿宋" w:eastAsia="仿宋" w:cs="仿宋"/>
                <w:b w:val="0"/>
                <w:bCs/>
                <w:color w:val="auto"/>
                <w:kern w:val="0"/>
                <w:sz w:val="21"/>
                <w:szCs w:val="21"/>
                <w:highlight w:val="none"/>
              </w:rPr>
              <w:t>2.通风、</w:t>
            </w:r>
            <w:r>
              <w:rPr>
                <w:rFonts w:hint="eastAsia" w:ascii="仿宋" w:hAnsi="仿宋" w:eastAsia="仿宋" w:cs="仿宋"/>
                <w:b w:val="0"/>
                <w:bCs/>
                <w:color w:val="auto"/>
                <w:kern w:val="0"/>
                <w:sz w:val="21"/>
                <w:szCs w:val="21"/>
                <w:highlight w:val="none"/>
                <w:lang w:eastAsia="zh-CN"/>
              </w:rPr>
              <w:t>甲烷</w:t>
            </w:r>
          </w:p>
        </w:tc>
        <w:tc>
          <w:tcPr>
            <w:tcW w:w="3589" w:type="dxa"/>
            <w:tcBorders>
              <w:top w:val="single" w:color="auto" w:sz="4" w:space="0"/>
              <w:left w:val="single" w:color="auto" w:sz="4" w:space="0"/>
              <w:bottom w:val="single" w:color="auto" w:sz="4" w:space="0"/>
              <w:right w:val="single" w:color="auto" w:sz="4" w:space="0"/>
            </w:tcBorders>
            <w:vAlign w:val="center"/>
          </w:tcPr>
          <w:p w14:paraId="6173E44B">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bidi="ar-SA"/>
              </w:rPr>
            </w:pPr>
            <w:r>
              <w:rPr>
                <w:rFonts w:hint="eastAsia" w:ascii="仿宋" w:hAnsi="仿宋" w:eastAsia="仿宋" w:cs="仿宋"/>
                <w:b w:val="0"/>
                <w:bCs/>
                <w:color w:val="auto"/>
                <w:kern w:val="0"/>
                <w:sz w:val="21"/>
                <w:szCs w:val="21"/>
                <w:highlight w:val="none"/>
              </w:rPr>
              <w:t>★2.支护质量</w:t>
            </w:r>
          </w:p>
        </w:tc>
      </w:tr>
      <w:tr w14:paraId="2D479A81">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14:paraId="1B9AB11E">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3.风水管、钻具</w:t>
            </w:r>
          </w:p>
        </w:tc>
        <w:tc>
          <w:tcPr>
            <w:tcW w:w="3589" w:type="dxa"/>
            <w:tcBorders>
              <w:top w:val="single" w:color="auto" w:sz="4" w:space="0"/>
              <w:left w:val="single" w:color="auto" w:sz="4" w:space="0"/>
              <w:bottom w:val="single" w:color="auto" w:sz="4" w:space="0"/>
              <w:right w:val="single" w:color="auto" w:sz="4" w:space="0"/>
            </w:tcBorders>
            <w:vAlign w:val="center"/>
          </w:tcPr>
          <w:p w14:paraId="501C5D5B">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bidi="ar-SA"/>
              </w:rPr>
            </w:pPr>
            <w:r>
              <w:rPr>
                <w:rFonts w:hint="eastAsia" w:ascii="仿宋" w:hAnsi="仿宋" w:eastAsia="仿宋" w:cs="仿宋"/>
                <w:b w:val="0"/>
                <w:bCs/>
                <w:color w:val="auto"/>
                <w:kern w:val="0"/>
                <w:sz w:val="21"/>
                <w:szCs w:val="21"/>
                <w:highlight w:val="none"/>
              </w:rPr>
              <w:t>3.钻具、风水管</w:t>
            </w:r>
          </w:p>
        </w:tc>
      </w:tr>
      <w:tr w14:paraId="1FB04470">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14:paraId="1634350A">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4.口罩、耳塞</w:t>
            </w:r>
          </w:p>
        </w:tc>
        <w:tc>
          <w:tcPr>
            <w:tcW w:w="3589" w:type="dxa"/>
            <w:tcBorders>
              <w:top w:val="single" w:color="auto" w:sz="4" w:space="0"/>
              <w:left w:val="single" w:color="auto" w:sz="4" w:space="0"/>
              <w:bottom w:val="single" w:color="auto" w:sz="4" w:space="0"/>
              <w:right w:val="single" w:color="auto" w:sz="4" w:space="0"/>
            </w:tcBorders>
            <w:vAlign w:val="center"/>
          </w:tcPr>
          <w:p w14:paraId="45522A4F">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p>
        </w:tc>
      </w:tr>
      <w:tr w14:paraId="59E98D42">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14:paraId="217CDA99">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w:t>
            </w:r>
            <w:r>
              <w:rPr>
                <w:rFonts w:hint="eastAsia" w:ascii="仿宋" w:hAnsi="仿宋" w:eastAsia="仿宋" w:cs="仿宋"/>
                <w:b w:val="0"/>
                <w:bCs/>
                <w:color w:val="auto"/>
                <w:kern w:val="0"/>
                <w:sz w:val="21"/>
                <w:szCs w:val="21"/>
                <w:highlight w:val="none"/>
                <w:lang w:val="en-US" w:eastAsia="zh-CN"/>
              </w:rPr>
              <w:t>5</w:t>
            </w:r>
            <w:r>
              <w:rPr>
                <w:rFonts w:hint="eastAsia" w:ascii="仿宋" w:hAnsi="仿宋" w:eastAsia="仿宋" w:cs="仿宋"/>
                <w:b w:val="0"/>
                <w:bCs/>
                <w:color w:val="auto"/>
                <w:kern w:val="0"/>
                <w:sz w:val="21"/>
                <w:szCs w:val="21"/>
                <w:highlight w:val="none"/>
              </w:rPr>
              <w:t>.站位、后退路</w:t>
            </w:r>
          </w:p>
        </w:tc>
        <w:tc>
          <w:tcPr>
            <w:tcW w:w="3589" w:type="dxa"/>
            <w:tcBorders>
              <w:top w:val="single" w:color="auto" w:sz="4" w:space="0"/>
              <w:left w:val="nil"/>
              <w:bottom w:val="single" w:color="auto" w:sz="4" w:space="0"/>
              <w:right w:val="single" w:color="auto" w:sz="4" w:space="0"/>
            </w:tcBorders>
            <w:vAlign w:val="bottom"/>
          </w:tcPr>
          <w:p w14:paraId="37C29030">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p>
        </w:tc>
      </w:tr>
      <w:tr w14:paraId="575D86D6">
        <w:tblPrEx>
          <w:tblCellMar>
            <w:top w:w="0" w:type="dxa"/>
            <w:left w:w="108" w:type="dxa"/>
            <w:bottom w:w="0" w:type="dxa"/>
            <w:right w:w="108" w:type="dxa"/>
          </w:tblCellMar>
        </w:tblPrEx>
        <w:trPr>
          <w:gridBefore w:val="1"/>
          <w:wBefore w:w="3" w:type="dxa"/>
          <w:trHeight w:val="909" w:hRule="atLeast"/>
        </w:trPr>
        <w:tc>
          <w:tcPr>
            <w:tcW w:w="8880" w:type="dxa"/>
            <w:gridSpan w:val="4"/>
            <w:tcBorders>
              <w:top w:val="single" w:color="auto" w:sz="4" w:space="0"/>
              <w:left w:val="single" w:color="auto" w:sz="4" w:space="0"/>
              <w:bottom w:val="single" w:color="auto" w:sz="4" w:space="0"/>
              <w:right w:val="single" w:color="auto" w:sz="4" w:space="0"/>
            </w:tcBorders>
            <w:vAlign w:val="center"/>
          </w:tcPr>
          <w:p w14:paraId="468669B4">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rPr>
            </w:pPr>
            <w:r>
              <w:rPr>
                <w:rFonts w:hint="eastAsia" w:ascii="仿宋" w:hAnsi="仿宋" w:eastAsia="仿宋" w:cs="仿宋"/>
                <w:b w:val="0"/>
                <w:bCs/>
                <w:color w:val="auto"/>
                <w:kern w:val="0"/>
                <w:sz w:val="21"/>
                <w:szCs w:val="21"/>
                <w:highlight w:val="none"/>
              </w:rPr>
              <w:t>手指口述：第一次按支护前内容逐项检查并口述确认，存在问题整改后再确认；中间再次操作只检查带“★”部分；全部支护完成后按支护后确认内容逐项检查并口述确认。</w:t>
            </w:r>
          </w:p>
        </w:tc>
      </w:tr>
      <w:tr w14:paraId="7ABFAA1B">
        <w:tblPrEx>
          <w:tblCellMar>
            <w:top w:w="0" w:type="dxa"/>
            <w:left w:w="108" w:type="dxa"/>
            <w:bottom w:w="0" w:type="dxa"/>
            <w:right w:w="108" w:type="dxa"/>
          </w:tblCellMar>
        </w:tblPrEx>
        <w:trPr>
          <w:trHeight w:val="645" w:hRule="atLeast"/>
        </w:trPr>
        <w:tc>
          <w:tcPr>
            <w:tcW w:w="8883" w:type="dxa"/>
            <w:gridSpan w:val="5"/>
            <w:tcBorders>
              <w:top w:val="single" w:color="auto" w:sz="4" w:space="0"/>
              <w:left w:val="single" w:color="auto" w:sz="4" w:space="0"/>
              <w:bottom w:val="single" w:color="auto" w:sz="4" w:space="0"/>
              <w:right w:val="single" w:color="auto" w:sz="4" w:space="0"/>
            </w:tcBorders>
            <w:vAlign w:val="center"/>
          </w:tcPr>
          <w:p w14:paraId="55F1A689">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val="0"/>
                <w:color w:val="auto"/>
                <w:sz w:val="21"/>
                <w:szCs w:val="21"/>
                <w:highlight w:val="none"/>
              </w:rPr>
              <w:t>锚网索支护工操作过程中注意事项</w:t>
            </w:r>
          </w:p>
        </w:tc>
      </w:tr>
      <w:tr w14:paraId="63B175FB">
        <w:tblPrEx>
          <w:tblCellMar>
            <w:top w:w="0" w:type="dxa"/>
            <w:left w:w="108" w:type="dxa"/>
            <w:bottom w:w="0" w:type="dxa"/>
            <w:right w:w="108" w:type="dxa"/>
          </w:tblCellMar>
        </w:tblPrEx>
        <w:trPr>
          <w:trHeight w:val="645" w:hRule="atLeast"/>
        </w:trPr>
        <w:tc>
          <w:tcPr>
            <w:tcW w:w="824" w:type="dxa"/>
            <w:gridSpan w:val="2"/>
            <w:tcBorders>
              <w:top w:val="single" w:color="auto" w:sz="4" w:space="0"/>
              <w:left w:val="single" w:color="auto" w:sz="4" w:space="0"/>
              <w:bottom w:val="single" w:color="auto" w:sz="4" w:space="0"/>
              <w:right w:val="single" w:color="auto" w:sz="4" w:space="0"/>
            </w:tcBorders>
            <w:vAlign w:val="center"/>
          </w:tcPr>
          <w:p w14:paraId="6529EE4B">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操作</w:t>
            </w:r>
          </w:p>
          <w:p w14:paraId="116DD78A">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顺序</w:t>
            </w:r>
          </w:p>
        </w:tc>
        <w:tc>
          <w:tcPr>
            <w:tcW w:w="1114" w:type="dxa"/>
            <w:tcBorders>
              <w:top w:val="single" w:color="auto" w:sz="4" w:space="0"/>
              <w:left w:val="nil"/>
              <w:bottom w:val="single" w:color="auto" w:sz="4" w:space="0"/>
              <w:right w:val="single" w:color="auto" w:sz="4" w:space="0"/>
            </w:tcBorders>
            <w:vAlign w:val="center"/>
          </w:tcPr>
          <w:p w14:paraId="35048627">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提示词</w:t>
            </w:r>
          </w:p>
        </w:tc>
        <w:tc>
          <w:tcPr>
            <w:tcW w:w="6945" w:type="dxa"/>
            <w:gridSpan w:val="2"/>
            <w:tcBorders>
              <w:top w:val="single" w:color="auto" w:sz="4" w:space="0"/>
              <w:left w:val="nil"/>
              <w:bottom w:val="single" w:color="auto" w:sz="4" w:space="0"/>
              <w:right w:val="single" w:color="auto" w:sz="4" w:space="0"/>
            </w:tcBorders>
            <w:vAlign w:val="center"/>
          </w:tcPr>
          <w:p w14:paraId="0FA14FFE">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操作注意事项解释</w:t>
            </w:r>
          </w:p>
        </w:tc>
      </w:tr>
      <w:tr w14:paraId="2C346DDE">
        <w:tblPrEx>
          <w:tblCellMar>
            <w:top w:w="0" w:type="dxa"/>
            <w:left w:w="108" w:type="dxa"/>
            <w:bottom w:w="0" w:type="dxa"/>
            <w:right w:w="108" w:type="dxa"/>
          </w:tblCellMar>
        </w:tblPrEx>
        <w:trPr>
          <w:trHeight w:val="327" w:hRule="atLeast"/>
        </w:trPr>
        <w:tc>
          <w:tcPr>
            <w:tcW w:w="824" w:type="dxa"/>
            <w:gridSpan w:val="2"/>
            <w:vMerge w:val="restart"/>
            <w:tcBorders>
              <w:top w:val="nil"/>
              <w:left w:val="single" w:color="auto" w:sz="4" w:space="0"/>
              <w:bottom w:val="single" w:color="auto" w:sz="4" w:space="0"/>
              <w:right w:val="single" w:color="auto" w:sz="4" w:space="0"/>
            </w:tcBorders>
            <w:vAlign w:val="center"/>
          </w:tcPr>
          <w:p w14:paraId="55DC79B3">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联网</w:t>
            </w:r>
          </w:p>
        </w:tc>
        <w:tc>
          <w:tcPr>
            <w:tcW w:w="1114" w:type="dxa"/>
            <w:tcBorders>
              <w:top w:val="nil"/>
              <w:left w:val="nil"/>
              <w:bottom w:val="single" w:color="auto" w:sz="4" w:space="0"/>
              <w:right w:val="single" w:color="auto" w:sz="4" w:space="0"/>
            </w:tcBorders>
            <w:vAlign w:val="center"/>
          </w:tcPr>
          <w:p w14:paraId="5DBC1D6C">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看顶帮</w:t>
            </w:r>
          </w:p>
        </w:tc>
        <w:tc>
          <w:tcPr>
            <w:tcW w:w="6945" w:type="dxa"/>
            <w:gridSpan w:val="2"/>
            <w:tcBorders>
              <w:top w:val="nil"/>
              <w:left w:val="nil"/>
              <w:bottom w:val="single" w:color="auto" w:sz="4" w:space="0"/>
              <w:right w:val="single" w:color="auto" w:sz="4" w:space="0"/>
            </w:tcBorders>
            <w:vAlign w:val="center"/>
          </w:tcPr>
          <w:p w14:paraId="0726A61F">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顶、帮是否有悬矸危岩、临时支护</w:t>
            </w:r>
            <w:r>
              <w:rPr>
                <w:rFonts w:hint="eastAsia" w:ascii="仿宋" w:hAnsi="仿宋" w:eastAsia="仿宋" w:cs="仿宋"/>
                <w:color w:val="auto"/>
                <w:kern w:val="0"/>
                <w:sz w:val="21"/>
                <w:szCs w:val="21"/>
                <w:highlight w:val="none"/>
                <w:lang w:eastAsia="zh-CN"/>
              </w:rPr>
              <w:t>。</w:t>
            </w:r>
          </w:p>
        </w:tc>
      </w:tr>
      <w:tr w14:paraId="00DBFFD2">
        <w:tblPrEx>
          <w:tblCellMar>
            <w:top w:w="0" w:type="dxa"/>
            <w:left w:w="108" w:type="dxa"/>
            <w:bottom w:w="0" w:type="dxa"/>
            <w:right w:w="108" w:type="dxa"/>
          </w:tblCellMar>
        </w:tblPrEx>
        <w:trPr>
          <w:trHeight w:val="327" w:hRule="atLeast"/>
        </w:trPr>
        <w:tc>
          <w:tcPr>
            <w:tcW w:w="824" w:type="dxa"/>
            <w:gridSpan w:val="2"/>
            <w:vMerge w:val="continue"/>
            <w:tcBorders>
              <w:top w:val="nil"/>
              <w:left w:val="single" w:color="auto" w:sz="4" w:space="0"/>
              <w:bottom w:val="single" w:color="auto" w:sz="4" w:space="0"/>
              <w:right w:val="single" w:color="auto" w:sz="4" w:space="0"/>
            </w:tcBorders>
            <w:vAlign w:val="center"/>
          </w:tcPr>
          <w:p w14:paraId="342F04E8">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14:paraId="3B5EA576">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联网</w:t>
            </w:r>
          </w:p>
        </w:tc>
        <w:tc>
          <w:tcPr>
            <w:tcW w:w="6945" w:type="dxa"/>
            <w:gridSpan w:val="2"/>
            <w:tcBorders>
              <w:top w:val="nil"/>
              <w:left w:val="nil"/>
              <w:bottom w:val="single" w:color="auto" w:sz="4" w:space="0"/>
              <w:right w:val="single" w:color="auto" w:sz="4" w:space="0"/>
            </w:tcBorders>
            <w:vAlign w:val="center"/>
          </w:tcPr>
          <w:p w14:paraId="0683B8F0">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防伤手</w:t>
            </w:r>
            <w:r>
              <w:rPr>
                <w:rFonts w:hint="eastAsia" w:ascii="仿宋" w:hAnsi="仿宋" w:eastAsia="仿宋" w:cs="仿宋"/>
                <w:color w:val="auto"/>
                <w:kern w:val="0"/>
                <w:sz w:val="21"/>
                <w:szCs w:val="21"/>
                <w:highlight w:val="none"/>
                <w:lang w:eastAsia="zh-CN"/>
              </w:rPr>
              <w:t>。</w:t>
            </w:r>
          </w:p>
        </w:tc>
      </w:tr>
      <w:tr w14:paraId="2DF7D5D4">
        <w:tblPrEx>
          <w:tblCellMar>
            <w:top w:w="0" w:type="dxa"/>
            <w:left w:w="108" w:type="dxa"/>
            <w:bottom w:w="0" w:type="dxa"/>
            <w:right w:w="108" w:type="dxa"/>
          </w:tblCellMar>
        </w:tblPrEx>
        <w:trPr>
          <w:trHeight w:val="327" w:hRule="atLeast"/>
        </w:trPr>
        <w:tc>
          <w:tcPr>
            <w:tcW w:w="824" w:type="dxa"/>
            <w:gridSpan w:val="2"/>
            <w:vMerge w:val="continue"/>
            <w:tcBorders>
              <w:top w:val="nil"/>
              <w:left w:val="single" w:color="auto" w:sz="4" w:space="0"/>
              <w:bottom w:val="single" w:color="auto" w:sz="4" w:space="0"/>
              <w:right w:val="single" w:color="auto" w:sz="4" w:space="0"/>
            </w:tcBorders>
            <w:vAlign w:val="center"/>
          </w:tcPr>
          <w:p w14:paraId="466182ED">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14:paraId="704BDB1D">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945" w:type="dxa"/>
            <w:gridSpan w:val="2"/>
            <w:tcBorders>
              <w:top w:val="nil"/>
              <w:left w:val="nil"/>
              <w:bottom w:val="single" w:color="auto" w:sz="4" w:space="0"/>
              <w:right w:val="single" w:color="auto" w:sz="4" w:space="0"/>
            </w:tcBorders>
            <w:vAlign w:val="center"/>
          </w:tcPr>
          <w:p w14:paraId="4E0DEB06">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站位正确、后路畅通</w:t>
            </w:r>
            <w:r>
              <w:rPr>
                <w:rFonts w:hint="eastAsia" w:ascii="仿宋" w:hAnsi="仿宋" w:eastAsia="仿宋" w:cs="仿宋"/>
                <w:color w:val="auto"/>
                <w:kern w:val="0"/>
                <w:sz w:val="21"/>
                <w:szCs w:val="21"/>
                <w:highlight w:val="none"/>
                <w:lang w:eastAsia="zh-CN"/>
              </w:rPr>
              <w:t>。</w:t>
            </w:r>
          </w:p>
        </w:tc>
      </w:tr>
      <w:tr w14:paraId="6A31C4B2">
        <w:tblPrEx>
          <w:tblCellMar>
            <w:top w:w="0" w:type="dxa"/>
            <w:left w:w="108" w:type="dxa"/>
            <w:bottom w:w="0" w:type="dxa"/>
            <w:right w:w="108" w:type="dxa"/>
          </w:tblCellMar>
        </w:tblPrEx>
        <w:trPr>
          <w:trHeight w:val="327" w:hRule="atLeast"/>
        </w:trPr>
        <w:tc>
          <w:tcPr>
            <w:tcW w:w="824" w:type="dxa"/>
            <w:gridSpan w:val="2"/>
            <w:vMerge w:val="restart"/>
            <w:tcBorders>
              <w:top w:val="nil"/>
              <w:left w:val="single" w:color="auto" w:sz="4" w:space="0"/>
              <w:bottom w:val="single" w:color="auto" w:sz="4" w:space="0"/>
              <w:right w:val="single" w:color="auto" w:sz="4" w:space="0"/>
            </w:tcBorders>
            <w:vAlign w:val="center"/>
          </w:tcPr>
          <w:p w14:paraId="6C986AD9">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打眼</w:t>
            </w:r>
          </w:p>
        </w:tc>
        <w:tc>
          <w:tcPr>
            <w:tcW w:w="1114" w:type="dxa"/>
            <w:tcBorders>
              <w:top w:val="nil"/>
              <w:left w:val="nil"/>
              <w:bottom w:val="single" w:color="auto" w:sz="4" w:space="0"/>
              <w:right w:val="single" w:color="auto" w:sz="4" w:space="0"/>
            </w:tcBorders>
            <w:vAlign w:val="center"/>
          </w:tcPr>
          <w:p w14:paraId="4408C88A">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6945" w:type="dxa"/>
            <w:gridSpan w:val="2"/>
            <w:tcBorders>
              <w:top w:val="nil"/>
              <w:left w:val="nil"/>
              <w:bottom w:val="single" w:color="auto" w:sz="4" w:space="0"/>
              <w:right w:val="single" w:color="auto" w:sz="4" w:space="0"/>
            </w:tcBorders>
            <w:vAlign w:val="center"/>
          </w:tcPr>
          <w:p w14:paraId="6FA23613">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顶帮是否有悬矸危岩，操作时有无其它相互影响</w:t>
            </w:r>
            <w:r>
              <w:rPr>
                <w:rFonts w:hint="eastAsia" w:ascii="仿宋" w:hAnsi="仿宋" w:eastAsia="仿宋" w:cs="仿宋"/>
                <w:color w:val="auto"/>
                <w:kern w:val="0"/>
                <w:sz w:val="21"/>
                <w:szCs w:val="21"/>
                <w:highlight w:val="none"/>
                <w:lang w:eastAsia="zh-CN"/>
              </w:rPr>
              <w:t>。</w:t>
            </w:r>
          </w:p>
        </w:tc>
      </w:tr>
      <w:tr w14:paraId="3A3370C0">
        <w:tblPrEx>
          <w:tblCellMar>
            <w:top w:w="0" w:type="dxa"/>
            <w:left w:w="108" w:type="dxa"/>
            <w:bottom w:w="0" w:type="dxa"/>
            <w:right w:w="108" w:type="dxa"/>
          </w:tblCellMar>
        </w:tblPrEx>
        <w:trPr>
          <w:trHeight w:val="327" w:hRule="atLeast"/>
        </w:trPr>
        <w:tc>
          <w:tcPr>
            <w:tcW w:w="824" w:type="dxa"/>
            <w:gridSpan w:val="2"/>
            <w:vMerge w:val="continue"/>
            <w:tcBorders>
              <w:top w:val="nil"/>
              <w:left w:val="single" w:color="auto" w:sz="4" w:space="0"/>
              <w:bottom w:val="single" w:color="auto" w:sz="4" w:space="0"/>
              <w:right w:val="single" w:color="auto" w:sz="4" w:space="0"/>
            </w:tcBorders>
            <w:vAlign w:val="center"/>
          </w:tcPr>
          <w:p w14:paraId="1517369B">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14:paraId="03388C9A">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互配合</w:t>
            </w:r>
          </w:p>
        </w:tc>
        <w:tc>
          <w:tcPr>
            <w:tcW w:w="6945" w:type="dxa"/>
            <w:gridSpan w:val="2"/>
            <w:tcBorders>
              <w:top w:val="nil"/>
              <w:left w:val="nil"/>
              <w:bottom w:val="single" w:color="auto" w:sz="4" w:space="0"/>
              <w:right w:val="single" w:color="auto" w:sz="4" w:space="0"/>
            </w:tcBorders>
            <w:vAlign w:val="center"/>
          </w:tcPr>
          <w:p w14:paraId="1751AD86">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与点眼工配合</w:t>
            </w:r>
            <w:r>
              <w:rPr>
                <w:rFonts w:hint="eastAsia" w:ascii="仿宋" w:hAnsi="仿宋" w:eastAsia="仿宋" w:cs="仿宋"/>
                <w:color w:val="auto"/>
                <w:kern w:val="0"/>
                <w:sz w:val="21"/>
                <w:szCs w:val="21"/>
                <w:highlight w:val="none"/>
                <w:lang w:eastAsia="zh-CN"/>
              </w:rPr>
              <w:t>。</w:t>
            </w:r>
          </w:p>
        </w:tc>
      </w:tr>
      <w:tr w14:paraId="0383915F">
        <w:tblPrEx>
          <w:tblCellMar>
            <w:top w:w="0" w:type="dxa"/>
            <w:left w:w="108" w:type="dxa"/>
            <w:bottom w:w="0" w:type="dxa"/>
            <w:right w:w="108" w:type="dxa"/>
          </w:tblCellMar>
        </w:tblPrEx>
        <w:trPr>
          <w:trHeight w:val="880" w:hRule="atLeast"/>
        </w:trPr>
        <w:tc>
          <w:tcPr>
            <w:tcW w:w="824" w:type="dxa"/>
            <w:gridSpan w:val="2"/>
            <w:vMerge w:val="continue"/>
            <w:tcBorders>
              <w:top w:val="nil"/>
              <w:left w:val="single" w:color="auto" w:sz="4" w:space="0"/>
              <w:bottom w:val="single" w:color="auto" w:sz="4" w:space="0"/>
              <w:right w:val="single" w:color="auto" w:sz="4" w:space="0"/>
            </w:tcBorders>
            <w:vAlign w:val="center"/>
          </w:tcPr>
          <w:p w14:paraId="688EF023">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14:paraId="11E9CB41">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945" w:type="dxa"/>
            <w:gridSpan w:val="2"/>
            <w:tcBorders>
              <w:top w:val="nil"/>
              <w:left w:val="nil"/>
              <w:bottom w:val="single" w:color="auto" w:sz="4" w:space="0"/>
              <w:right w:val="single" w:color="auto" w:sz="4" w:space="0"/>
            </w:tcBorders>
            <w:vAlign w:val="center"/>
          </w:tcPr>
          <w:p w14:paraId="62908E9D">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操作者站在操作臂长度以外，分腿站立保持平衡，点眼工看到钻杆正常钻进后迅速离开，防钻架伤人、防断钎、掉钎伤人</w:t>
            </w:r>
            <w:r>
              <w:rPr>
                <w:rFonts w:hint="eastAsia" w:ascii="仿宋" w:hAnsi="仿宋" w:eastAsia="仿宋" w:cs="仿宋"/>
                <w:color w:val="auto"/>
                <w:kern w:val="0"/>
                <w:sz w:val="21"/>
                <w:szCs w:val="21"/>
                <w:highlight w:val="none"/>
                <w:lang w:eastAsia="zh-CN"/>
              </w:rPr>
              <w:t>。</w:t>
            </w:r>
          </w:p>
        </w:tc>
      </w:tr>
      <w:tr w14:paraId="1B24A3B6">
        <w:tblPrEx>
          <w:tblCellMar>
            <w:top w:w="0" w:type="dxa"/>
            <w:left w:w="108" w:type="dxa"/>
            <w:bottom w:w="0" w:type="dxa"/>
            <w:right w:w="108" w:type="dxa"/>
          </w:tblCellMar>
        </w:tblPrEx>
        <w:trPr>
          <w:trHeight w:val="327" w:hRule="atLeast"/>
        </w:trPr>
        <w:tc>
          <w:tcPr>
            <w:tcW w:w="824" w:type="dxa"/>
            <w:gridSpan w:val="2"/>
            <w:vMerge w:val="restart"/>
            <w:tcBorders>
              <w:top w:val="nil"/>
              <w:left w:val="single" w:color="auto" w:sz="4" w:space="0"/>
              <w:bottom w:val="single" w:color="auto" w:sz="4" w:space="0"/>
              <w:right w:val="single" w:color="auto" w:sz="4" w:space="0"/>
            </w:tcBorders>
            <w:vAlign w:val="center"/>
          </w:tcPr>
          <w:p w14:paraId="195AB3C0">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安装</w:t>
            </w:r>
          </w:p>
        </w:tc>
        <w:tc>
          <w:tcPr>
            <w:tcW w:w="1114" w:type="dxa"/>
            <w:tcBorders>
              <w:top w:val="nil"/>
              <w:left w:val="nil"/>
              <w:bottom w:val="single" w:color="auto" w:sz="4" w:space="0"/>
              <w:right w:val="single" w:color="auto" w:sz="4" w:space="0"/>
            </w:tcBorders>
            <w:vAlign w:val="center"/>
          </w:tcPr>
          <w:p w14:paraId="5AE3D85A">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看顶帮</w:t>
            </w:r>
          </w:p>
        </w:tc>
        <w:tc>
          <w:tcPr>
            <w:tcW w:w="6945" w:type="dxa"/>
            <w:gridSpan w:val="2"/>
            <w:tcBorders>
              <w:top w:val="nil"/>
              <w:left w:val="nil"/>
              <w:bottom w:val="single" w:color="auto" w:sz="4" w:space="0"/>
              <w:right w:val="single" w:color="auto" w:sz="4" w:space="0"/>
            </w:tcBorders>
            <w:vAlign w:val="center"/>
          </w:tcPr>
          <w:p w14:paraId="019A94C9">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顶、帮是否有悬矸危岩</w:t>
            </w:r>
            <w:r>
              <w:rPr>
                <w:rFonts w:hint="eastAsia" w:ascii="仿宋" w:hAnsi="仿宋" w:eastAsia="仿宋" w:cs="仿宋"/>
                <w:color w:val="auto"/>
                <w:kern w:val="0"/>
                <w:sz w:val="21"/>
                <w:szCs w:val="21"/>
                <w:highlight w:val="none"/>
                <w:lang w:eastAsia="zh-CN"/>
              </w:rPr>
              <w:t>。</w:t>
            </w:r>
          </w:p>
        </w:tc>
      </w:tr>
      <w:tr w14:paraId="16FDF26C">
        <w:tblPrEx>
          <w:tblCellMar>
            <w:top w:w="0" w:type="dxa"/>
            <w:left w:w="108" w:type="dxa"/>
            <w:bottom w:w="0" w:type="dxa"/>
            <w:right w:w="108" w:type="dxa"/>
          </w:tblCellMar>
        </w:tblPrEx>
        <w:trPr>
          <w:trHeight w:val="890" w:hRule="atLeast"/>
        </w:trPr>
        <w:tc>
          <w:tcPr>
            <w:tcW w:w="824" w:type="dxa"/>
            <w:gridSpan w:val="2"/>
            <w:vMerge w:val="continue"/>
            <w:tcBorders>
              <w:top w:val="nil"/>
              <w:left w:val="single" w:color="auto" w:sz="4" w:space="0"/>
              <w:bottom w:val="single" w:color="auto" w:sz="4" w:space="0"/>
              <w:right w:val="single" w:color="auto" w:sz="4" w:space="0"/>
            </w:tcBorders>
            <w:vAlign w:val="center"/>
          </w:tcPr>
          <w:p w14:paraId="0E446F0D">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14:paraId="3D90DBDF">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945" w:type="dxa"/>
            <w:gridSpan w:val="2"/>
            <w:tcBorders>
              <w:top w:val="nil"/>
              <w:left w:val="nil"/>
              <w:bottom w:val="single" w:color="auto" w:sz="4" w:space="0"/>
              <w:right w:val="single" w:color="auto" w:sz="4" w:space="0"/>
            </w:tcBorders>
            <w:vAlign w:val="center"/>
          </w:tcPr>
          <w:p w14:paraId="51B27943">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操作者站在操作臂长度以外，分腿站立保持平衡，防掉落伤人（锚杆、锚杆盘、搅拌器）、保持后路畅通</w:t>
            </w:r>
            <w:r>
              <w:rPr>
                <w:rFonts w:hint="eastAsia" w:ascii="仿宋" w:hAnsi="仿宋" w:eastAsia="仿宋" w:cs="仿宋"/>
                <w:color w:val="auto"/>
                <w:kern w:val="0"/>
                <w:sz w:val="21"/>
                <w:szCs w:val="21"/>
                <w:highlight w:val="none"/>
                <w:lang w:eastAsia="zh-CN"/>
              </w:rPr>
              <w:t>。</w:t>
            </w:r>
          </w:p>
        </w:tc>
      </w:tr>
    </w:tbl>
    <w:p w14:paraId="152090AC">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121E124B">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14:paraId="27A8533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14:paraId="7EDADA1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14:paraId="7A44BCE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14:paraId="496DFA5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14:paraId="02D875A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14:paraId="278A7A6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14:paraId="46D226E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14:paraId="39276FC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14:paraId="0B8BD7E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14:paraId="32C1B4B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14:paraId="6B91D2B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14:paraId="0D8DE5E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14:paraId="2EBE733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14:paraId="7BE5C0E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14:paraId="3B3ED551">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516AE61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29C2969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2A82C0C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2D9C317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58B2B81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382AB96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14:paraId="21513D0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3944A87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54F1402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30BC524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14:paraId="4AE5092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14:paraId="560AB20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14:paraId="4EE7FE9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14:paraId="187B851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14:paraId="3D21310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14:paraId="49BABDC3">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75912F91">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64E78F9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7F5E274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2A8CEA3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5298915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235E3EF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36CDA36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0F89029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35D5D5D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531BA38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3362338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165E7C3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08F0AF6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5CB134E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69E3875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5E59E7E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0108654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38F6A39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3B0DDB4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479833E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6329B5B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1C1B7C87">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566942E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79ED4D22">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3D1E1CB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9C8300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7B91A79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1FF8091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697CC3C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6467101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3585E55B">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124D936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41AF031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11ED02A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0F4C6E1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59523A3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1369910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7555B97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45580D4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7D981C8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0A7390B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214B352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5D439BE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608D12B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0491B6B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578C8E6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15301F4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606157F2">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三、安全风险辨识与管控措施</w:t>
      </w:r>
    </w:p>
    <w:p w14:paraId="1CA8BD01">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（一）通用部分</w:t>
      </w:r>
    </w:p>
    <w:p w14:paraId="5EAF903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14:paraId="41E5E9B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14:paraId="182D1C7A">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14:paraId="1AB7781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14:paraId="2BE8A78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14:paraId="1AD15F12">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14:paraId="157D0C53">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14:paraId="541F1A6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14:paraId="0C739C7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14:paraId="0662EC5D">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2271CD68">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14:paraId="0E21C81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14:paraId="2B329504">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14:paraId="6E485596">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14:paraId="3018214C">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14:paraId="17633081">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6DA8032C">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14:paraId="31E6B956">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14:paraId="6209C1EA">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14:paraId="289A14FD">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14:paraId="307A811F">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14:paraId="19A4E222">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14:paraId="5686562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14:paraId="6B35556D">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0B91F43B">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14:paraId="3A1B83B1">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14:paraId="4D2F1272">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14:paraId="3D4EC7DA">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（4）一旦出现瓦斯浓度超限，立即按照规定要求的撤人路线进行避灾。</w:t>
      </w:r>
    </w:p>
    <w:p w14:paraId="480D5469">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14:paraId="550FB717">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7E33394D">
      <w:pPr>
        <w:keepNext w:val="0"/>
        <w:keepLines w:val="0"/>
        <w:pageBreakBefore w:val="0"/>
        <w:widowControl w:val="0"/>
        <w:numPr>
          <w:ilvl w:val="0"/>
          <w:numId w:val="0"/>
        </w:numPr>
        <w:kinsoku/>
        <w:wordWrap/>
        <w:overflowPunct/>
        <w:topLinePunct w:val="0"/>
        <w:autoSpaceDE/>
        <w:autoSpaceDN/>
        <w:bidi w:val="0"/>
        <w:adjustRightInd/>
        <w:spacing w:line="500" w:lineRule="exact"/>
        <w:ind w:left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14:paraId="674CE229">
      <w:pPr>
        <w:keepNext w:val="0"/>
        <w:keepLines w:val="0"/>
        <w:pageBreakBefore w:val="0"/>
        <w:widowControl w:val="0"/>
        <w:numPr>
          <w:ilvl w:val="0"/>
          <w:numId w:val="0"/>
        </w:numPr>
        <w:kinsoku/>
        <w:wordWrap/>
        <w:overflowPunct/>
        <w:topLinePunct w:val="0"/>
        <w:autoSpaceDE/>
        <w:autoSpaceDN/>
        <w:bidi w:val="0"/>
        <w:adjustRightIn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14:paraId="450C70CD">
      <w:pPr>
        <w:keepNext w:val="0"/>
        <w:keepLines w:val="0"/>
        <w:pageBreakBefore w:val="0"/>
        <w:widowControl w:val="0"/>
        <w:numPr>
          <w:ilvl w:val="0"/>
          <w:numId w:val="0"/>
        </w:numPr>
        <w:kinsoku/>
        <w:wordWrap/>
        <w:overflowPunct/>
        <w:topLinePunct w:val="0"/>
        <w:autoSpaceDE/>
        <w:autoSpaceDN/>
        <w:bidi w:val="0"/>
        <w:adjustRightInd/>
        <w:spacing w:line="500" w:lineRule="exact"/>
        <w:ind w:left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14:paraId="71F57E8D">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（二）专用部分</w:t>
      </w:r>
    </w:p>
    <w:p w14:paraId="424B6BC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1.支护前：</w:t>
      </w:r>
    </w:p>
    <w:p w14:paraId="08A1AE70">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（1）风险描述：施工地点顶帮破碎，敲帮问顶不完全，未使用临时支护措施，导致冒顶、片帮伤人。</w:t>
      </w:r>
    </w:p>
    <w:p w14:paraId="1AB78029">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47F8688E">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①</w:t>
      </w:r>
      <w:r>
        <w:rPr>
          <w:rFonts w:hint="eastAsia" w:ascii="仿宋" w:hAnsi="仿宋" w:eastAsia="仿宋" w:cs="仿宋"/>
          <w:color w:val="auto"/>
          <w:sz w:val="28"/>
          <w:szCs w:val="28"/>
        </w:rPr>
        <w:t>进入施工地点后，首先使用专用</w:t>
      </w:r>
      <w:r>
        <w:rPr>
          <w:rFonts w:hint="eastAsia" w:ascii="仿宋" w:hAnsi="仿宋" w:eastAsia="仿宋" w:cs="仿宋"/>
          <w:color w:val="auto"/>
          <w:sz w:val="28"/>
          <w:szCs w:val="28"/>
          <w:lang w:eastAsia="zh-CN"/>
        </w:rPr>
        <w:t>敲帮问顶工具</w:t>
      </w:r>
      <w:r>
        <w:rPr>
          <w:rFonts w:hint="eastAsia" w:ascii="仿宋" w:hAnsi="仿宋" w:eastAsia="仿宋" w:cs="仿宋"/>
          <w:color w:val="auto"/>
          <w:sz w:val="28"/>
          <w:szCs w:val="28"/>
        </w:rPr>
        <w:t>工具对施工地点顶板及帮部进行敲帮问顶，找掉危岩活矸。敲帮问顶应从完好支护的地点开始，由外向里、自上而下、先顶部后两帮依次进行，敲帮问顶范围内严禁其他人员进入。</w:t>
      </w:r>
    </w:p>
    <w:p w14:paraId="174DBC21">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②严格按照规程、措施要求，使用好临时支护措施。</w:t>
      </w:r>
    </w:p>
    <w:p w14:paraId="754E16F0">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③</w:t>
      </w:r>
      <w:r>
        <w:rPr>
          <w:rFonts w:hint="eastAsia" w:ascii="仿宋" w:hAnsi="仿宋" w:eastAsia="仿宋" w:cs="仿宋"/>
          <w:color w:val="auto"/>
          <w:sz w:val="28"/>
          <w:szCs w:val="28"/>
        </w:rPr>
        <w:t>施工过程中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随时</w:t>
      </w:r>
      <w:r>
        <w:rPr>
          <w:rFonts w:hint="eastAsia" w:ascii="仿宋" w:hAnsi="仿宋" w:eastAsia="仿宋" w:cs="仿宋"/>
          <w:color w:val="auto"/>
          <w:sz w:val="28"/>
          <w:szCs w:val="28"/>
        </w:rPr>
        <w:t>观察</w:t>
      </w:r>
      <w:r>
        <w:rPr>
          <w:rFonts w:hint="eastAsia" w:ascii="仿宋" w:hAnsi="仿宋" w:eastAsia="仿宋" w:cs="仿宋"/>
          <w:color w:val="auto"/>
          <w:sz w:val="28"/>
          <w:szCs w:val="28"/>
          <w:lang w:val="en-US" w:eastAsia="zh-CN"/>
        </w:rPr>
        <w:t>顶帮</w:t>
      </w:r>
      <w:r>
        <w:rPr>
          <w:rFonts w:hint="eastAsia" w:ascii="仿宋" w:hAnsi="仿宋" w:eastAsia="仿宋" w:cs="仿宋"/>
          <w:color w:val="auto"/>
          <w:sz w:val="28"/>
          <w:szCs w:val="28"/>
        </w:rPr>
        <w:t>，发现异常立即停止操作，进行处理</w:t>
      </w:r>
      <w:r>
        <w:rPr>
          <w:rFonts w:hint="eastAsia" w:ascii="仿宋" w:hAnsi="仿宋" w:eastAsia="仿宋" w:cs="仿宋"/>
          <w:color w:val="auto"/>
          <w:sz w:val="28"/>
          <w:szCs w:val="28"/>
          <w:lang w:eastAsia="zh-CN"/>
        </w:rPr>
        <w:t>。</w:t>
      </w:r>
    </w:p>
    <w:p w14:paraId="29EA2513">
      <w:pPr>
        <w:pStyle w:val="5"/>
        <w:keepNext w:val="0"/>
        <w:keepLines w:val="0"/>
        <w:pageBreakBefore w:val="0"/>
        <w:widowControl w:val="0"/>
        <w:numPr>
          <w:ilvl w:val="0"/>
          <w:numId w:val="11"/>
        </w:numPr>
        <w:kinsoku/>
        <w:wordWrap/>
        <w:overflowPunct/>
        <w:topLinePunct w:val="0"/>
        <w:autoSpaceDE/>
        <w:autoSpaceDN/>
        <w:bidi w:val="0"/>
        <w:adjustRightInd/>
        <w:snapToGrid/>
        <w:spacing w:after="0" w:afterLines="0" w:line="500" w:lineRule="exact"/>
        <w:ind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风险描述：通风不良好，局部甲烷积聚，存在甲烷爆炸的风险。</w:t>
      </w:r>
    </w:p>
    <w:p w14:paraId="6DF94CE5">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14:paraId="1049AC61">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①打眼前，检查施工地点通风状况，严禁无风或微风作业。</w:t>
      </w:r>
    </w:p>
    <w:p w14:paraId="6F05A406">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②悬挂便携仪和传感器，随时检测施工地点甲烷浓度。</w:t>
      </w:r>
    </w:p>
    <w:p w14:paraId="1C3225A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（3）风险描述：未佩戴防尘口罩、耳塞，存在导致职业病危害。</w:t>
      </w:r>
    </w:p>
    <w:p w14:paraId="49A6E192">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5CB81271">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①施工期间，使用好个体防护措施。</w:t>
      </w:r>
    </w:p>
    <w:p w14:paraId="2CCD591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②按照规定要求，开启各种喷雾设施，降低粉尘浓度。</w:t>
      </w:r>
    </w:p>
    <w:p w14:paraId="0661F9BA">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（4）风险描述：风、水管路不完好，未按规定使用合格的“U”型卡，存在管路崩裂、管卡崩开伤人的风险。</w:t>
      </w:r>
    </w:p>
    <w:p w14:paraId="2ECBA8CA">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113B5DBC">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①使用钻机等风动工具前，检查各管路“U”型和管路完好情况。</w:t>
      </w:r>
    </w:p>
    <w:p w14:paraId="26E99612">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②及时检查备用管路完好情况，严禁使用老化的管路。</w:t>
      </w:r>
    </w:p>
    <w:p w14:paraId="13D686D4">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2.支护过程中：</w:t>
      </w:r>
    </w:p>
    <w:p w14:paraId="4E841E94">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（1）风险描述：支护、打眼过程中钻机操作不当，存在钻机歪倒、断钎、反扭矩伤人等风险。</w:t>
      </w:r>
    </w:p>
    <w:p w14:paraId="2C713350">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01DB6E95">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①使用锚杆钻机前，需先检查风管各个连接处是否牢固可靠，防止风管脱落伤人；</w:t>
      </w:r>
    </w:p>
    <w:p w14:paraId="1249B8CA">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②开眼位时，应扶稳钻机，方可开眼作业；</w:t>
      </w:r>
    </w:p>
    <w:p w14:paraId="55A53525">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③钻孔时，不准戴手套握钻杆；</w:t>
      </w:r>
    </w:p>
    <w:p w14:paraId="3C054553">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④钻孔时，不要一直加大气腿推力，以免降低钻孔速度，造成卡钻、断钎、崩裂刀刃等事故；</w:t>
      </w:r>
    </w:p>
    <w:p w14:paraId="5FE54126">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⑤锚杆钻机回落时，手不要扶在气腿上，以防伤手；</w:t>
      </w:r>
    </w:p>
    <w:p w14:paraId="7BB1C20E">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⑥打锚杆时注意人员站位，保证后退路畅通，以防钎子滑落伤人；</w:t>
      </w:r>
    </w:p>
    <w:p w14:paraId="7278306F">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⑦打眼时，锚杆钻机上升过程中，要均匀控制风压，上升速度不宜过快，钻机前方严禁有人，以免断钎伤人，造成事故；</w:t>
      </w:r>
    </w:p>
    <w:p w14:paraId="61B048AF">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⑧钻机突然加载和卸载时，会出现反扭矩现象，操作时，应平稳操作供风手柄，防止突然加载或卸载。</w:t>
      </w:r>
    </w:p>
    <w:p w14:paraId="2DE57197">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3.支护后：</w:t>
      </w:r>
    </w:p>
    <w:p w14:paraId="7ADE9A67">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（1）风险描述：拆卸风水管路时，未提前卸压，导致压风、水伤人。</w:t>
      </w:r>
    </w:p>
    <w:p w14:paraId="0597876F">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管控措施：拆卸风水管路时，必须提前卸压，防止冲击伤人。</w:t>
      </w:r>
    </w:p>
    <w:p w14:paraId="705EE84C">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四</w:t>
      </w:r>
      <w:r>
        <w:rPr>
          <w:rFonts w:hint="eastAsia" w:ascii="仿宋" w:hAnsi="仿宋" w:eastAsia="仿宋" w:cs="仿宋"/>
          <w:b/>
          <w:color w:val="auto"/>
          <w:sz w:val="28"/>
          <w:szCs w:val="28"/>
          <w:highlight w:val="none"/>
        </w:rPr>
        <w:t>、支护前检查</w:t>
      </w:r>
    </w:p>
    <w:p w14:paraId="7B44E39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操作前首先检查</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三紧两不要</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是否已做到位</w:t>
      </w:r>
      <w:r>
        <w:rPr>
          <w:rFonts w:hint="eastAsia" w:ascii="仿宋" w:hAnsi="仿宋" w:eastAsia="仿宋" w:cs="仿宋"/>
          <w:color w:val="auto"/>
          <w:sz w:val="28"/>
          <w:szCs w:val="28"/>
          <w:highlight w:val="none"/>
          <w:lang w:eastAsia="zh-CN"/>
        </w:rPr>
        <w:t>。</w:t>
      </w:r>
    </w:p>
    <w:p w14:paraId="1173938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rPr>
        <w:t>1.顶帮：</w:t>
      </w:r>
      <w:r>
        <w:rPr>
          <w:rFonts w:hint="eastAsia" w:ascii="仿宋" w:hAnsi="仿宋" w:eastAsia="仿宋" w:cs="仿宋"/>
          <w:color w:val="auto"/>
          <w:sz w:val="28"/>
          <w:szCs w:val="28"/>
        </w:rPr>
        <w:t>检查施工地点前后10m范围内顶帮支护情况，确认顶帮支护完好，无冒顶、漏矸、片帮。必要时使用长把工具</w:t>
      </w:r>
      <w:r>
        <w:rPr>
          <w:rFonts w:hint="eastAsia" w:ascii="仿宋" w:hAnsi="仿宋" w:eastAsia="仿宋" w:cs="仿宋"/>
          <w:color w:val="auto"/>
          <w:sz w:val="28"/>
          <w:szCs w:val="28"/>
          <w:lang w:eastAsia="zh-CN"/>
        </w:rPr>
        <w:t>敲</w:t>
      </w:r>
      <w:r>
        <w:rPr>
          <w:rFonts w:hint="eastAsia" w:ascii="仿宋" w:hAnsi="仿宋" w:eastAsia="仿宋" w:cs="仿宋"/>
          <w:color w:val="auto"/>
          <w:sz w:val="28"/>
          <w:szCs w:val="28"/>
        </w:rPr>
        <w:t>掉危岩活矸，</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工作应有两名有经验的人员担任，</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人应站在安全地点，观察人应站在</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人的侧后面，并保证后退路畅通。</w:t>
      </w:r>
    </w:p>
    <w:p w14:paraId="78E78B3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工作应由2名有经验的人员担任，一人</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、一人观察顶板和退路。</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人应站在安全地点，观察人应站在</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人的侧后面，并保证退路畅通。</w:t>
      </w:r>
    </w:p>
    <w:p w14:paraId="136152B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应从完好支护的地点开始，自上而下、由外向里、先顶部后两帮依次进行，</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范围内严禁其他人员进入。</w:t>
      </w:r>
    </w:p>
    <w:p w14:paraId="606A938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工作人员应戴手套，用专用</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具（敲帮问顶专用工具，采用1.5m长六分钢管，末端焊接长度200mm左右的钢管（呈T型）；采用直径200mm的厚度2～3mm圆形铁板，圆形铁板中心钻孔，将圆形铁板从六分钢管穿入，焊在距T型手柄0.8～1m处，防止矸石顺杆而下；六分钢管顶端焊接MSGLD-335/18×2250螺纹钢锚杆帽，然后采用1m以上MSGLD-335/18×2250螺纹钢锚杆，锚杆端头打磨成尖钎，通过螺帽与六分钢管组合后进行敲帮问顶）</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时，应防止矸石顺杆而下伤人。</w:t>
      </w:r>
    </w:p>
    <w:p w14:paraId="5C4025B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2.通风、</w:t>
      </w:r>
      <w:r>
        <w:rPr>
          <w:rFonts w:hint="eastAsia" w:ascii="仿宋" w:hAnsi="仿宋" w:eastAsia="仿宋" w:cs="仿宋"/>
          <w:color w:val="auto"/>
          <w:sz w:val="28"/>
          <w:szCs w:val="28"/>
          <w:highlight w:val="none"/>
          <w:lang w:eastAsia="zh-CN"/>
        </w:rPr>
        <w:t>瓦斯：</w:t>
      </w:r>
    </w:p>
    <w:p w14:paraId="51DF66D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通风正常，风量满足要求，风筒末端到工作面距离不超过1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rPr>
        <w:t>m。风流中</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浓度&lt;1.0％。</w:t>
      </w:r>
    </w:p>
    <w:p w14:paraId="790E568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3.风水管、钻具</w:t>
      </w:r>
      <w:r>
        <w:rPr>
          <w:rFonts w:hint="eastAsia" w:ascii="仿宋" w:hAnsi="仿宋" w:eastAsia="仿宋" w:cs="仿宋"/>
          <w:color w:val="auto"/>
          <w:sz w:val="28"/>
          <w:szCs w:val="28"/>
          <w:highlight w:val="none"/>
          <w:lang w:eastAsia="zh-CN"/>
        </w:rPr>
        <w:t>：</w:t>
      </w:r>
    </w:p>
    <w:p w14:paraId="7244A59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施工前，要备齐施工机具，以及用于临时支护的前探梁；要掩护好风、水、电等管设施；施工设备要安放到安全地点</w:t>
      </w:r>
      <w:r>
        <w:rPr>
          <w:rFonts w:hint="eastAsia" w:ascii="仿宋" w:hAnsi="仿宋" w:eastAsia="仿宋" w:cs="仿宋"/>
          <w:color w:val="auto"/>
          <w:sz w:val="28"/>
          <w:szCs w:val="28"/>
          <w:highlight w:val="none"/>
          <w:lang w:eastAsia="zh-CN"/>
        </w:rPr>
        <w:t>。</w:t>
      </w:r>
    </w:p>
    <w:p w14:paraId="3027D68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4.口罩、耳塞</w:t>
      </w:r>
      <w:r>
        <w:rPr>
          <w:rFonts w:hint="eastAsia" w:ascii="仿宋" w:hAnsi="仿宋" w:eastAsia="仿宋" w:cs="仿宋"/>
          <w:color w:val="auto"/>
          <w:sz w:val="28"/>
          <w:szCs w:val="28"/>
          <w:highlight w:val="none"/>
          <w:lang w:eastAsia="zh-CN"/>
        </w:rPr>
        <w:t>：</w:t>
      </w:r>
    </w:p>
    <w:p w14:paraId="0A8FFA2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口罩、耳塞是否佩带齐全</w:t>
      </w:r>
      <w:r>
        <w:rPr>
          <w:rFonts w:hint="eastAsia" w:ascii="仿宋" w:hAnsi="仿宋" w:eastAsia="仿宋" w:cs="仿宋"/>
          <w:color w:val="auto"/>
          <w:sz w:val="28"/>
          <w:szCs w:val="28"/>
          <w:highlight w:val="none"/>
          <w:lang w:eastAsia="zh-CN"/>
        </w:rPr>
        <w:t>。</w:t>
      </w:r>
    </w:p>
    <w:p w14:paraId="0030A95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.站位、后退路</w:t>
      </w:r>
      <w:r>
        <w:rPr>
          <w:rFonts w:hint="eastAsia" w:ascii="仿宋" w:hAnsi="仿宋" w:eastAsia="仿宋" w:cs="仿宋"/>
          <w:color w:val="auto"/>
          <w:sz w:val="28"/>
          <w:szCs w:val="28"/>
          <w:highlight w:val="none"/>
          <w:lang w:eastAsia="zh-CN"/>
        </w:rPr>
        <w:t>：</w:t>
      </w:r>
    </w:p>
    <w:p w14:paraId="64EC76A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支护必须在临时支护掩护下进行，并保证后退路畅通无杂物。</w:t>
      </w:r>
    </w:p>
    <w:p w14:paraId="29C5F0CE">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五</w:t>
      </w:r>
      <w:r>
        <w:rPr>
          <w:rFonts w:hint="eastAsia" w:ascii="仿宋" w:hAnsi="仿宋" w:eastAsia="仿宋" w:cs="仿宋"/>
          <w:b/>
          <w:bCs/>
          <w:color w:val="auto"/>
          <w:sz w:val="28"/>
          <w:szCs w:val="28"/>
          <w:highlight w:val="none"/>
        </w:rPr>
        <w:t>、掘进支护（帮部锚杆）正规操作</w:t>
      </w:r>
    </w:p>
    <w:p w14:paraId="11A9C225">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（一）掘进支护（帮部锚杆）操作顺序：</w:t>
      </w:r>
    </w:p>
    <w:p w14:paraId="1C2F808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试运转→定眼→开眼→正常钻眼→停钻→检查、清理锚杆眼→锚杆、锚网安装</w:t>
      </w:r>
      <w:r>
        <w:rPr>
          <w:rFonts w:hint="eastAsia" w:ascii="仿宋" w:hAnsi="仿宋" w:eastAsia="仿宋" w:cs="仿宋"/>
          <w:color w:val="auto"/>
          <w:sz w:val="28"/>
          <w:szCs w:val="28"/>
          <w:highlight w:val="none"/>
          <w:lang w:eastAsia="zh-CN"/>
        </w:rPr>
        <w:t>。</w:t>
      </w:r>
    </w:p>
    <w:p w14:paraId="52C833AD">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（二）掘进支护（帮部锚杆）正规操作：</w:t>
      </w:r>
    </w:p>
    <w:p w14:paraId="0F91654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1.试运转：</w:t>
      </w:r>
    </w:p>
    <w:p w14:paraId="44C455B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按照</w:t>
      </w:r>
      <w:r>
        <w:rPr>
          <w:rFonts w:hint="eastAsia" w:ascii="仿宋" w:hAnsi="仿宋" w:eastAsia="仿宋" w:cs="仿宋"/>
          <w:color w:val="auto"/>
          <w:sz w:val="28"/>
          <w:szCs w:val="28"/>
          <w:highlight w:val="none"/>
          <w:lang w:eastAsia="zh-CN"/>
        </w:rPr>
        <w:t>先开阀门、轻按操作阀，缓慢</w:t>
      </w:r>
      <w:r>
        <w:rPr>
          <w:rFonts w:hint="eastAsia" w:ascii="仿宋" w:hAnsi="仿宋" w:eastAsia="仿宋" w:cs="仿宋"/>
          <w:color w:val="auto"/>
          <w:sz w:val="28"/>
          <w:szCs w:val="28"/>
          <w:highlight w:val="none"/>
        </w:rPr>
        <w:t>的顺序进行试运转。</w:t>
      </w:r>
    </w:p>
    <w:p w14:paraId="5AFA945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2.定眼：</w:t>
      </w:r>
    </w:p>
    <w:p w14:paraId="080FC5F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司机站在风钻后侧面，手握把手，调整钻架(气腿)到适当高度；领钎人员站在一侧，避开司机视线，手握钎杆，把钎头放在用镐刨出的眼窝上。定眼时，风钻司机和领钎人员要相互协调，密切配合。</w:t>
      </w:r>
    </w:p>
    <w:p w14:paraId="611E48A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3.开眼：</w:t>
      </w:r>
    </w:p>
    <w:p w14:paraId="0EA7571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把风钻操纵阀开到轻运转位置，待眼位稳固并钻进20～30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以后，再把操纵把手扳到中运转位置钻进，直至钻头不易脱离眼口时，再全速钻进。</w:t>
      </w:r>
    </w:p>
    <w:p w14:paraId="2A20347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4.正常钻眼：</w:t>
      </w:r>
    </w:p>
    <w:p w14:paraId="0FCACDF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（1）司机一手扶住风钻的把柄，一手根据钻进情况，调节操纵阀和钻架调节阀。</w:t>
      </w:r>
    </w:p>
    <w:p w14:paraId="5331102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（2）开钻时要先给水，后给风；钻眼过程中，给水量不宜过大或过小，要均匀适当。更换钻杆时，要先关风，后关水。</w:t>
      </w:r>
    </w:p>
    <w:p w14:paraId="747CD36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（3）司机扶钻时，要躲开眼口的方向，站在风钻侧面，两腿前后错开，脚蹬实底，禁止踩空或骑在气腿上钻眼，以防钻杆折断时风钻扑倒或断钎伤人。</w:t>
      </w:r>
    </w:p>
    <w:p w14:paraId="41AFB9F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（4）钻眼时，风钻、钻杆与钻眼方向要保持方向一致，推力要均匀适当，钻架升降要稳，以防折断钻杆、夹钻杆或拐丢钻头。</w:t>
      </w:r>
    </w:p>
    <w:p w14:paraId="3D1D2C3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（5）钻眼应与煤岩层理、节理方向成一定的夹角，尽量避免沿层理、节理方向钻眼。</w:t>
      </w:r>
    </w:p>
    <w:p w14:paraId="00A6BD5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（6）遇有突然停风、停水时，应将风钻取下，拨出钻杆，停止钻眼。</w:t>
      </w:r>
    </w:p>
    <w:p w14:paraId="79326E3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（7）更换钻眼位置或移动调整钻架时，必须将风钻停止运转。</w:t>
      </w:r>
    </w:p>
    <w:p w14:paraId="477F8DF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（8）按时向风钻注油器内注油，不得无润滑油作业。</w:t>
      </w:r>
    </w:p>
    <w:p w14:paraId="32CB842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（9）钻深眼时，必须采用不同长度的钻杆，开始时使用短钻杆。</w:t>
      </w:r>
    </w:p>
    <w:p w14:paraId="2B7DBC9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5.停钻：</w:t>
      </w:r>
    </w:p>
    <w:p w14:paraId="1FCEE47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钻完眼后，应先</w:t>
      </w:r>
      <w:r>
        <w:rPr>
          <w:rFonts w:hint="eastAsia" w:ascii="仿宋" w:hAnsi="仿宋" w:eastAsia="仿宋" w:cs="仿宋"/>
          <w:color w:val="auto"/>
          <w:sz w:val="28"/>
          <w:szCs w:val="28"/>
          <w:highlight w:val="none"/>
          <w:lang w:eastAsia="zh-CN"/>
        </w:rPr>
        <w:t>关进风</w:t>
      </w:r>
      <w:r>
        <w:rPr>
          <w:rFonts w:hint="eastAsia" w:ascii="仿宋" w:hAnsi="仿宋" w:eastAsia="仿宋" w:cs="仿宋"/>
          <w:color w:val="auto"/>
          <w:sz w:val="28"/>
          <w:szCs w:val="28"/>
          <w:highlight w:val="none"/>
        </w:rPr>
        <w:t>阀，用停止转动的钻杆来回抽拉至少5次，将煤（岩）粉拉出。</w:t>
      </w:r>
    </w:p>
    <w:p w14:paraId="778FCC3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6.检查、清理锚杆眼：</w:t>
      </w:r>
    </w:p>
    <w:p w14:paraId="7C1AD26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检查锚杆眼深度，其深度应保证锚杆外露丝长度为10～</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。锚杆眼的超深部分应填入炮泥或锚固剂；未达到规定深度的锚杆眼，应补钻至规定深度。</w:t>
      </w:r>
    </w:p>
    <w:p w14:paraId="07AF09F7">
      <w:pPr>
        <w:keepNext w:val="0"/>
        <w:keepLines w:val="0"/>
        <w:pageBreakBefore w:val="0"/>
        <w:widowControl w:val="0"/>
        <w:kinsoku/>
        <w:wordWrap/>
        <w:overflowPunct/>
        <w:topLinePunct w:val="0"/>
        <w:autoSpaceDE/>
        <w:autoSpaceDN/>
        <w:bidi w:val="0"/>
        <w:adjustRightInd/>
        <w:snapToGrid w:val="0"/>
        <w:spacing w:line="48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安装锚杆前，必须将锚杆孔内的岩粉或积水用停止转动的钻杆来回抽拉至少5次，将煤（岩）粉拉出。</w:t>
      </w:r>
    </w:p>
    <w:p w14:paraId="74D5FC6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7.锚杆、锚网安装：</w:t>
      </w:r>
    </w:p>
    <w:p w14:paraId="3E92833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将树脂药卷按照安装顺序轻轻送入眼内，用锚杆顶住树脂锚固剂，锚杆外端安装锚杆连接器，将树脂锚固剂和锚杆插入锚杆孔内，人工将树脂锚固剂推至锚杆孔底，升起钻机或风煤钻与锚杆连接器尾部连接，5～10s缓慢搅拌并推进锚杆至钻孔底，然后再搅拌10～15s，停止搅拌，并等待30～60s后（等待时间不得晃动杆体或卸连接器），降下锚杆钻机或风煤钻</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卸下锚杆连接器。铺设、联接金属网顺序、搭接及联接长度要符合作业规程的规定，铺网时要把网张紧。卸下螺母，上好托盘，紧固螺母，预紧扭矩</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锚固力</w:t>
      </w:r>
      <w:r>
        <w:rPr>
          <w:rFonts w:hint="eastAsia" w:ascii="仿宋" w:hAnsi="仿宋" w:eastAsia="仿宋" w:cs="仿宋"/>
          <w:color w:val="auto"/>
          <w:sz w:val="28"/>
          <w:szCs w:val="28"/>
          <w:highlight w:val="none"/>
        </w:rPr>
        <w:t>不得小于设计值</w:t>
      </w:r>
      <w:r>
        <w:rPr>
          <w:rFonts w:hint="eastAsia" w:ascii="仿宋" w:hAnsi="仿宋" w:eastAsia="仿宋" w:cs="仿宋"/>
          <w:color w:val="auto"/>
          <w:sz w:val="28"/>
          <w:szCs w:val="28"/>
          <w:highlight w:val="none"/>
          <w:lang w:eastAsia="zh-CN"/>
        </w:rPr>
        <w:t>。</w:t>
      </w:r>
    </w:p>
    <w:p w14:paraId="3F85B6A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有下列情况之一时不得钻眼，处理后方作业：</w:t>
      </w:r>
    </w:p>
    <w:p w14:paraId="1C97973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局部通风机停止运转，工作面风量达不到作业规程规定或风筒口距离工作面超过作业规程的规定时。</w:t>
      </w:r>
    </w:p>
    <w:p w14:paraId="6694D02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供水管内无水，防尘设施不齐全或防尘设施损坏、失效时。</w:t>
      </w:r>
    </w:p>
    <w:p w14:paraId="0DACAD4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工作面有透水预兆（煤层变湿、挂红、挂汗、空气变冷、出现雾气、水叫、顶板来 压、片帮、淋水加大、底板鼓起或者裂隙渗水、钻孔喷水、煤壁溃水、水色发浑、有臭味等透水征兆）时。</w:t>
      </w:r>
    </w:p>
    <w:p w14:paraId="2B235A7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施工人员应时刻注意顶板、帮部动态变化情况，如发现煤炮声突然频繁、煤壁有连续声响、煤壁突然外鼓、有较大的煤岩突出、围岩活动明显加剧等现象时，应以最快的速度撤出该区域，同时将该情况详细向矿调度室和防冲办汇报。</w:t>
      </w:r>
    </w:p>
    <w:p w14:paraId="6087E07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作业地点应清理的浮煤、浮矸没清理干净或积水没有排除时。</w:t>
      </w:r>
    </w:p>
    <w:p w14:paraId="0922DA6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钻孔突然与采空区或旧巷相透时。</w:t>
      </w:r>
    </w:p>
    <w:p w14:paraId="6A706A0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其他不安全隐患未排除时。</w:t>
      </w:r>
    </w:p>
    <w:p w14:paraId="5F7047BA">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六、锚杆支护（帮部锚杆）操作过程中安全注意事项</w:t>
      </w:r>
    </w:p>
    <w:p w14:paraId="57E4981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（一）联网：</w:t>
      </w:r>
    </w:p>
    <w:p w14:paraId="1FC9AB7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看顶帮：顶、帮是否有悬矸危岩、临时支护。</w:t>
      </w:r>
    </w:p>
    <w:p w14:paraId="1201A07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联网：防伤手。</w:t>
      </w:r>
    </w:p>
    <w:p w14:paraId="00A4B0A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站好位：站位正确、后路畅通。</w:t>
      </w:r>
    </w:p>
    <w:p w14:paraId="4A56865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（二）打眼：</w:t>
      </w:r>
    </w:p>
    <w:p w14:paraId="44BDB03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看环境：顶帮是否有悬矸危岩，操作时有无其它相互影响。</w:t>
      </w:r>
    </w:p>
    <w:p w14:paraId="18038D9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互配合：与点眼工配合。</w:t>
      </w:r>
    </w:p>
    <w:p w14:paraId="3C3CAD4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站好位：操作者站在操作臂长度以外，分腿站立保持平衡，点眼工看到钻杆正常钻进后迅速离开，防钻架伤人、防断钎、掉钎伤人。</w:t>
      </w:r>
    </w:p>
    <w:p w14:paraId="069028A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（三）安装：</w:t>
      </w:r>
    </w:p>
    <w:p w14:paraId="1593A3E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看顶帮：顶、帮是否有悬矸危岩。</w:t>
      </w:r>
    </w:p>
    <w:p w14:paraId="66F3DAC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站好位：操作者站在操作臂长度以外，分腿站立保持平衡，防掉落伤人（锚杆、锚杆盘、搅拌器）、保持后路畅通。</w:t>
      </w:r>
    </w:p>
    <w:p w14:paraId="7D388E8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七、</w:t>
      </w:r>
      <w:r>
        <w:rPr>
          <w:rFonts w:hint="eastAsia" w:ascii="仿宋" w:hAnsi="仿宋" w:eastAsia="仿宋" w:cs="仿宋"/>
          <w:b/>
          <w:bCs/>
          <w:color w:val="auto"/>
          <w:sz w:val="28"/>
          <w:szCs w:val="28"/>
          <w:highlight w:val="none"/>
          <w:lang w:val="en-US" w:eastAsia="zh-CN"/>
        </w:rPr>
        <w:t>其他</w:t>
      </w:r>
      <w:r>
        <w:rPr>
          <w:rFonts w:hint="eastAsia" w:ascii="仿宋" w:hAnsi="仿宋" w:eastAsia="仿宋" w:cs="仿宋"/>
          <w:b/>
          <w:bCs/>
          <w:color w:val="auto"/>
          <w:sz w:val="28"/>
          <w:szCs w:val="28"/>
          <w:highlight w:val="none"/>
          <w:lang w:eastAsia="zh-CN"/>
        </w:rPr>
        <w:t>注意事项</w:t>
      </w:r>
    </w:p>
    <w:p w14:paraId="24602B9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1.支护材料</w:t>
      </w:r>
    </w:p>
    <w:p w14:paraId="1281B1D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（1）不符合作业规程规定的锚杆和配套材料及严重锈蚀、变形、弯曲、径缩的锚杆杆体。</w:t>
      </w:r>
    </w:p>
    <w:p w14:paraId="77B8689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（2）过期失效、凝结的锚固剂。</w:t>
      </w:r>
    </w:p>
    <w:p w14:paraId="2B0EA11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（3）网格偏大、强度偏低、变形严重的金属网。</w:t>
      </w:r>
    </w:p>
    <w:p w14:paraId="2E1A52C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2.临时支护要紧跟工作面，其支护形式、规格、数量、使用方法必需在作业规程中规定。</w:t>
      </w:r>
    </w:p>
    <w:p w14:paraId="47350DD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3.在支护前和支护过程中要敲帮问顶，及时摘除危岩悬矸。</w:t>
      </w:r>
    </w:p>
    <w:p w14:paraId="485ECA3F">
      <w:pPr>
        <w:keepNext w:val="0"/>
        <w:keepLines w:val="0"/>
        <w:pageBreakBefore w:val="0"/>
        <w:widowControl w:val="0"/>
        <w:kinsoku/>
        <w:wordWrap/>
        <w:overflowPunct/>
        <w:topLinePunct w:val="0"/>
        <w:autoSpaceDE/>
        <w:autoSpaceDN/>
        <w:bidi w:val="0"/>
        <w:adjustRightInd/>
        <w:snapToGrid w:val="0"/>
        <w:spacing w:line="48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4.</w:t>
      </w:r>
      <w:r>
        <w:rPr>
          <w:rFonts w:hint="eastAsia" w:ascii="仿宋" w:hAnsi="仿宋" w:eastAsia="仿宋" w:cs="仿宋"/>
          <w:color w:val="auto"/>
          <w:sz w:val="28"/>
          <w:szCs w:val="28"/>
          <w:highlight w:val="none"/>
        </w:rPr>
        <w:t>将锚杆孔内的岩粉或积水用停止转动的钻杆来回抽拉至少5次，将煤（岩）粉拉出。</w:t>
      </w:r>
    </w:p>
    <w:p w14:paraId="4D8A804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5.锚杆眼的直径、间距、排距、深度、方向(与岩面的夹角)等，必须符合作业规程规定。</w:t>
      </w:r>
    </w:p>
    <w:p w14:paraId="1B2F612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（1）使用全螺纹钢等强锚杆，锚孔深度应保证锚杆露出螺帽长度10</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lang w:eastAsia="zh-CN"/>
        </w:rPr>
        <w:t>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m。</w:t>
      </w:r>
    </w:p>
    <w:p w14:paraId="49775A2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（2）对角度不符合要求的锚杆眼，严禁安装锚杆。</w:t>
      </w:r>
    </w:p>
    <w:p w14:paraId="5B164F6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6.安装锚杆时，必须使托盘(或托梁、钢带)紧贴岩面，未接触部分必须楔紧垫实，不得松动。</w:t>
      </w:r>
    </w:p>
    <w:p w14:paraId="3CAAC67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锚杆支护巷道必须配备锚杆检测工具，锚杆安装后，对每根锚杆进行预紧力检测，不合格的锚杆要立即上紧；对锚杆锚固力进行抽查，不合格的锚杆要立即上紧；对锚杆锚固力进行抽查，不格合格的锚杆必须重新补打。</w:t>
      </w:r>
    </w:p>
    <w:p w14:paraId="19EA69A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8.当工作面遇断层、构造时，必须补充专门措施，加强支护。</w:t>
      </w:r>
    </w:p>
    <w:p w14:paraId="58D9151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9.要随打眼随安装锚杆。</w:t>
      </w:r>
    </w:p>
    <w:p w14:paraId="792946B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10.锚杆(网)的安装顺序：应从顶部向两侧进行，两帮锚杆先安装上部、后安装下部。铺设、联接金属网时，铺设顺序、搭接及联接长度要符合作业规程的规定。铺网时要把网张紧。</w:t>
      </w:r>
    </w:p>
    <w:p w14:paraId="37F4301C">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八、掘进锚网索支护（顶部锚杆）正规操作</w:t>
      </w:r>
    </w:p>
    <w:p w14:paraId="405DAC2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（一）掘进锚杆支护（顶部锚杆）操作顺序：</w:t>
      </w:r>
    </w:p>
    <w:p w14:paraId="5BB1BF5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试运转→定眼→开眼→正常钻眼至结束→停风→检查锚杆（索）眼→锚杆（索）安装。</w:t>
      </w:r>
    </w:p>
    <w:p w14:paraId="15F317E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（二）掘进锚杆支护（顶部锚杆）正规操作：</w:t>
      </w:r>
    </w:p>
    <w:p w14:paraId="747673C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1.试运转：</w:t>
      </w:r>
    </w:p>
    <w:p w14:paraId="6949769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按照</w:t>
      </w:r>
      <w:r>
        <w:rPr>
          <w:rFonts w:hint="eastAsia" w:ascii="仿宋" w:hAnsi="仿宋" w:eastAsia="仿宋" w:cs="仿宋"/>
          <w:color w:val="auto"/>
          <w:sz w:val="28"/>
          <w:szCs w:val="28"/>
          <w:highlight w:val="none"/>
          <w:lang w:eastAsia="zh-CN"/>
        </w:rPr>
        <w:t>先开阀门、轻按操作阀，缓慢</w:t>
      </w:r>
      <w:r>
        <w:rPr>
          <w:rFonts w:hint="eastAsia" w:ascii="仿宋" w:hAnsi="仿宋" w:eastAsia="仿宋" w:cs="仿宋"/>
          <w:color w:val="auto"/>
          <w:sz w:val="28"/>
          <w:szCs w:val="28"/>
          <w:highlight w:val="none"/>
        </w:rPr>
        <w:t>的顺序进行试运转。</w:t>
      </w:r>
    </w:p>
    <w:p w14:paraId="41552BF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2.定眼：</w:t>
      </w:r>
    </w:p>
    <w:p w14:paraId="789C038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竖起锚杆机钻机把初始钻杆插到钻杆接头内，观察围岩,定好眼位，使锚杆机和钻杆处于正确位置。钻机开眼时,要扶稳钻机,先升气腿,使钻头顶住岩面,确保开眼位置正确。</w:t>
      </w:r>
    </w:p>
    <w:p w14:paraId="61A4AC9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3.开眼：</w:t>
      </w:r>
    </w:p>
    <w:p w14:paraId="739C6AF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操作者站立在操作臂长度以外，分腿站立保持平衡。先开先开阀门、轻按操作阀。开始钻眼时，用低转速,随着钻孔深度的增大,调整到合适转速,直到初始锚孔钻进到位。</w:t>
      </w:r>
    </w:p>
    <w:p w14:paraId="2393F56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(1)在软岩条件下,锚杆机用高转速钻进,要调整支腿推力,防止糊眼。</w:t>
      </w:r>
    </w:p>
    <w:p w14:paraId="151EC3F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(2)在硬岩条件下,锚杆机用低转速钻进,要缓慢增加支腿推力。</w:t>
      </w:r>
    </w:p>
    <w:p w14:paraId="41C9DBA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4.正常钻眼至结束：锚杆眼深度应与锚杆长度相匹配，打眼时应在钎子上做好标志，严格按锚杆长度打眼，锚杆眼打好后应将眼内的岩渣、积水清理干净。打眼的顺序，应由外向里、先顶后帮的顺序依次进行。</w:t>
      </w:r>
    </w:p>
    <w:p w14:paraId="3D7FABF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5.停水风：先停水后停风。</w:t>
      </w:r>
    </w:p>
    <w:p w14:paraId="268CE4C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6.检查锚杆眼：</w:t>
      </w:r>
    </w:p>
    <w:p w14:paraId="1037905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检查锚杆眼深度，其深度应保证锚杆外露丝长度为10～</w:t>
      </w:r>
      <w:r>
        <w:rPr>
          <w:rFonts w:hint="eastAsia" w:ascii="仿宋" w:hAnsi="仿宋" w:eastAsia="仿宋" w:cs="仿宋"/>
          <w:color w:val="auto"/>
          <w:sz w:val="28"/>
          <w:szCs w:val="28"/>
          <w:highlight w:val="none"/>
          <w:lang w:val="en-US" w:eastAsia="zh-CN"/>
        </w:rPr>
        <w:t>100m</w:t>
      </w:r>
      <w:r>
        <w:rPr>
          <w:rFonts w:hint="eastAsia" w:ascii="仿宋" w:hAnsi="仿宋" w:eastAsia="仿宋" w:cs="仿宋"/>
          <w:color w:val="auto"/>
          <w:sz w:val="28"/>
          <w:szCs w:val="28"/>
          <w:highlight w:val="none"/>
          <w:lang w:eastAsia="zh-CN"/>
        </w:rPr>
        <w:t>m。锚杆眼的超深部分应填入炮泥或锚固剂；未达到规定深度的锚杆眼，应补钻至规定深度。</w:t>
      </w:r>
    </w:p>
    <w:p w14:paraId="691A5D2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7.锚杆安装：</w:t>
      </w:r>
    </w:p>
    <w:p w14:paraId="5CB9E09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用锚杆顶住树脂锚固剂，锚杆外端安装锚杆连接器，将树脂锚固剂和锚杆插入锚杆孔内，人工将树脂锚固剂推至锚杆孔底，升起钻机或风煤钻与锚杆连接器尾部连接，5～10s缓慢搅拌并推进锚杆至钻孔底，然后再搅拌10～15s，停止搅拌，并等待30～60s后（等待时间不得晃动杆体或卸连接器），降下锚杆钻机或风煤钻</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卸下锚杆连接器。</w:t>
      </w:r>
      <w:r>
        <w:rPr>
          <w:rFonts w:hint="eastAsia" w:ascii="仿宋" w:hAnsi="仿宋" w:eastAsia="仿宋" w:cs="仿宋"/>
          <w:color w:val="auto"/>
          <w:sz w:val="28"/>
          <w:szCs w:val="28"/>
          <w:highlight w:val="none"/>
          <w:lang w:eastAsia="zh-CN"/>
        </w:rPr>
        <w:t>上好托盘，拧上螺母拧紧螺母达到一定预紧力，预紧扭矩不得小于设计值</w:t>
      </w:r>
      <w:r>
        <w:rPr>
          <w:rFonts w:hint="eastAsia" w:ascii="仿宋" w:hAnsi="仿宋" w:eastAsia="仿宋" w:cs="仿宋"/>
          <w:color w:val="auto"/>
          <w:sz w:val="28"/>
          <w:szCs w:val="28"/>
          <w:highlight w:val="none"/>
          <w:lang w:val="en-US" w:eastAsia="zh-CN"/>
        </w:rPr>
        <w:t>300Nm</w:t>
      </w:r>
      <w:r>
        <w:rPr>
          <w:rFonts w:hint="eastAsia" w:ascii="仿宋" w:hAnsi="仿宋" w:eastAsia="仿宋" w:cs="仿宋"/>
          <w:color w:val="auto"/>
          <w:sz w:val="28"/>
          <w:szCs w:val="28"/>
          <w:highlight w:val="none"/>
          <w:lang w:eastAsia="zh-CN"/>
        </w:rPr>
        <w:t>，锚固力不小于</w:t>
      </w:r>
      <w:r>
        <w:rPr>
          <w:rFonts w:hint="eastAsia" w:ascii="仿宋" w:hAnsi="仿宋" w:eastAsia="仿宋" w:cs="仿宋"/>
          <w:color w:val="auto"/>
          <w:sz w:val="28"/>
          <w:szCs w:val="28"/>
          <w:highlight w:val="none"/>
          <w:lang w:val="en-US" w:eastAsia="zh-CN"/>
        </w:rPr>
        <w:t>60kN</w:t>
      </w:r>
      <w:r>
        <w:rPr>
          <w:rFonts w:hint="eastAsia" w:ascii="仿宋" w:hAnsi="仿宋" w:eastAsia="仿宋" w:cs="仿宋"/>
          <w:color w:val="auto"/>
          <w:sz w:val="28"/>
          <w:szCs w:val="28"/>
          <w:highlight w:val="none"/>
          <w:lang w:eastAsia="zh-CN"/>
        </w:rPr>
        <w:t>。</w:t>
      </w:r>
    </w:p>
    <w:p w14:paraId="7E383CC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锚索安装：</w:t>
      </w:r>
    </w:p>
    <w:p w14:paraId="78C0BE3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人工将树脂药卷装入锚索孔中，先装药卷，用锚索将药卷缓缓推至孔底。安装过程中注意不得将树脂药卷提前捅破，之后将锚索另一端用注锚器与锚杆钻机连接可靠，并将锚索上的水、岩屑等擦拭干净，以免影响锚固力，二人配合用锚索先顶住药卷缓缓推入钻孔中（不能反复抽拉锚索），确保药卷全部送至孔底。每根锚索均采用两支树脂药卷端头固定，一支为MSCK2860另一支为MSK2860。</w:t>
      </w:r>
    </w:p>
    <w:p w14:paraId="4142A3F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lang w:eastAsia="zh-CN"/>
        </w:rPr>
        <w:t>）一人扶住锚杆钻机机头，另一人操作钻机。边推进、边搅拌，快推15～20s后，停止搅拌，并保持锚杆钻机推力3～5min后方可撤下锚杆钻机。搅拌树脂药卷过程中不能停顿，不能反复搅拌。</w:t>
      </w:r>
    </w:p>
    <w:p w14:paraId="1D265C35">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九、锚杆支护（顶部锚杆）操作过程中的安全注意事项</w:t>
      </w:r>
    </w:p>
    <w:p w14:paraId="62ABE3D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（一）重要的注意事项</w:t>
      </w:r>
    </w:p>
    <w:p w14:paraId="5F50080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1.支护材料：严禁使用不符合规定的支护材料。</w:t>
      </w:r>
    </w:p>
    <w:p w14:paraId="4918C86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2.敲帮问顶：支护时要及时敲帮问顶，摘除危岩悬矸。</w:t>
      </w:r>
    </w:p>
    <w:p w14:paraId="1DD8E3D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3.临时支护：临时支护合格，严禁空顶作业。</w:t>
      </w:r>
    </w:p>
    <w:p w14:paraId="50DCAFA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4.站位：用锚索机打眼、顶推钢带时，人员站位安全。</w:t>
      </w:r>
    </w:p>
    <w:p w14:paraId="674A8CE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（二）全部注意事项</w:t>
      </w:r>
    </w:p>
    <w:p w14:paraId="4456949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1.支护材料</w:t>
      </w:r>
    </w:p>
    <w:p w14:paraId="385CD4C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（1）不符合作业规程规定的锚杆和配套材料及严重锈蚀、变形、弯曲、径缩的锚杆杆体。</w:t>
      </w:r>
    </w:p>
    <w:p w14:paraId="22FC887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（2）过期失效、凝结的锚固剂。</w:t>
      </w:r>
    </w:p>
    <w:p w14:paraId="0B2D204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（3）网格偏大、强度偏低、变形严重的金属网。</w:t>
      </w:r>
    </w:p>
    <w:p w14:paraId="5BA568F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2.在支护前和支护过程中要敲帮问顶，及时摘除危岩悬矸。</w:t>
      </w:r>
    </w:p>
    <w:p w14:paraId="3465128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3.临时支护要紧跟工作面，其支护形式、规格、数量、使用方法必需在作业规程中规定。掘进前最大空顶距不大于锚杆排距，掘进后最大空顶距不大于锚杆排距+循环进度。</w:t>
      </w:r>
    </w:p>
    <w:p w14:paraId="72FFBE1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4.用锚索机打眼时，人员严禁站在操作长臂以里。</w:t>
      </w:r>
    </w:p>
    <w:p w14:paraId="34BD93A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5.用锚索机顶推钢带时人员要躲开锚索机易滑落方向。</w:t>
      </w:r>
    </w:p>
    <w:p w14:paraId="05502A2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6.锚杆眼的直径、间距、排距、深度、方向(与岩面的夹角)等，必须符合作业规程规定。</w:t>
      </w:r>
    </w:p>
    <w:p w14:paraId="03902CB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（1）使用全螺纹钢等强锚杆，锚孔深度应保证锚杆外露长度10一</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lang w:eastAsia="zh-CN"/>
        </w:rPr>
        <w:t>0</w:t>
      </w:r>
      <w:r>
        <w:rPr>
          <w:rFonts w:hint="eastAsia" w:ascii="仿宋" w:hAnsi="仿宋" w:eastAsia="仿宋" w:cs="仿宋"/>
          <w:color w:val="auto"/>
          <w:sz w:val="28"/>
          <w:szCs w:val="28"/>
          <w:highlight w:val="none"/>
          <w:lang w:val="en-US" w:eastAsia="zh-CN"/>
        </w:rPr>
        <w:t>mm</w:t>
      </w:r>
      <w:r>
        <w:rPr>
          <w:rFonts w:hint="eastAsia" w:ascii="仿宋" w:hAnsi="仿宋" w:eastAsia="仿宋" w:cs="仿宋"/>
          <w:color w:val="auto"/>
          <w:sz w:val="28"/>
          <w:szCs w:val="28"/>
          <w:highlight w:val="none"/>
          <w:lang w:eastAsia="zh-CN"/>
        </w:rPr>
        <w:t>。</w:t>
      </w:r>
    </w:p>
    <w:p w14:paraId="5AD5A2B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（2）对角度不符合要求的锚杆眼，严禁安装锚杆。</w:t>
      </w:r>
    </w:p>
    <w:p w14:paraId="6051E0E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7.安装锚杆时，必须使托盘紧贴岩面，未接触部分必须楔紧垫实，不得松动。</w:t>
      </w:r>
    </w:p>
    <w:p w14:paraId="41AC32D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8.锚杆支护巷道必须配备锚杆检测工具，锚杆安装后，对每根锚杆进行预紧力检测预紧，扭矩不得小于设计值，不合格的锚杆要立即上紧；对锚杆锚固力进行抽查，锚固力不小于</w:t>
      </w:r>
      <w:r>
        <w:rPr>
          <w:rFonts w:hint="eastAsia" w:ascii="仿宋" w:hAnsi="仿宋" w:eastAsia="仿宋" w:cs="仿宋"/>
          <w:color w:val="auto"/>
          <w:sz w:val="28"/>
          <w:szCs w:val="28"/>
          <w:highlight w:val="none"/>
          <w:lang w:val="en-US" w:eastAsia="zh-CN"/>
        </w:rPr>
        <w:t>60kN</w:t>
      </w:r>
      <w:r>
        <w:rPr>
          <w:rFonts w:hint="eastAsia" w:ascii="仿宋" w:hAnsi="仿宋" w:eastAsia="仿宋" w:cs="仿宋"/>
          <w:color w:val="auto"/>
          <w:sz w:val="28"/>
          <w:szCs w:val="28"/>
          <w:highlight w:val="none"/>
          <w:lang w:eastAsia="zh-CN"/>
        </w:rPr>
        <w:t>，不合格的锚杆要立即上紧或重新补打。</w:t>
      </w:r>
    </w:p>
    <w:p w14:paraId="694E712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9.当工作面遇断层、构造时，必须补充专门措施，加强支护。</w:t>
      </w:r>
    </w:p>
    <w:p w14:paraId="3BCDC0F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10.要随打眼随安装锚杆。</w:t>
      </w:r>
    </w:p>
    <w:p w14:paraId="1289D8C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11.锚杆（网）的安装顺序：应从顶部向两侧进行，两帮锚杆先安装上部、后安装下部。铺设、联接金属网时，铺设顺序、搭接及联接长度要符合作业规程的规定。铺网时要把网张紧。</w:t>
      </w:r>
    </w:p>
    <w:p w14:paraId="48D32AB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12.巷道支护高度超过2.5</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，或在倾角较大的上下山进行支护施工，应有工作台。</w:t>
      </w:r>
    </w:p>
    <w:p w14:paraId="33DCC8D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十、支护后确认</w:t>
      </w:r>
    </w:p>
    <w:p w14:paraId="7577D31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1.停风：</w:t>
      </w:r>
    </w:p>
    <w:p w14:paraId="46D12F5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关闭进风阀门。</w:t>
      </w:r>
    </w:p>
    <w:p w14:paraId="3E64407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2.支护质量：</w:t>
      </w:r>
    </w:p>
    <w:p w14:paraId="59F57DF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锚杆眼与巷道轮廓线或主要岩层面的角度不低于75°；锚杆扭矩力不小于设计值；锚固力不低于</w:t>
      </w:r>
      <w:r>
        <w:rPr>
          <w:rFonts w:hint="eastAsia" w:ascii="仿宋" w:hAnsi="仿宋" w:eastAsia="仿宋" w:cs="仿宋"/>
          <w:color w:val="auto"/>
          <w:sz w:val="28"/>
          <w:szCs w:val="28"/>
          <w:highlight w:val="none"/>
          <w:lang w:val="en-US" w:eastAsia="zh-CN"/>
        </w:rPr>
        <w:t>60kN</w:t>
      </w:r>
      <w:r>
        <w:rPr>
          <w:rFonts w:hint="eastAsia" w:ascii="仿宋" w:hAnsi="仿宋" w:eastAsia="仿宋" w:cs="仿宋"/>
          <w:color w:val="auto"/>
          <w:sz w:val="28"/>
          <w:szCs w:val="28"/>
          <w:highlight w:val="none"/>
          <w:lang w:eastAsia="zh-CN"/>
        </w:rPr>
        <w:t>，锚杆间排距符合规定；锚索的预紧力为</w:t>
      </w:r>
      <w:r>
        <w:rPr>
          <w:rFonts w:hint="eastAsia" w:ascii="仿宋" w:hAnsi="仿宋" w:eastAsia="仿宋" w:cs="仿宋"/>
          <w:color w:val="auto"/>
          <w:sz w:val="28"/>
          <w:szCs w:val="28"/>
          <w:highlight w:val="none"/>
          <w:lang w:val="en-US" w:eastAsia="zh-CN"/>
        </w:rPr>
        <w:t>150kN</w:t>
      </w:r>
      <w:r>
        <w:rPr>
          <w:rFonts w:hint="eastAsia" w:ascii="仿宋" w:hAnsi="仿宋" w:eastAsia="仿宋" w:cs="仿宋"/>
          <w:color w:val="auto"/>
          <w:sz w:val="28"/>
          <w:szCs w:val="28"/>
          <w:highlight w:val="none"/>
          <w:lang w:eastAsia="zh-CN"/>
        </w:rPr>
        <w:t>，外露长度为150--250 mm；金属网直连零搭接或搭接</w:t>
      </w:r>
      <w:r>
        <w:rPr>
          <w:rFonts w:hint="eastAsia" w:ascii="仿宋" w:hAnsi="仿宋" w:eastAsia="仿宋" w:cs="仿宋"/>
          <w:color w:val="auto"/>
          <w:sz w:val="28"/>
          <w:szCs w:val="28"/>
          <w:highlight w:val="none"/>
          <w:lang w:val="en-US" w:eastAsia="zh-CN"/>
        </w:rPr>
        <w:t>100mm</w:t>
      </w:r>
      <w:r>
        <w:rPr>
          <w:rFonts w:hint="eastAsia" w:ascii="仿宋" w:hAnsi="仿宋" w:eastAsia="仿宋" w:cs="仿宋"/>
          <w:color w:val="auto"/>
          <w:sz w:val="28"/>
          <w:szCs w:val="28"/>
          <w:highlight w:val="none"/>
          <w:lang w:eastAsia="zh-CN"/>
        </w:rPr>
        <w:t>。</w:t>
      </w:r>
    </w:p>
    <w:p w14:paraId="4C65827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3.钻具、风水管：</w:t>
      </w:r>
    </w:p>
    <w:p w14:paraId="6D134AC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钻具撤至无淋水和支护完好的安全地点；风水管按规定的位置吊挂整齐。</w:t>
      </w:r>
    </w:p>
    <w:p w14:paraId="41766E24">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十一、事故案例教育</w:t>
      </w:r>
    </w:p>
    <w:p w14:paraId="0EF520E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（一）事故经过</w:t>
      </w:r>
    </w:p>
    <w:p w14:paraId="1EFC10F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2006年5月6日早班6时30分，掘进一区区长林浩主持召开班前会，强调了现场安全注意事项，然后头长衣忠军组织召开本班组的班前会，安排了本班的主要工作。施工人员到达现场后，王言波带领王连春、王盛志、刘忠臣共4人进行二次支护，其余人员负责卧底工作。平台搭设好后，王言波到平台上领钻，钻杆放好后，王言波躲到平台的左侧，王连春启动钻机进行钻进，刘宗臣负责扶钻，9时50分许，由于王连春操作不当，一味地加大气腿推力，致使钻杆变形弯曲，并脱孔甩出，击伤王言波的头部，随即从平台上摔到地上，导致左手腕骨折。</w:t>
      </w:r>
    </w:p>
    <w:p w14:paraId="3FE9EBA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（二）事故原因</w:t>
      </w:r>
    </w:p>
    <w:p w14:paraId="0AA7366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钻机司机王连春操作不当，一味地加大气腿推力，使钻杆受力过大变形弯曲，导致钻杆甩出，是造成事故的主要原因。</w:t>
      </w:r>
    </w:p>
    <w:p w14:paraId="363ACE9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伤者王言波自主保安意识差，领钻后没有及时离开平台，站位不当，，是造成事故的重要原因。</w:t>
      </w:r>
    </w:p>
    <w:p w14:paraId="2BA8632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班长徐希玉是当班现场安全工作的第一责任者，现场安全管理不到位，也是造成事故的一个重要原因。</w:t>
      </w:r>
    </w:p>
    <w:p w14:paraId="09307A6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头长衣忠军安排工作不严不细，对锚杆钻机使用的安全注意事项强调不具体，现场安全管理不到位，是造成事故的重要原因之一。</w:t>
      </w:r>
    </w:p>
    <w:p w14:paraId="2B7EB24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现场施工人员王连春、王盛志、刘宗臣互保联保意识差，在没有及时提醒伤者离开平台的情况下启动钻机，是造成事故的一个原因。</w:t>
      </w:r>
    </w:p>
    <w:p w14:paraId="46FC833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掘进一区区长兼书记林浩班前会对现场安全注意事项强调不具体，对职工安全教育不到位，是造成事故的一个原因。</w:t>
      </w:r>
    </w:p>
    <w:p w14:paraId="669D358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当班安监员许炳军现场安全监督检查不到位，没有及时发现现场安全隐患，是造成事故的一个原因。</w:t>
      </w:r>
    </w:p>
    <w:p w14:paraId="1D747B6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安监科采掘科科长朱旭光、技术科分管掘进副科长朱江伟安全技术管理不到位，是造成事故的一个原因。</w:t>
      </w:r>
    </w:p>
    <w:p w14:paraId="6F5020D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掘进副总李恭建专业安全技术安全管理不到位，是造成事故的一个原因。</w:t>
      </w:r>
    </w:p>
    <w:p w14:paraId="0CE0B54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安全副总王云炳安全监管不到位，是造成事故的一个原因。</w:t>
      </w:r>
    </w:p>
    <w:p w14:paraId="5D077A0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（三）防范措施</w:t>
      </w:r>
    </w:p>
    <w:p w14:paraId="460AA36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认真贯彻落实好矿13日、24日两次安全办公会议精神，加大严管理力度，狠抓现场施工安全管理，切实做到“安全第一，生产第二”。</w:t>
      </w:r>
    </w:p>
    <w:p w14:paraId="71A6F9C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切实提高各单位班前会质量，安排任何工作首先要强调安全工作，尤其要明确工作量、安全注意事项、施工负责人和安全负责人。</w:t>
      </w:r>
    </w:p>
    <w:p w14:paraId="3499201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认真吸取事故教训，举一反三，进一步强化各级安全责任意识，加大安全工作落实力度，真正使每名员工做到不安全不生产。</w:t>
      </w:r>
    </w:p>
    <w:p w14:paraId="70BB2DE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抓好锚杆钻机应用培训工作，制定专项措施，为锚杆钻机使用提供安全技术保障，同时要求以后在购置新设备、引进新工艺时，一定要调研清楚新设备、新工艺在应用过程中需要注意的安全事项。</w:t>
      </w:r>
    </w:p>
    <w:p w14:paraId="45A3614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加强员工安全教育培训，深入开展好“安全培训教育季”活动，提高员工自主保安、互保联保意识，进一步规范员工操作行为。</w:t>
      </w:r>
    </w:p>
    <w:p w14:paraId="29C52A0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各单位结合井下采场的实际情况，立即组织一次规程措施的再学习、再贯彻，要求每名员工都能熟练掌握，严格按照规程措施规定执行。</w:t>
      </w:r>
    </w:p>
    <w:p w14:paraId="4DBB0C5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进一步强化安监人员的培训教育，突出业务知识培训，落实责任，切实做到安全隐患早发现，安全重点要突出，监督检查有实效。</w:t>
      </w:r>
    </w:p>
    <w:p w14:paraId="1208763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进一步强化班组长、头长以及区队跟班人员安全责任意识，认真落实安全生产责任制，充分发挥班组长现场安全管理第一责任者的作用，切实加强班组安全自主管理。</w:t>
      </w:r>
    </w:p>
    <w:p w14:paraId="60A3E55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深入排查各基层单位的不安全人物，从各个环节、各个岗位、各个细节入手，严细排查，落实帮教措施，杜绝违章蛮干现象。</w:t>
      </w:r>
    </w:p>
    <w:p w14:paraId="3D523A0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10</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加大安全监督检查力度，深入开展“三惯”和屡查屡犯问题的专项整治，进一步排查日常工作中存在的“三惯”现象，制定针对性措施，彻底消灭安全工作中存在的不良现象。</w:t>
      </w:r>
    </w:p>
    <w:p w14:paraId="31EDB369">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十二、常见三违</w:t>
      </w:r>
    </w:p>
    <w:p w14:paraId="4C54AEF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（一）不执行“敲帮问顶”制度或空顶作业的；</w:t>
      </w:r>
    </w:p>
    <w:p w14:paraId="7C64FF4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（二）掘进工作面甲烷浓度超限继续作业的；</w:t>
      </w:r>
    </w:p>
    <w:p w14:paraId="6A88299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（三）使用过期、失效的树脂锚固剂、水泥锚固剂、减水剂、水泥等材料支护的；</w:t>
      </w:r>
    </w:p>
    <w:p w14:paraId="6CC34E8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（四）戴手套操作风煤钻；</w:t>
      </w:r>
    </w:p>
    <w:p w14:paraId="65544E0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（五）操作风煤钻时衣袖未系、衣襟未绑扎的；</w:t>
      </w:r>
    </w:p>
    <w:p w14:paraId="0E0E348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（六）返修施打锚杆时不挂瓦检仪的；</w:t>
      </w:r>
    </w:p>
    <w:p w14:paraId="33B0386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（七）风煤钻和风管连接卡子没有弯倒或加以保护的；</w:t>
      </w:r>
    </w:p>
    <w:p w14:paraId="40EC0CD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（八）风煤钻无保护套的；</w:t>
      </w:r>
    </w:p>
    <w:p w14:paraId="6240583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（九）</w:t>
      </w:r>
      <w:r>
        <w:rPr>
          <w:rFonts w:hint="eastAsia" w:ascii="仿宋" w:hAnsi="仿宋" w:eastAsia="仿宋" w:cs="仿宋"/>
          <w:color w:val="auto"/>
          <w:sz w:val="28"/>
          <w:szCs w:val="28"/>
          <w:highlight w:val="none"/>
          <w:lang w:eastAsia="zh-CN"/>
        </w:rPr>
        <w:t>锚杆的预紧力、外露长度不符合作业规程的规定的；</w:t>
      </w:r>
    </w:p>
    <w:p w14:paraId="1056D25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（十）支护过程中，未对工作点的电缆、风筒、风水管路及机电设备妥加保护的。</w:t>
      </w:r>
    </w:p>
    <w:p w14:paraId="0A603562">
      <w:pPr>
        <w:rPr>
          <w:rFonts w:hint="eastAsia" w:ascii="仿宋" w:hAnsi="仿宋" w:eastAsia="仿宋" w:cs="仿宋"/>
          <w:b/>
          <w:bCs/>
          <w:color w:val="auto"/>
          <w:kern w:val="0"/>
          <w:sz w:val="36"/>
          <w:szCs w:val="36"/>
          <w:highlight w:val="none"/>
          <w:lang w:val="en-US" w:eastAsia="zh-CN"/>
        </w:rPr>
      </w:pPr>
      <w:bookmarkStart w:id="149" w:name="_Toc19466"/>
      <w:bookmarkStart w:id="150" w:name="_Toc2667"/>
      <w:bookmarkStart w:id="151" w:name="_Toc10925"/>
      <w:bookmarkStart w:id="152" w:name="_Toc10431"/>
      <w:bookmarkStart w:id="153" w:name="_Toc30902"/>
      <w:r>
        <w:rPr>
          <w:rFonts w:hint="eastAsia" w:ascii="仿宋" w:hAnsi="仿宋" w:eastAsia="仿宋" w:cs="仿宋"/>
          <w:b/>
          <w:bCs/>
          <w:color w:val="auto"/>
          <w:kern w:val="0"/>
          <w:sz w:val="36"/>
          <w:szCs w:val="36"/>
          <w:highlight w:val="none"/>
          <w:lang w:val="en-US" w:eastAsia="zh-CN"/>
        </w:rPr>
        <w:br w:type="page"/>
      </w:r>
    </w:p>
    <w:p w14:paraId="7444BC2F">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36"/>
          <w:szCs w:val="36"/>
          <w:highlight w:val="none"/>
          <w:lang w:val="en-US" w:eastAsia="zh-CN"/>
        </w:rPr>
      </w:pPr>
      <w:bookmarkStart w:id="154" w:name="_Toc22711"/>
      <w:r>
        <w:rPr>
          <w:rFonts w:hint="eastAsia" w:ascii="仿宋" w:hAnsi="仿宋" w:eastAsia="仿宋" w:cs="仿宋"/>
          <w:b/>
          <w:bCs/>
          <w:color w:val="auto"/>
          <w:kern w:val="0"/>
          <w:sz w:val="36"/>
          <w:szCs w:val="36"/>
          <w:highlight w:val="none"/>
          <w:lang w:val="en-US" w:eastAsia="zh-CN"/>
        </w:rPr>
        <w:t>回柱绞车司机</w:t>
      </w:r>
      <w:bookmarkEnd w:id="149"/>
      <w:bookmarkEnd w:id="150"/>
      <w:bookmarkEnd w:id="151"/>
      <w:bookmarkEnd w:id="152"/>
      <w:bookmarkEnd w:id="153"/>
      <w:bookmarkEnd w:id="154"/>
    </w:p>
    <w:tbl>
      <w:tblPr>
        <w:tblStyle w:val="12"/>
        <w:tblW w:w="9038" w:type="dxa"/>
        <w:jc w:val="center"/>
        <w:tblLayout w:type="fixed"/>
        <w:tblCellMar>
          <w:top w:w="0" w:type="dxa"/>
          <w:left w:w="108" w:type="dxa"/>
          <w:bottom w:w="0" w:type="dxa"/>
          <w:right w:w="108" w:type="dxa"/>
        </w:tblCellMar>
      </w:tblPr>
      <w:tblGrid>
        <w:gridCol w:w="908"/>
        <w:gridCol w:w="3819"/>
        <w:gridCol w:w="711"/>
        <w:gridCol w:w="3600"/>
      </w:tblGrid>
      <w:tr w14:paraId="59581477">
        <w:tblPrEx>
          <w:tblCellMar>
            <w:top w:w="0" w:type="dxa"/>
            <w:left w:w="108" w:type="dxa"/>
            <w:bottom w:w="0" w:type="dxa"/>
            <w:right w:w="108" w:type="dxa"/>
          </w:tblCellMar>
        </w:tblPrEx>
        <w:trPr>
          <w:trHeight w:val="471" w:hRule="atLeast"/>
          <w:jc w:val="center"/>
        </w:trPr>
        <w:tc>
          <w:tcPr>
            <w:tcW w:w="9038" w:type="dxa"/>
            <w:gridSpan w:val="4"/>
            <w:tcBorders>
              <w:top w:val="single" w:color="auto" w:sz="4" w:space="0"/>
              <w:left w:val="single" w:color="auto" w:sz="4" w:space="0"/>
              <w:bottom w:val="single" w:color="auto" w:sz="4" w:space="0"/>
              <w:right w:val="single" w:color="auto" w:sz="4" w:space="0"/>
            </w:tcBorders>
            <w:vAlign w:val="center"/>
          </w:tcPr>
          <w:p w14:paraId="475A722D">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回柱绞车</w:t>
            </w:r>
            <w:r>
              <w:rPr>
                <w:rFonts w:hint="eastAsia" w:ascii="仿宋" w:hAnsi="仿宋" w:eastAsia="仿宋" w:cs="仿宋"/>
                <w:color w:val="auto"/>
                <w:kern w:val="0"/>
                <w:sz w:val="21"/>
                <w:szCs w:val="21"/>
              </w:rPr>
              <w:t>司机岗位风险告知卡</w:t>
            </w:r>
          </w:p>
        </w:tc>
      </w:tr>
      <w:tr w14:paraId="78941C90">
        <w:tblPrEx>
          <w:tblCellMar>
            <w:top w:w="0" w:type="dxa"/>
            <w:left w:w="108" w:type="dxa"/>
            <w:bottom w:w="0" w:type="dxa"/>
            <w:right w:w="108" w:type="dxa"/>
          </w:tblCellMar>
        </w:tblPrEx>
        <w:trPr>
          <w:trHeight w:val="997" w:hRule="atLeast"/>
          <w:jc w:val="center"/>
        </w:trPr>
        <w:tc>
          <w:tcPr>
            <w:tcW w:w="908" w:type="dxa"/>
            <w:tcBorders>
              <w:top w:val="nil"/>
              <w:left w:val="single" w:color="auto" w:sz="4" w:space="0"/>
              <w:bottom w:val="single" w:color="auto" w:sz="4" w:space="0"/>
              <w:right w:val="single" w:color="auto" w:sz="4" w:space="0"/>
            </w:tcBorders>
            <w:vAlign w:val="center"/>
          </w:tcPr>
          <w:p w14:paraId="3BFA0C72">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30E22F2D">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3819" w:type="dxa"/>
            <w:tcBorders>
              <w:top w:val="nil"/>
              <w:left w:val="nil"/>
              <w:bottom w:val="single" w:color="auto" w:sz="4" w:space="0"/>
              <w:right w:val="single" w:color="auto" w:sz="4" w:space="0"/>
            </w:tcBorders>
            <w:vAlign w:val="center"/>
          </w:tcPr>
          <w:p w14:paraId="0B3E3038">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w:t>
            </w:r>
            <w:r>
              <w:rPr>
                <w:rFonts w:hint="eastAsia" w:ascii="仿宋" w:hAnsi="仿宋" w:eastAsia="仿宋" w:cs="仿宋"/>
                <w:color w:val="auto"/>
                <w:kern w:val="0"/>
                <w:sz w:val="21"/>
                <w:szCs w:val="21"/>
                <w:lang w:eastAsia="zh-CN"/>
              </w:rPr>
              <w:t>甲烷</w:t>
            </w:r>
            <w:r>
              <w:rPr>
                <w:rFonts w:hint="eastAsia" w:ascii="仿宋" w:hAnsi="仿宋" w:eastAsia="仿宋" w:cs="仿宋"/>
                <w:color w:val="auto"/>
                <w:kern w:val="0"/>
                <w:sz w:val="21"/>
                <w:szCs w:val="21"/>
              </w:rPr>
              <w:t>、运输、物体打击、职业病危害</w:t>
            </w:r>
          </w:p>
        </w:tc>
        <w:tc>
          <w:tcPr>
            <w:tcW w:w="711" w:type="dxa"/>
            <w:tcBorders>
              <w:top w:val="nil"/>
              <w:left w:val="nil"/>
              <w:bottom w:val="single" w:color="auto" w:sz="4" w:space="0"/>
              <w:right w:val="single" w:color="auto" w:sz="4" w:space="0"/>
            </w:tcBorders>
            <w:vAlign w:val="center"/>
          </w:tcPr>
          <w:p w14:paraId="4EB02443">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eastAsia="zh-CN"/>
              </w:rPr>
              <w:t>事</w:t>
            </w:r>
            <w:r>
              <w:rPr>
                <w:rFonts w:hint="eastAsia" w:ascii="仿宋" w:hAnsi="仿宋" w:eastAsia="仿宋" w:cs="仿宋"/>
                <w:b/>
                <w:bCs/>
                <w:color w:val="auto"/>
                <w:kern w:val="0"/>
                <w:sz w:val="21"/>
                <w:szCs w:val="21"/>
              </w:rPr>
              <w:t>故报告</w:t>
            </w:r>
          </w:p>
        </w:tc>
        <w:tc>
          <w:tcPr>
            <w:tcW w:w="3600" w:type="dxa"/>
            <w:tcBorders>
              <w:top w:val="nil"/>
              <w:left w:val="nil"/>
              <w:bottom w:val="single" w:color="auto" w:sz="4" w:space="0"/>
              <w:right w:val="single" w:color="auto" w:sz="4" w:space="0"/>
            </w:tcBorders>
            <w:vAlign w:val="center"/>
          </w:tcPr>
          <w:p w14:paraId="0E81F9B1">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highlight w:val="none"/>
                <w:lang w:eastAsia="zh-CN"/>
              </w:rPr>
              <w:t>8650200、8650202、“#”</w:t>
            </w:r>
          </w:p>
          <w:p w14:paraId="3C4BA715">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工区值班：8</w:t>
            </w:r>
            <w:r>
              <w:rPr>
                <w:rFonts w:hint="eastAsia" w:ascii="仿宋" w:hAnsi="仿宋" w:eastAsia="仿宋" w:cs="仿宋"/>
                <w:color w:val="auto"/>
                <w:kern w:val="0"/>
                <w:sz w:val="21"/>
                <w:szCs w:val="21"/>
                <w:lang w:val="en-US" w:eastAsia="zh-CN"/>
              </w:rPr>
              <w:t>650807</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7687E0D9">
        <w:tblPrEx>
          <w:tblCellMar>
            <w:top w:w="0" w:type="dxa"/>
            <w:left w:w="108" w:type="dxa"/>
            <w:bottom w:w="0" w:type="dxa"/>
            <w:right w:w="108" w:type="dxa"/>
          </w:tblCellMar>
        </w:tblPrEx>
        <w:trPr>
          <w:trHeight w:val="489"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1CD1EFA5">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311" w:type="dxa"/>
            <w:gridSpan w:val="2"/>
            <w:tcBorders>
              <w:top w:val="single" w:color="auto" w:sz="4" w:space="0"/>
              <w:left w:val="nil"/>
              <w:bottom w:val="single" w:color="auto" w:sz="4" w:space="0"/>
              <w:right w:val="single" w:color="auto" w:sz="4" w:space="0"/>
            </w:tcBorders>
            <w:vAlign w:val="center"/>
          </w:tcPr>
          <w:p w14:paraId="42828B03">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20FC097B">
        <w:tblPrEx>
          <w:tblCellMar>
            <w:top w:w="0" w:type="dxa"/>
            <w:left w:w="108" w:type="dxa"/>
            <w:bottom w:w="0" w:type="dxa"/>
            <w:right w:w="108" w:type="dxa"/>
          </w:tblCellMar>
        </w:tblPrEx>
        <w:trPr>
          <w:trHeight w:val="1176"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4B56A157">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43AD447B">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1.经培训合格后，持证上岗；佩戴好安全帽、口罩、耳塞，执行好“三紧两不要；检查好顶帮支护情况，确保顶帮支护合格后方可上岗作业</w:t>
            </w:r>
            <w:r>
              <w:rPr>
                <w:rFonts w:hint="eastAsia" w:ascii="仿宋" w:hAnsi="仿宋" w:eastAsia="仿宋" w:cs="仿宋"/>
                <w:color w:val="auto"/>
                <w:kern w:val="0"/>
                <w:sz w:val="21"/>
                <w:szCs w:val="21"/>
                <w:lang w:eastAsia="zh-CN"/>
              </w:rPr>
              <w:t>。</w:t>
            </w:r>
          </w:p>
        </w:tc>
      </w:tr>
      <w:tr w14:paraId="7CC88562">
        <w:tblPrEx>
          <w:tblCellMar>
            <w:top w:w="0" w:type="dxa"/>
            <w:left w:w="108" w:type="dxa"/>
            <w:bottom w:w="0" w:type="dxa"/>
            <w:right w:w="108" w:type="dxa"/>
          </w:tblCellMar>
        </w:tblPrEx>
        <w:trPr>
          <w:trHeight w:val="984"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5200ADFB">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2.开关、照明、信号或按钮不完好；固定不牢固；钢丝绳断丝超限或不符合规定</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3A680BE6">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2.开车前必须检查好开关、照明、信号、按钮；各部件完好，固定牢固；检查钢丝绳，确认完好，断丝不超限</w:t>
            </w:r>
            <w:r>
              <w:rPr>
                <w:rFonts w:hint="eastAsia" w:ascii="仿宋" w:hAnsi="仿宋" w:eastAsia="仿宋" w:cs="仿宋"/>
                <w:color w:val="auto"/>
                <w:kern w:val="0"/>
                <w:sz w:val="21"/>
                <w:szCs w:val="21"/>
                <w:lang w:eastAsia="zh-CN"/>
              </w:rPr>
              <w:t>。</w:t>
            </w:r>
          </w:p>
        </w:tc>
      </w:tr>
      <w:tr w14:paraId="204443A7">
        <w:tblPrEx>
          <w:tblCellMar>
            <w:top w:w="0" w:type="dxa"/>
            <w:left w:w="108" w:type="dxa"/>
            <w:bottom w:w="0" w:type="dxa"/>
            <w:right w:w="108" w:type="dxa"/>
          </w:tblCellMar>
        </w:tblPrEx>
        <w:trPr>
          <w:trHeight w:val="760"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1F966D73">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3.靠近运转部位，造成人身伤害；制动闸、调速手柄不能正常使用</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537E75DC">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3.运行前确认稳车运行形成附近无人；检查稳车各部位，确保完好、正常</w:t>
            </w:r>
            <w:r>
              <w:rPr>
                <w:rFonts w:hint="eastAsia" w:ascii="仿宋" w:hAnsi="仿宋" w:eastAsia="仿宋" w:cs="仿宋"/>
                <w:color w:val="auto"/>
                <w:kern w:val="0"/>
                <w:sz w:val="21"/>
                <w:szCs w:val="21"/>
                <w:lang w:eastAsia="zh-CN"/>
              </w:rPr>
              <w:t>。</w:t>
            </w:r>
          </w:p>
        </w:tc>
      </w:tr>
      <w:tr w14:paraId="3E9EE024">
        <w:tblPrEx>
          <w:tblCellMar>
            <w:top w:w="0" w:type="dxa"/>
            <w:left w:w="108" w:type="dxa"/>
            <w:bottom w:w="0" w:type="dxa"/>
            <w:right w:w="108" w:type="dxa"/>
          </w:tblCellMar>
        </w:tblPrEx>
        <w:trPr>
          <w:trHeight w:val="1249"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1236BC9A">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4.稳车不排绳、容绳超规定；运行过程中发生异常或出现异响</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6543160A">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4.稳车必须按照轨道中心线安设，因条件限制无法沿轨道中心线安设时必须使用导向轮，否则不得使用；发生异响或出现异常时立即停车处理</w:t>
            </w:r>
            <w:r>
              <w:rPr>
                <w:rFonts w:hint="eastAsia" w:ascii="仿宋" w:hAnsi="仿宋" w:eastAsia="仿宋" w:cs="仿宋"/>
                <w:color w:val="auto"/>
                <w:kern w:val="0"/>
                <w:sz w:val="21"/>
                <w:szCs w:val="21"/>
                <w:lang w:eastAsia="zh-CN"/>
              </w:rPr>
              <w:t>。</w:t>
            </w:r>
          </w:p>
        </w:tc>
      </w:tr>
      <w:tr w14:paraId="4109FDAC">
        <w:tblPrEx>
          <w:tblCellMar>
            <w:top w:w="0" w:type="dxa"/>
            <w:left w:w="108" w:type="dxa"/>
            <w:bottom w:w="0" w:type="dxa"/>
            <w:right w:w="108" w:type="dxa"/>
          </w:tblCellMar>
        </w:tblPrEx>
        <w:trPr>
          <w:trHeight w:val="654"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14:paraId="625BDC7E">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5.信号器不完好，信号不清，无法发出警示；未停电闭锁</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14:paraId="6FE0B340">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5.检查信号是否完好，信号不清不得提升；停车后立即停电闭锁</w:t>
            </w:r>
            <w:r>
              <w:rPr>
                <w:rFonts w:hint="eastAsia" w:ascii="仿宋" w:hAnsi="仿宋" w:eastAsia="仿宋" w:cs="仿宋"/>
                <w:color w:val="auto"/>
                <w:kern w:val="0"/>
                <w:sz w:val="21"/>
                <w:szCs w:val="21"/>
                <w:lang w:eastAsia="zh-CN"/>
              </w:rPr>
              <w:t>。</w:t>
            </w:r>
          </w:p>
        </w:tc>
      </w:tr>
      <w:tr w14:paraId="11E21445">
        <w:tblPrEx>
          <w:tblCellMar>
            <w:top w:w="0" w:type="dxa"/>
            <w:left w:w="108" w:type="dxa"/>
            <w:bottom w:w="0" w:type="dxa"/>
            <w:right w:w="108" w:type="dxa"/>
          </w:tblCellMar>
        </w:tblPrEx>
        <w:trPr>
          <w:trHeight w:val="1172" w:hRule="atLeast"/>
          <w:jc w:val="center"/>
        </w:trPr>
        <w:tc>
          <w:tcPr>
            <w:tcW w:w="908" w:type="dxa"/>
            <w:tcBorders>
              <w:top w:val="nil"/>
              <w:left w:val="single" w:color="auto" w:sz="4" w:space="0"/>
              <w:bottom w:val="single" w:color="auto" w:sz="4" w:space="0"/>
              <w:right w:val="single" w:color="auto" w:sz="4" w:space="0"/>
            </w:tcBorders>
            <w:vAlign w:val="center"/>
          </w:tcPr>
          <w:p w14:paraId="61A04EA7">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7125500C">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30" w:type="dxa"/>
            <w:gridSpan w:val="3"/>
            <w:tcBorders>
              <w:top w:val="single" w:color="auto" w:sz="4" w:space="0"/>
              <w:left w:val="nil"/>
              <w:bottom w:val="single" w:color="auto" w:sz="4" w:space="0"/>
              <w:right w:val="single" w:color="auto" w:sz="4" w:space="0"/>
            </w:tcBorders>
            <w:vAlign w:val="center"/>
          </w:tcPr>
          <w:p w14:paraId="6A538424">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3358066C">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75705EE0">
        <w:tblPrEx>
          <w:tblCellMar>
            <w:top w:w="0" w:type="dxa"/>
            <w:left w:w="108" w:type="dxa"/>
            <w:bottom w:w="0" w:type="dxa"/>
            <w:right w:w="108" w:type="dxa"/>
          </w:tblCellMar>
        </w:tblPrEx>
        <w:trPr>
          <w:trHeight w:val="1497" w:hRule="atLeast"/>
          <w:jc w:val="center"/>
        </w:trPr>
        <w:tc>
          <w:tcPr>
            <w:tcW w:w="908" w:type="dxa"/>
            <w:tcBorders>
              <w:top w:val="nil"/>
              <w:left w:val="single" w:color="auto" w:sz="4" w:space="0"/>
              <w:bottom w:val="single" w:color="auto" w:sz="4" w:space="0"/>
              <w:right w:val="single" w:color="auto" w:sz="4" w:space="0"/>
            </w:tcBorders>
            <w:vAlign w:val="center"/>
          </w:tcPr>
          <w:p w14:paraId="165F98A6">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4B6F7C1B">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1440BF2E">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130" w:type="dxa"/>
            <w:gridSpan w:val="3"/>
            <w:tcBorders>
              <w:top w:val="single" w:color="auto" w:sz="4" w:space="0"/>
              <w:left w:val="nil"/>
              <w:bottom w:val="single" w:color="auto" w:sz="4" w:space="0"/>
              <w:right w:val="single" w:color="auto" w:sz="4" w:space="0"/>
            </w:tcBorders>
            <w:vAlign w:val="center"/>
          </w:tcPr>
          <w:p w14:paraId="49293942">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出现紧急情况时，立即停车闭锁，找出故障点并将故障排除检查完毕方可开车。</w:t>
            </w:r>
          </w:p>
          <w:p w14:paraId="23CA3321">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78640778">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color w:val="auto"/>
          <w:sz w:val="21"/>
          <w:szCs w:val="21"/>
        </w:rPr>
      </w:pPr>
    </w:p>
    <w:p w14:paraId="2882CF54">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lang w:val="en-US" w:eastAsia="zh-CN"/>
        </w:rPr>
        <w:t>回柱绞车</w:t>
      </w:r>
      <w:r>
        <w:rPr>
          <w:rFonts w:hint="eastAsia" w:ascii="仿宋" w:hAnsi="仿宋" w:eastAsia="仿宋" w:cs="仿宋"/>
          <w:b/>
          <w:color w:val="auto"/>
          <w:sz w:val="21"/>
          <w:szCs w:val="21"/>
        </w:rPr>
        <w:t>司机安全提示卡</w:t>
      </w:r>
    </w:p>
    <w:tbl>
      <w:tblPr>
        <w:tblStyle w:val="12"/>
        <w:tblpPr w:leftFromText="180" w:rightFromText="180" w:vertAnchor="text" w:horzAnchor="margin" w:tblpXSpec="center" w:tblpY="159"/>
        <w:tblW w:w="90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03"/>
        <w:gridCol w:w="4427"/>
      </w:tblGrid>
      <w:tr w14:paraId="58120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05C09EA7">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开车前检查</w:t>
            </w:r>
          </w:p>
        </w:tc>
        <w:tc>
          <w:tcPr>
            <w:tcW w:w="4427" w:type="dxa"/>
            <w:vAlign w:val="center"/>
          </w:tcPr>
          <w:p w14:paraId="0720FE2C">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停车后确认</w:t>
            </w:r>
          </w:p>
        </w:tc>
      </w:tr>
      <w:tr w14:paraId="57A16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61C860D8">
            <w:pPr>
              <w:keepNext w:val="0"/>
              <w:keepLines w:val="0"/>
              <w:pageBreakBefore w:val="0"/>
              <w:kinsoku/>
              <w:wordWrap/>
              <w:overflowPunct/>
              <w:topLinePunct w:val="0"/>
              <w:autoSpaceDE/>
              <w:bidi w:val="0"/>
              <w:adjustRightInd/>
              <w:snapToGrid/>
              <w:spacing w:line="240" w:lineRule="auto"/>
              <w:ind w:firstLine="205" w:firstLineChars="98"/>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4427" w:type="dxa"/>
            <w:vAlign w:val="center"/>
          </w:tcPr>
          <w:p w14:paraId="40573ACC">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★1.闸把</w:t>
            </w:r>
          </w:p>
        </w:tc>
      </w:tr>
      <w:tr w14:paraId="44402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56A50FEC">
            <w:pPr>
              <w:keepNext w:val="0"/>
              <w:keepLines w:val="0"/>
              <w:pageBreakBefore w:val="0"/>
              <w:kinsoku/>
              <w:wordWrap/>
              <w:overflowPunct/>
              <w:topLinePunct w:val="0"/>
              <w:autoSpaceDE/>
              <w:bidi w:val="0"/>
              <w:adjustRightInd/>
              <w:snapToGrid/>
              <w:spacing w:line="240" w:lineRule="auto"/>
              <w:ind w:firstLine="210" w:firstLineChars="100"/>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2.照明</w:t>
            </w:r>
          </w:p>
        </w:tc>
        <w:tc>
          <w:tcPr>
            <w:tcW w:w="4427" w:type="dxa"/>
            <w:vAlign w:val="center"/>
          </w:tcPr>
          <w:p w14:paraId="46C963B1">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★2.停电闭锁</w:t>
            </w:r>
          </w:p>
        </w:tc>
      </w:tr>
      <w:tr w14:paraId="1836A4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3AA46D09">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★3.人员、障碍物</w:t>
            </w:r>
          </w:p>
        </w:tc>
        <w:tc>
          <w:tcPr>
            <w:tcW w:w="4427" w:type="dxa"/>
            <w:vAlign w:val="center"/>
          </w:tcPr>
          <w:p w14:paraId="0E120474">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c>
      </w:tr>
      <w:tr w14:paraId="19C6D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14:paraId="3681AFEC">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★4.站位</w:t>
            </w:r>
          </w:p>
        </w:tc>
        <w:tc>
          <w:tcPr>
            <w:tcW w:w="4427" w:type="dxa"/>
            <w:vAlign w:val="center"/>
          </w:tcPr>
          <w:p w14:paraId="5993636D">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c>
      </w:tr>
      <w:tr w14:paraId="3CFD2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9030" w:type="dxa"/>
            <w:gridSpan w:val="2"/>
            <w:vAlign w:val="top"/>
          </w:tcPr>
          <w:p w14:paraId="6D5FE27B">
            <w:pPr>
              <w:keepNext w:val="0"/>
              <w:keepLines w:val="0"/>
              <w:pageBreakBefore w:val="0"/>
              <w:kinsoku/>
              <w:wordWrap/>
              <w:overflowPunct/>
              <w:topLinePunct w:val="0"/>
              <w:autoSpaceDE/>
              <w:bidi w:val="0"/>
              <w:adjustRightInd/>
              <w:snapToGrid/>
              <w:spacing w:line="240" w:lineRule="auto"/>
              <w:ind w:firstLine="411" w:firstLineChars="196"/>
              <w:jc w:val="both"/>
              <w:textAlignment w:val="auto"/>
              <w:outlineLvl w:val="9"/>
              <w:rPr>
                <w:rFonts w:hint="eastAsia" w:ascii="仿宋" w:hAnsi="仿宋" w:eastAsia="仿宋" w:cs="仿宋"/>
                <w:b/>
                <w:color w:val="auto"/>
                <w:w w:val="95"/>
                <w:sz w:val="21"/>
                <w:szCs w:val="21"/>
              </w:rPr>
            </w:pPr>
            <w:r>
              <w:rPr>
                <w:rFonts w:hint="eastAsia" w:ascii="仿宋" w:hAnsi="仿宋" w:eastAsia="仿宋" w:cs="仿宋"/>
                <w:b w:val="0"/>
                <w:bCs/>
                <w:color w:val="auto"/>
                <w:sz w:val="21"/>
                <w:szCs w:val="21"/>
              </w:rPr>
              <w:t>注：第一次按开车前内容逐项检查并确认，存在问题整改后再确认；中间再次开车只检查带“★”部分；提升任务全部结束后按停车后确认内容逐项检查并确认。</w:t>
            </w:r>
          </w:p>
        </w:tc>
      </w:tr>
    </w:tbl>
    <w:p w14:paraId="652E1645">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val="0"/>
          <w:bCs/>
          <w:color w:val="auto"/>
          <w:sz w:val="21"/>
          <w:szCs w:val="21"/>
        </w:rPr>
      </w:pPr>
      <w:bookmarkStart w:id="155" w:name="_Toc22301"/>
      <w:bookmarkStart w:id="156" w:name="_Toc28244"/>
      <w:bookmarkStart w:id="157" w:name="_Toc22438"/>
    </w:p>
    <w:p w14:paraId="24ABD21A">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lang w:val="en-US" w:eastAsia="zh-CN"/>
        </w:rPr>
        <w:t>回柱</w:t>
      </w:r>
      <w:r>
        <w:rPr>
          <w:rFonts w:hint="eastAsia" w:ascii="仿宋" w:hAnsi="仿宋" w:eastAsia="仿宋" w:cs="仿宋"/>
          <w:b w:val="0"/>
          <w:bCs/>
          <w:color w:val="auto"/>
          <w:sz w:val="21"/>
          <w:szCs w:val="21"/>
        </w:rPr>
        <w:t>绞车单元检查表</w:t>
      </w:r>
      <w:bookmarkEnd w:id="155"/>
      <w:bookmarkEnd w:id="156"/>
      <w:bookmarkEnd w:id="157"/>
    </w:p>
    <w:tbl>
      <w:tblPr>
        <w:tblStyle w:val="12"/>
        <w:tblpPr w:leftFromText="180" w:rightFromText="180" w:vertAnchor="text" w:horzAnchor="margin" w:tblpXSpec="center" w:tblpY="202"/>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0"/>
      </w:tblGrid>
      <w:tr w14:paraId="4459EE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14:paraId="29AADE69">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1.记录、信号、按钮</w:t>
            </w:r>
          </w:p>
        </w:tc>
      </w:tr>
      <w:tr w14:paraId="378A1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14:paraId="639BDC34">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2.固定</w:t>
            </w:r>
          </w:p>
        </w:tc>
      </w:tr>
      <w:tr w14:paraId="47B4C0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14:paraId="7C7DBEE8">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3.电机</w:t>
            </w:r>
          </w:p>
        </w:tc>
      </w:tr>
      <w:tr w14:paraId="000D08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trPr>
        <w:tc>
          <w:tcPr>
            <w:tcW w:w="8920" w:type="dxa"/>
            <w:vAlign w:val="center"/>
          </w:tcPr>
          <w:p w14:paraId="65A65CD7">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4.制动闸、调速手把</w:t>
            </w:r>
          </w:p>
        </w:tc>
      </w:tr>
      <w:tr w14:paraId="7BDB7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exact"/>
        </w:trPr>
        <w:tc>
          <w:tcPr>
            <w:tcW w:w="8920" w:type="dxa"/>
            <w:vAlign w:val="center"/>
          </w:tcPr>
          <w:p w14:paraId="4D1452C8">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5.钢丝绳</w:t>
            </w:r>
          </w:p>
        </w:tc>
      </w:tr>
      <w:tr w14:paraId="444A2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exact"/>
        </w:trPr>
        <w:tc>
          <w:tcPr>
            <w:tcW w:w="8920" w:type="dxa"/>
            <w:vAlign w:val="center"/>
          </w:tcPr>
          <w:p w14:paraId="5C9301F0">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b w:val="0"/>
                <w:bCs/>
                <w:color w:val="auto"/>
                <w:sz w:val="21"/>
                <w:szCs w:val="21"/>
              </w:rPr>
              <w:t>接班后检查一次，单元检查表检查前，先进行停电闭锁确认。</w:t>
            </w:r>
          </w:p>
        </w:tc>
      </w:tr>
    </w:tbl>
    <w:p w14:paraId="13B24B62">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bl>
      <w:tblPr>
        <w:tblStyle w:val="12"/>
        <w:tblW w:w="9040" w:type="dxa"/>
        <w:jc w:val="center"/>
        <w:tblLayout w:type="fixed"/>
        <w:tblCellMar>
          <w:top w:w="0" w:type="dxa"/>
          <w:left w:w="108" w:type="dxa"/>
          <w:bottom w:w="0" w:type="dxa"/>
          <w:right w:w="108" w:type="dxa"/>
        </w:tblCellMar>
      </w:tblPr>
      <w:tblGrid>
        <w:gridCol w:w="798"/>
        <w:gridCol w:w="1916"/>
        <w:gridCol w:w="6326"/>
      </w:tblGrid>
      <w:tr w14:paraId="7FA7F09A">
        <w:tblPrEx>
          <w:tblCellMar>
            <w:top w:w="0" w:type="dxa"/>
            <w:left w:w="108" w:type="dxa"/>
            <w:bottom w:w="0" w:type="dxa"/>
            <w:right w:w="108" w:type="dxa"/>
          </w:tblCellMar>
        </w:tblPrEx>
        <w:trPr>
          <w:trHeight w:val="482" w:hRule="atLeast"/>
          <w:jc w:val="center"/>
        </w:trPr>
        <w:tc>
          <w:tcPr>
            <w:tcW w:w="9040" w:type="dxa"/>
            <w:gridSpan w:val="3"/>
            <w:tcBorders>
              <w:top w:val="single" w:color="auto" w:sz="4" w:space="0"/>
              <w:left w:val="single" w:color="auto" w:sz="4" w:space="0"/>
              <w:bottom w:val="single" w:color="auto" w:sz="4" w:space="0"/>
              <w:right w:val="single" w:color="auto" w:sz="4" w:space="0"/>
            </w:tcBorders>
            <w:vAlign w:val="center"/>
          </w:tcPr>
          <w:p w14:paraId="3D8601FA">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val="en-US" w:eastAsia="zh-CN"/>
              </w:rPr>
              <w:t>回柱</w:t>
            </w:r>
            <w:r>
              <w:rPr>
                <w:rFonts w:hint="eastAsia" w:ascii="仿宋" w:hAnsi="仿宋" w:eastAsia="仿宋" w:cs="仿宋"/>
                <w:b/>
                <w:color w:val="auto"/>
                <w:sz w:val="21"/>
                <w:szCs w:val="21"/>
              </w:rPr>
              <w:t>绞车司机操作过程注意事项</w:t>
            </w:r>
          </w:p>
        </w:tc>
      </w:tr>
      <w:tr w14:paraId="671D8D48">
        <w:tblPrEx>
          <w:tblCellMar>
            <w:top w:w="0" w:type="dxa"/>
            <w:left w:w="108" w:type="dxa"/>
            <w:bottom w:w="0" w:type="dxa"/>
            <w:right w:w="108" w:type="dxa"/>
          </w:tblCellMar>
        </w:tblPrEx>
        <w:trPr>
          <w:trHeight w:val="482" w:hRule="atLeast"/>
          <w:jc w:val="center"/>
        </w:trPr>
        <w:tc>
          <w:tcPr>
            <w:tcW w:w="798" w:type="dxa"/>
            <w:tcBorders>
              <w:top w:val="single" w:color="auto" w:sz="4" w:space="0"/>
              <w:left w:val="single" w:color="auto" w:sz="4" w:space="0"/>
              <w:bottom w:val="single" w:color="auto" w:sz="4" w:space="0"/>
              <w:right w:val="single" w:color="auto" w:sz="4" w:space="0"/>
            </w:tcBorders>
            <w:vAlign w:val="center"/>
          </w:tcPr>
          <w:p w14:paraId="4E944E43">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916" w:type="dxa"/>
            <w:tcBorders>
              <w:top w:val="single" w:color="auto" w:sz="4" w:space="0"/>
              <w:left w:val="nil"/>
              <w:bottom w:val="single" w:color="auto" w:sz="4" w:space="0"/>
              <w:right w:val="single" w:color="auto" w:sz="4" w:space="0"/>
            </w:tcBorders>
            <w:vAlign w:val="center"/>
          </w:tcPr>
          <w:p w14:paraId="71129546">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326" w:type="dxa"/>
            <w:tcBorders>
              <w:top w:val="single" w:color="auto" w:sz="4" w:space="0"/>
              <w:left w:val="nil"/>
              <w:bottom w:val="single" w:color="auto" w:sz="4" w:space="0"/>
              <w:right w:val="single" w:color="auto" w:sz="4" w:space="0"/>
            </w:tcBorders>
            <w:vAlign w:val="center"/>
          </w:tcPr>
          <w:p w14:paraId="37CD2CEA">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14:paraId="24CAD599">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52F46D7D">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916" w:type="dxa"/>
            <w:tcBorders>
              <w:top w:val="nil"/>
              <w:left w:val="nil"/>
              <w:bottom w:val="single" w:color="auto" w:sz="4" w:space="0"/>
              <w:right w:val="single" w:color="auto" w:sz="4" w:space="0"/>
            </w:tcBorders>
            <w:vAlign w:val="center"/>
          </w:tcPr>
          <w:p w14:paraId="547269E8">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看钢丝绳</w:t>
            </w:r>
          </w:p>
        </w:tc>
        <w:tc>
          <w:tcPr>
            <w:tcW w:w="6326" w:type="dxa"/>
            <w:tcBorders>
              <w:top w:val="nil"/>
              <w:left w:val="nil"/>
              <w:bottom w:val="single" w:color="auto" w:sz="4" w:space="0"/>
              <w:right w:val="single" w:color="auto" w:sz="4" w:space="0"/>
            </w:tcBorders>
            <w:vAlign w:val="center"/>
          </w:tcPr>
          <w:p w14:paraId="37A9B87E">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随时观察钢丝绳有无异常跳动、松弛及排列情况，出现异常立即停车。</w:t>
            </w:r>
          </w:p>
        </w:tc>
      </w:tr>
      <w:tr w14:paraId="14E6793B">
        <w:tblPrEx>
          <w:tblCellMar>
            <w:top w:w="0" w:type="dxa"/>
            <w:left w:w="108" w:type="dxa"/>
            <w:bottom w:w="0" w:type="dxa"/>
            <w:right w:w="108" w:type="dxa"/>
          </w:tblCellMar>
        </w:tblPrEx>
        <w:trPr>
          <w:trHeight w:val="482" w:hRule="atLeast"/>
          <w:jc w:val="center"/>
        </w:trPr>
        <w:tc>
          <w:tcPr>
            <w:tcW w:w="798" w:type="dxa"/>
            <w:vMerge w:val="restart"/>
            <w:tcBorders>
              <w:top w:val="nil"/>
              <w:left w:val="single" w:color="auto" w:sz="4" w:space="0"/>
              <w:bottom w:val="single" w:color="000000" w:sz="4" w:space="0"/>
              <w:right w:val="single" w:color="auto" w:sz="4" w:space="0"/>
            </w:tcBorders>
            <w:vAlign w:val="center"/>
          </w:tcPr>
          <w:p w14:paraId="20F3EBAF">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916" w:type="dxa"/>
            <w:tcBorders>
              <w:top w:val="nil"/>
              <w:left w:val="nil"/>
              <w:bottom w:val="single" w:color="auto" w:sz="4" w:space="0"/>
              <w:right w:val="single" w:color="auto" w:sz="4" w:space="0"/>
            </w:tcBorders>
            <w:vAlign w:val="center"/>
          </w:tcPr>
          <w:p w14:paraId="7C9D910A">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326" w:type="dxa"/>
            <w:tcBorders>
              <w:top w:val="nil"/>
              <w:left w:val="nil"/>
              <w:bottom w:val="single" w:color="auto" w:sz="4" w:space="0"/>
              <w:right w:val="single" w:color="auto" w:sz="4" w:space="0"/>
            </w:tcBorders>
            <w:vAlign w:val="center"/>
          </w:tcPr>
          <w:p w14:paraId="23AC99C8">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严格按信号指令操作。</w:t>
            </w:r>
          </w:p>
        </w:tc>
      </w:tr>
      <w:tr w14:paraId="5BF9CE82">
        <w:tblPrEx>
          <w:tblCellMar>
            <w:top w:w="0" w:type="dxa"/>
            <w:left w:w="108" w:type="dxa"/>
            <w:bottom w:w="0" w:type="dxa"/>
            <w:right w:w="108" w:type="dxa"/>
          </w:tblCellMar>
        </w:tblPrEx>
        <w:trPr>
          <w:trHeight w:val="482" w:hRule="atLeast"/>
          <w:jc w:val="center"/>
        </w:trPr>
        <w:tc>
          <w:tcPr>
            <w:tcW w:w="798" w:type="dxa"/>
            <w:vMerge w:val="continue"/>
            <w:tcBorders>
              <w:top w:val="nil"/>
              <w:left w:val="single" w:color="auto" w:sz="4" w:space="0"/>
              <w:bottom w:val="single" w:color="000000" w:sz="4" w:space="0"/>
              <w:right w:val="single" w:color="auto" w:sz="4" w:space="0"/>
            </w:tcBorders>
            <w:vAlign w:val="center"/>
          </w:tcPr>
          <w:p w14:paraId="44A3FE0E">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p>
        </w:tc>
        <w:tc>
          <w:tcPr>
            <w:tcW w:w="1916" w:type="dxa"/>
            <w:tcBorders>
              <w:top w:val="nil"/>
              <w:left w:val="nil"/>
              <w:bottom w:val="single" w:color="auto" w:sz="4" w:space="0"/>
              <w:right w:val="single" w:color="auto" w:sz="4" w:space="0"/>
            </w:tcBorders>
            <w:vAlign w:val="center"/>
          </w:tcPr>
          <w:p w14:paraId="77386391">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326" w:type="dxa"/>
            <w:tcBorders>
              <w:top w:val="nil"/>
              <w:left w:val="nil"/>
              <w:bottom w:val="single" w:color="auto" w:sz="4" w:space="0"/>
              <w:right w:val="single" w:color="auto" w:sz="4" w:space="0"/>
            </w:tcBorders>
            <w:vAlign w:val="center"/>
          </w:tcPr>
          <w:p w14:paraId="772EB3F5">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设备出现严重异响或非正常震动立即停车。</w:t>
            </w:r>
          </w:p>
        </w:tc>
      </w:tr>
      <w:tr w14:paraId="6B53D5FB">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25B1AF36">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916" w:type="dxa"/>
            <w:tcBorders>
              <w:top w:val="nil"/>
              <w:left w:val="nil"/>
              <w:bottom w:val="single" w:color="auto" w:sz="4" w:space="0"/>
              <w:right w:val="single" w:color="auto" w:sz="4" w:space="0"/>
            </w:tcBorders>
            <w:vAlign w:val="center"/>
          </w:tcPr>
          <w:p w14:paraId="75604C71">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6326" w:type="dxa"/>
            <w:tcBorders>
              <w:top w:val="nil"/>
              <w:left w:val="nil"/>
              <w:bottom w:val="single" w:color="auto" w:sz="4" w:space="0"/>
              <w:right w:val="single" w:color="auto" w:sz="4" w:space="0"/>
            </w:tcBorders>
            <w:vAlign w:val="center"/>
          </w:tcPr>
          <w:p w14:paraId="62FADD99">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闻到异常气味立即停车。</w:t>
            </w:r>
          </w:p>
        </w:tc>
      </w:tr>
      <w:tr w14:paraId="6F96E2E3">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07BD1969">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916" w:type="dxa"/>
            <w:tcBorders>
              <w:top w:val="nil"/>
              <w:left w:val="nil"/>
              <w:bottom w:val="single" w:color="auto" w:sz="4" w:space="0"/>
              <w:right w:val="single" w:color="auto" w:sz="4" w:space="0"/>
            </w:tcBorders>
            <w:vAlign w:val="center"/>
          </w:tcPr>
          <w:p w14:paraId="6F0D41A0">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握手柄</w:t>
            </w:r>
          </w:p>
        </w:tc>
        <w:tc>
          <w:tcPr>
            <w:tcW w:w="6326" w:type="dxa"/>
            <w:tcBorders>
              <w:top w:val="nil"/>
              <w:left w:val="nil"/>
              <w:bottom w:val="single" w:color="auto" w:sz="4" w:space="0"/>
              <w:right w:val="single" w:color="auto" w:sz="4" w:space="0"/>
            </w:tcBorders>
            <w:vAlign w:val="center"/>
          </w:tcPr>
          <w:p w14:paraId="395B07AD">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右手不准离开工作闸控制手柄，严禁一手开车，一手处理爬绳；严禁放飞车。</w:t>
            </w:r>
          </w:p>
        </w:tc>
      </w:tr>
      <w:tr w14:paraId="50C12DA0">
        <w:tblPrEx>
          <w:tblCellMar>
            <w:top w:w="0" w:type="dxa"/>
            <w:left w:w="108" w:type="dxa"/>
            <w:bottom w:w="0" w:type="dxa"/>
            <w:right w:w="108" w:type="dxa"/>
          </w:tblCellMar>
        </w:tblPrEx>
        <w:trPr>
          <w:trHeight w:val="610" w:hRule="atLeast"/>
          <w:jc w:val="center"/>
        </w:trPr>
        <w:tc>
          <w:tcPr>
            <w:tcW w:w="798" w:type="dxa"/>
            <w:tcBorders>
              <w:top w:val="nil"/>
              <w:left w:val="single" w:color="auto" w:sz="4" w:space="0"/>
              <w:bottom w:val="single" w:color="auto" w:sz="4" w:space="0"/>
              <w:right w:val="single" w:color="auto" w:sz="4" w:space="0"/>
            </w:tcBorders>
            <w:vAlign w:val="center"/>
          </w:tcPr>
          <w:p w14:paraId="0CABE1D6">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916" w:type="dxa"/>
            <w:tcBorders>
              <w:top w:val="nil"/>
              <w:left w:val="nil"/>
              <w:bottom w:val="single" w:color="auto" w:sz="4" w:space="0"/>
              <w:right w:val="single" w:color="auto" w:sz="4" w:space="0"/>
            </w:tcBorders>
            <w:vAlign w:val="center"/>
          </w:tcPr>
          <w:p w14:paraId="7793F91C">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四超车辆</w:t>
            </w:r>
          </w:p>
        </w:tc>
        <w:tc>
          <w:tcPr>
            <w:tcW w:w="6326" w:type="dxa"/>
            <w:tcBorders>
              <w:top w:val="nil"/>
              <w:left w:val="nil"/>
              <w:bottom w:val="single" w:color="auto" w:sz="4" w:space="0"/>
              <w:right w:val="single" w:color="auto" w:sz="4" w:space="0"/>
            </w:tcBorders>
            <w:vAlign w:val="center"/>
          </w:tcPr>
          <w:p w14:paraId="5D76B502">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tr w14:paraId="29BEB0E6">
        <w:tblPrEx>
          <w:tblCellMar>
            <w:top w:w="0" w:type="dxa"/>
            <w:left w:w="108" w:type="dxa"/>
            <w:bottom w:w="0" w:type="dxa"/>
            <w:right w:w="108" w:type="dxa"/>
          </w:tblCellMar>
        </w:tblPrEx>
        <w:trPr>
          <w:trHeight w:val="458" w:hRule="atLeast"/>
          <w:jc w:val="center"/>
        </w:trPr>
        <w:tc>
          <w:tcPr>
            <w:tcW w:w="798" w:type="dxa"/>
            <w:tcBorders>
              <w:top w:val="nil"/>
              <w:left w:val="single" w:color="auto" w:sz="4" w:space="0"/>
              <w:bottom w:val="single" w:color="auto" w:sz="4" w:space="0"/>
              <w:right w:val="single" w:color="auto" w:sz="4" w:space="0"/>
            </w:tcBorders>
            <w:vAlign w:val="center"/>
          </w:tcPr>
          <w:p w14:paraId="0014B8BB">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916" w:type="dxa"/>
            <w:tcBorders>
              <w:top w:val="nil"/>
              <w:left w:val="nil"/>
              <w:bottom w:val="single" w:color="auto" w:sz="4" w:space="0"/>
              <w:right w:val="single" w:color="auto" w:sz="4" w:space="0"/>
            </w:tcBorders>
            <w:vAlign w:val="center"/>
          </w:tcPr>
          <w:p w14:paraId="19D2B853">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326" w:type="dxa"/>
            <w:tcBorders>
              <w:top w:val="nil"/>
              <w:left w:val="nil"/>
              <w:bottom w:val="single" w:color="auto" w:sz="4" w:space="0"/>
              <w:right w:val="single" w:color="auto" w:sz="4" w:space="0"/>
            </w:tcBorders>
            <w:vAlign w:val="center"/>
          </w:tcPr>
          <w:p w14:paraId="317391AC">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禁止用小绞车硬拉复位。</w:t>
            </w:r>
          </w:p>
        </w:tc>
      </w:tr>
      <w:tr w14:paraId="54BE9D04">
        <w:tblPrEx>
          <w:tblCellMar>
            <w:top w:w="0" w:type="dxa"/>
            <w:left w:w="108" w:type="dxa"/>
            <w:bottom w:w="0" w:type="dxa"/>
            <w:right w:w="108" w:type="dxa"/>
          </w:tblCellMar>
        </w:tblPrEx>
        <w:trPr>
          <w:trHeight w:val="579" w:hRule="atLeast"/>
          <w:jc w:val="center"/>
        </w:trPr>
        <w:tc>
          <w:tcPr>
            <w:tcW w:w="798" w:type="dxa"/>
            <w:tcBorders>
              <w:top w:val="nil"/>
              <w:left w:val="single" w:color="auto" w:sz="4" w:space="0"/>
              <w:bottom w:val="single" w:color="auto" w:sz="4" w:space="0"/>
              <w:right w:val="single" w:color="auto" w:sz="4" w:space="0"/>
            </w:tcBorders>
            <w:vAlign w:val="center"/>
          </w:tcPr>
          <w:p w14:paraId="5B549423">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7</w:t>
            </w:r>
          </w:p>
        </w:tc>
        <w:tc>
          <w:tcPr>
            <w:tcW w:w="1916" w:type="dxa"/>
            <w:tcBorders>
              <w:top w:val="nil"/>
              <w:left w:val="nil"/>
              <w:bottom w:val="single" w:color="auto" w:sz="4" w:space="0"/>
              <w:right w:val="single" w:color="auto" w:sz="4" w:space="0"/>
            </w:tcBorders>
            <w:vAlign w:val="center"/>
          </w:tcPr>
          <w:p w14:paraId="5B657D95">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6326" w:type="dxa"/>
            <w:tcBorders>
              <w:top w:val="nil"/>
              <w:left w:val="nil"/>
              <w:bottom w:val="single" w:color="auto" w:sz="4" w:space="0"/>
              <w:right w:val="single" w:color="auto" w:sz="4" w:space="0"/>
            </w:tcBorders>
            <w:vAlign w:val="center"/>
          </w:tcPr>
          <w:p w14:paraId="1412E38D">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严禁在稳车滚筒前面（出绳侧）操作，不得擅自离岗。</w:t>
            </w:r>
          </w:p>
        </w:tc>
      </w:tr>
    </w:tbl>
    <w:p w14:paraId="43C5A8F2">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14:paraId="494B947D">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14:paraId="5AE9F6D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14:paraId="27962A5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14:paraId="153A56A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14:paraId="0E6A669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14:paraId="51FC75EC">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14:paraId="45EA46E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14:paraId="17B5CEC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14:paraId="1D46F10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14:paraId="5232022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14:paraId="3D91895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14:paraId="1FEC436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14:paraId="0553FDD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14:paraId="7B5F831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14:paraId="02A21D6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14:paraId="2ED433FF">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794857D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7A31214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0ED6022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7499082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0BFECF2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259F734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14:paraId="5D6E28E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257597D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28D9FF0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30D5B78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14:paraId="2E3B5F4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14:paraId="4FDFE59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14:paraId="5979653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14:paraId="46CA137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14:paraId="379980E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14:paraId="4545652F">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452611CB">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0075243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嗜好饮酒的“迷糊人”：是指爱好喝酒、酗酒甚至容易醉酒的人。</w:t>
      </w:r>
    </w:p>
    <w:p w14:paraId="2944DCA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婚期前后的“甜蜜人”：是指正在筹备或者刚刚完成婚姻大事的人。</w:t>
      </w:r>
    </w:p>
    <w:p w14:paraId="71BB601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家有丧事的“失落人”：是指家庭有亲人离世导致情绪失落波动。</w:t>
      </w:r>
    </w:p>
    <w:p w14:paraId="46C0789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经常违章的“大胆人”：是指自律能力差，对违章屡教不改的人。</w:t>
      </w:r>
    </w:p>
    <w:p w14:paraId="4A1B721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挨批受罚的“情绪人”：是指受到批评处罚情绪低落的人。</w:t>
      </w:r>
    </w:p>
    <w:p w14:paraId="7CF58C5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重新上岗的“三长人”：是指长伤、长病、长旷的返岗人员。</w:t>
      </w:r>
    </w:p>
    <w:p w14:paraId="0366330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极度疲劳的“硬撑人”：是指班后从事体力劳动极度疲惫的人。</w:t>
      </w:r>
    </w:p>
    <w:p w14:paraId="0396D49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临近退休的“老年人”：是指年龄偏大（50岁以上）的老工人。</w:t>
      </w:r>
    </w:p>
    <w:p w14:paraId="29F8B54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随时发病的“体弱人”：是指被医院诊断患有高血压、心脏病、脑血栓、</w:t>
      </w:r>
      <w:r>
        <w:rPr>
          <w:rFonts w:hint="eastAsia" w:ascii="仿宋" w:hAnsi="仿宋" w:eastAsia="仿宋" w:cs="仿宋"/>
          <w:color w:val="auto"/>
          <w:sz w:val="28"/>
          <w:szCs w:val="28"/>
          <w:lang w:val="en-US" w:eastAsia="zh-CN"/>
        </w:rPr>
        <w:t>抑郁症</w:t>
      </w:r>
      <w:r>
        <w:rPr>
          <w:rFonts w:hint="eastAsia" w:ascii="仿宋" w:hAnsi="仿宋" w:eastAsia="仿宋" w:cs="仿宋"/>
          <w:color w:val="auto"/>
          <w:sz w:val="28"/>
          <w:szCs w:val="28"/>
          <w:lang w:eastAsia="zh-CN"/>
        </w:rPr>
        <w:t>等病情的人。</w:t>
      </w:r>
    </w:p>
    <w:p w14:paraId="6266B55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家境特殊的“纠结人”：是指频发家庭矛盾影响工作情绪的人。</w:t>
      </w:r>
    </w:p>
    <w:p w14:paraId="11D109A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岗位调整的“转行人”：是指转换了工作岗位、改变了工作性质的人。</w:t>
      </w:r>
    </w:p>
    <w:p w14:paraId="17B2E1F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初来乍到的“新工人”：是指刚入矿或者从外单位调入的人。</w:t>
      </w:r>
    </w:p>
    <w:p w14:paraId="486588E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班前教育的“落空人”：是指未参加班前会的人。</w:t>
      </w:r>
    </w:p>
    <w:p w14:paraId="2CD361D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心力交瘁的“上访人”：是指由于社会矛盾得不到及时解决有上访倾向的人。</w:t>
      </w:r>
    </w:p>
    <w:p w14:paraId="562CFA9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八小时以外的“网络人”：是指工作之余，喜欢上网的年轻员工，班前休息不好，上班精力不集中。</w:t>
      </w:r>
    </w:p>
    <w:p w14:paraId="5B7E993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性格粗暴的“鲁莽人”：是指性格简单粗暴的员工，工作急躁毛躁浮躁。</w:t>
      </w:r>
    </w:p>
    <w:p w14:paraId="2AC8ADA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反应迟钝的“麻木人”：是指工作麻痹大意、马虎凑付不在乎、反应迟钝的员工。</w:t>
      </w:r>
    </w:p>
    <w:p w14:paraId="213DA69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不安心工作的“跳槽人”：是指不安心本职工作，意欲调动工作的人。</w:t>
      </w:r>
    </w:p>
    <w:p w14:paraId="1F5D8BD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不服从管理的“顶牛人”：是指与管理人员或员工有矛盾，不服从管理的员工。</w:t>
      </w:r>
    </w:p>
    <w:p w14:paraId="7DBA4F6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肩负第二职业的“经济人”：是指挣钱不要命，工作之余另有第二职业的人。</w:t>
      </w:r>
    </w:p>
    <w:p w14:paraId="15D91416">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1FA3A3D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岁以上老员工、患有疾病人员、其他人员等。当事人状况发生转变脱离了薄弱人物范畴的，及时予以“销号”。</w:t>
      </w:r>
    </w:p>
    <w:p w14:paraId="1AFBC516">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7742234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月度定性排查：深入掌握员工的思想、身体、爱好、家庭等情况，动态保持排查的敏感性，善于捕捉不良苗头，对薄弱人物进行分类定性，列出详细名单，根据分类定性情况，制定出具体防范措施。</w:t>
      </w:r>
    </w:p>
    <w:p w14:paraId="3954C2F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每天班前排查：各单位召开班前会之前，首先由值班人员进行排查，对确定为薄弱人物的员工或者疑似薄弱人物的员工采取针对性措施，原则上“宁信其可能勿信其不可能”。</w:t>
      </w:r>
    </w:p>
    <w:p w14:paraId="7C1A6A4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color w:val="auto"/>
          <w:sz w:val="28"/>
          <w:szCs w:val="28"/>
          <w:lang w:val="en-US" w:eastAsia="zh-CN"/>
        </w:rPr>
        <w:t>洪亮</w:t>
      </w:r>
      <w:r>
        <w:rPr>
          <w:rFonts w:hint="eastAsia" w:ascii="仿宋" w:hAnsi="仿宋" w:eastAsia="仿宋" w:cs="仿宋"/>
          <w:color w:val="auto"/>
          <w:sz w:val="28"/>
          <w:szCs w:val="28"/>
          <w:lang w:eastAsia="zh-CN"/>
        </w:rPr>
        <w:t>、气息是否流畅，询“问”员工身体心理健康状况，“测”量员工血压等状况。值班人员根据排查情况，落实各项管理措施，填写专项记录。</w:t>
      </w:r>
    </w:p>
    <w:p w14:paraId="57AAF76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04846CF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2C1947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现场排查：通过管理人员、班组长和安监员现场巡查，特别是结对子人员，值班安全员，对言谈举止出现异常者给予特别关注，必须立即采取应急措施，严重者及时护送至医院进行诊治。</w:t>
      </w:r>
    </w:p>
    <w:p w14:paraId="380FF9E7">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0423254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对于岗前饮酒者，坚决禁止上岗作业。轻者责令其回家休息，重者在区队原地休息或者安排人员护送回家。</w:t>
      </w:r>
    </w:p>
    <w:p w14:paraId="39DF612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对于有喜事或丧事的人员，要通过面谈掌握当事人的心理状态，无异议后方可下井。</w:t>
      </w:r>
    </w:p>
    <w:p w14:paraId="2CF219A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对于经常违章的人员，要加强日常的教育，在班前会上注重提问，安排岗位要合理，原则上做到“疑人不用”。</w:t>
      </w:r>
    </w:p>
    <w:p w14:paraId="771CFFC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对于受到批评和处罚的员工，要加强心理疏导，让当事人放下思想包袱，解除心里抱怨，避免带着情绪上岗。</w:t>
      </w:r>
    </w:p>
    <w:p w14:paraId="67524FD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对于“三长”人员，必须加强岗前教育培训，考试合格后方可上岗。上岗过程中，要作为重点的巡查盯靠对象，</w:t>
      </w:r>
      <w:r>
        <w:rPr>
          <w:rFonts w:hint="eastAsia" w:ascii="仿宋" w:hAnsi="仿宋" w:eastAsia="仿宋" w:cs="仿宋"/>
          <w:color w:val="auto"/>
          <w:sz w:val="28"/>
          <w:szCs w:val="28"/>
          <w:lang w:val="en-US" w:eastAsia="zh-CN"/>
        </w:rPr>
        <w:t>实施跟踪观察</w:t>
      </w:r>
      <w:r>
        <w:rPr>
          <w:rFonts w:hint="eastAsia" w:ascii="仿宋" w:hAnsi="仿宋" w:eastAsia="仿宋" w:cs="仿宋"/>
          <w:color w:val="auto"/>
          <w:sz w:val="28"/>
          <w:szCs w:val="28"/>
          <w:lang w:eastAsia="zh-CN"/>
        </w:rPr>
        <w:t>。</w:t>
      </w:r>
    </w:p>
    <w:p w14:paraId="4C3E7D7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对于有高血压、心脏病等病史的人，一旦发现异常情况，应立即安排其原地休息，必要的时候，到医院检查就医,并适时参加矿上统一组织的劳鉴工作。</w:t>
      </w:r>
    </w:p>
    <w:p w14:paraId="5BDD4E7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对于家庭矛盾突出的员工，应通过谈心或者家访的方式，及时为员工解决家庭矛盾，解开症结，保证员工轻装上岗。</w:t>
      </w:r>
    </w:p>
    <w:p w14:paraId="1DFD394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对于临近退休的老工人，在安排岗位上首要考虑安全因素，原则上不安排攀高、抬重、高温等急难险重类型的作业。</w:t>
      </w:r>
    </w:p>
    <w:p w14:paraId="0A3917C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对于转岗员工当成新工人尽心管理，严格履行以师带徒合同，在老工人的带领下作业。</w:t>
      </w:r>
    </w:p>
    <w:p w14:paraId="212E2FE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对于刚入伍或者新调入的员工，第一时间建立“员工信息档案”，详细掌握员工的综合状况，加强日常培训，经常开展交流谈心，由经验丰富的老工人与其签订师徒合同。</w:t>
      </w:r>
    </w:p>
    <w:p w14:paraId="71327C1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凡是没有参加班前会学习教育的人员，一律严禁上岗作业。</w:t>
      </w:r>
    </w:p>
    <w:p w14:paraId="5C53163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对于喜欢上网的年轻员工，要加强引导，多沟通勤交流，促使他们培养健康向上的生活工作情趣。</w:t>
      </w:r>
    </w:p>
    <w:p w14:paraId="499025B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对于有上访倾向的人，要及时了解情况，掌握思想状态，活血化瘀，必要时可申请法律援助，解决实际困难。</w:t>
      </w:r>
    </w:p>
    <w:p w14:paraId="15BAA90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对于反应迟钝、工作急躁毛躁浮躁的员工，要加强教育，使其克服缺点，结对子人员，必须安排一名沉稳人员带领，尽量避免让其承担单项工程和零星工程。</w:t>
      </w:r>
    </w:p>
    <w:p w14:paraId="50C287D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对于不服从管理的员工，单位管理人员要及时做好一人一事的思想工作，解决存在的矛盾，使其心悦诚服、心情舒畅的投入工作。</w:t>
      </w:r>
    </w:p>
    <w:p w14:paraId="1F88344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对于不安心工作或肩负第二职业的员工，单位主要领导要格外进行关注，进行一对一的帮教，使其回心转意，爱岗敬业，干好本职工作，时刻注意安全。</w:t>
      </w:r>
    </w:p>
    <w:p w14:paraId="5CCC8107">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三.安全风险辨识与管控措施</w:t>
      </w:r>
    </w:p>
    <w:p w14:paraId="36C3D833">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（一）通用部分</w:t>
      </w:r>
    </w:p>
    <w:p w14:paraId="45A30D6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14:paraId="6A44D96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14:paraId="717F352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14:paraId="5BCDCE0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14:paraId="2B06C4B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14:paraId="267D553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14:paraId="462C6FD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14:paraId="59AA23F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14:paraId="23311D2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14:paraId="7FB5D6A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34EC776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14:paraId="712D7A0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14:paraId="4C1965D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14:paraId="2E5D6C8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14:paraId="6903D55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14:paraId="3F9EB6F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0B861276">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14:paraId="68B61044">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14:paraId="2B13A4DD">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14:paraId="14C9BE21">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14:paraId="39D6D997">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14:paraId="7C05D4B9">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14:paraId="384F8DB6">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14:paraId="379301A1">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438551B7">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14:paraId="64A3F93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14:paraId="35A51270">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14:paraId="0CC8AEA1">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（4）一旦出现瓦斯浓度超限，立即按照规定要求的撤人路线进行避灾。</w:t>
      </w:r>
    </w:p>
    <w:p w14:paraId="1F34DAC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14:paraId="19909A6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0E0E9750">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（1）抬运物料时，人员做好相互配合，轻拿轻放物料，步调、口号一致。</w:t>
      </w:r>
    </w:p>
    <w:p w14:paraId="7A974036">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14:paraId="1D83E66F">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14:paraId="37DCB5F1">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（二）专用部分</w:t>
      </w:r>
    </w:p>
    <w:p w14:paraId="2515307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1.开车前：</w:t>
      </w:r>
    </w:p>
    <w:p w14:paraId="6FDD161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（1）风险描述：局部喷层开裂、破碎，存在掉矸伤人、冒顶的风险。</w:t>
      </w:r>
    </w:p>
    <w:p w14:paraId="1A3D6AA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进入施工地点后，首先使用敲帮问顶专用工具对施工地点顶板及帮部进行敲帮问顶，找掉危岩活矸。敲帮问顶应从完好支护的地点开始，由外向里、自上而下、先顶部后两帮依次进行，敲帮问顶范围内严禁其他人员进入。</w:t>
      </w:r>
    </w:p>
    <w:p w14:paraId="1F190D1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（2）风险描述：工作地点无照明或照明灯损坏，作业人员可能存在碰伤风险。</w:t>
      </w:r>
    </w:p>
    <w:p w14:paraId="3F0B706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管控措施：作业地点保证充足照明；发现照明灯损坏时，及时联系电工更换。</w:t>
      </w:r>
    </w:p>
    <w:p w14:paraId="4226A36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（3）风险描述：绞车提升巷道内有影响运输的人员和障碍物，可能发生运输事故风险。</w:t>
      </w:r>
    </w:p>
    <w:p w14:paraId="6F1BB1D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管控措施：绞车提升巷道不得有影响运输的人员和障碍物；开车前，发出警示信号，提醒过往行人。</w:t>
      </w:r>
    </w:p>
    <w:p w14:paraId="6090C21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2.操作过程中：</w:t>
      </w:r>
    </w:p>
    <w:p w14:paraId="45DD2AE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（1）风险描述：未根据信号指令开车，可能发生运输事故风险。</w:t>
      </w:r>
    </w:p>
    <w:p w14:paraId="13298BD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班长要求信号把钩工按规定收发信号；跟班班长对运输过程进行监督，发现信号把钩工收发信号失误的，立即中止作业，对责任人进行处罚，并批评教育；安检员对运输过程进行监督，发现不规范作业的，按违章处理。</w:t>
      </w:r>
    </w:p>
    <w:p w14:paraId="68D40F8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（2）风险描述：绞车司机站位不当，可能造成人身伤害或跑车风险。</w:t>
      </w:r>
    </w:p>
    <w:p w14:paraId="4B58A9A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管控措施：严禁站在绞车滚筒前方（出绳侧）操作，严禁靠近设备转动部位，防止衣物卷入造成伤害。</w:t>
      </w:r>
    </w:p>
    <w:p w14:paraId="4CBF858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（3）风险描述：绞车运行过程中出现异响、异味、不明信号等异常情况，未及时处理可能发生运输事故风险。</w:t>
      </w:r>
    </w:p>
    <w:p w14:paraId="4C4DB08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管控措施：运行中发现下列情况必须立即停车，妥善处理后方可继续运行：</w:t>
      </w:r>
    </w:p>
    <w:p w14:paraId="39D2C55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有异常响声、异味、异状；钢丝绳有异常跳动，负载增大或突然松弛；绞车固定出现异常；有严重咬绳、爬绳现象；电机异常；收到不明信号；突然断电或有其他险情。</w:t>
      </w:r>
    </w:p>
    <w:p w14:paraId="2468BFE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（4）风险描述：未严格执行“行车不行人，行人不行车”制度，可能发生运输事故风险。</w:t>
      </w:r>
    </w:p>
    <w:p w14:paraId="0EA0932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班组长应严格管理、监督职工的作业行为，发现违反规定作业的人员进行处罚并教育；安检员、机电科管理人员应做好监督管理工作，发现违规行为应立即制止，并作出相应处罚。</w:t>
      </w:r>
    </w:p>
    <w:p w14:paraId="3066E50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（5）风险描述：处理掉道车辆不当，可能发生运输事故风险。</w:t>
      </w:r>
    </w:p>
    <w:p w14:paraId="649CFAE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管控措施：严格按照规定处理掉道车辆，严禁强行硬拉复轨；安检员现场监督，发现处理方法不当进行制止纠正。</w:t>
      </w:r>
    </w:p>
    <w:p w14:paraId="57D1959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（6）风险描述：运输“四超”车辆，可能发生运输事故风险。</w:t>
      </w:r>
    </w:p>
    <w:p w14:paraId="4E85EB3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班组长安排信号把钩工检查“四超”装载情况，制定相应的安全措施；当班班组长应严格管理、监督职工的作业行为，发现违反规定作业的人员进行处罚并教育；安检员、机电科管理人员应做好监督管理工作，发现违规行为应立即制止，并作出相应处罚。</w:t>
      </w:r>
    </w:p>
    <w:p w14:paraId="6F4E626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14:paraId="120A8CB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（1）风险描述：闸把未在施闸位置，可能存在运输事故风险。</w:t>
      </w:r>
    </w:p>
    <w:p w14:paraId="3C58F54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管控措施：绞车停止运行后，闸把必须在施闸位置。</w:t>
      </w:r>
    </w:p>
    <w:p w14:paraId="28C674C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（2）风险描述：绞车电源开关未停电闭锁，人员误操作或设备误动作可能发生运输事故风险。</w:t>
      </w:r>
    </w:p>
    <w:p w14:paraId="3373D0B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停机后将绞车电源开关停电闭锁；对绞车司机进行业务技能培训，熟记停送电流程，提高安全意识；班组长负责班组管理和现场管理，发现问题及时整改；机电管理人员、安全检查员负责对停送电流程的检查监督。</w:t>
      </w:r>
    </w:p>
    <w:p w14:paraId="5E565C40">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14:paraId="73E33581">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14:paraId="6D31FD5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14:paraId="4B37146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2.照明：照明灯明亮、完好。</w:t>
      </w:r>
    </w:p>
    <w:p w14:paraId="624219A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3.人员、障碍物：绳道及提升车辆前后无人员站立、行走，无障碍物。</w:t>
      </w:r>
    </w:p>
    <w:p w14:paraId="77E940D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4.站位：站位正确。</w:t>
      </w:r>
    </w:p>
    <w:p w14:paraId="2668CDFD">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14:paraId="4BCC542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1.记录、信号、按钮：记录正常，按钮灵敏可靠，信号声光兼备，声音清晰，准确可靠。</w:t>
      </w:r>
    </w:p>
    <w:p w14:paraId="1D2CC05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2.固定</w:t>
      </w:r>
      <w:r>
        <w:rPr>
          <w:rFonts w:hint="eastAsia" w:ascii="仿宋" w:hAnsi="仿宋" w:eastAsia="仿宋" w:cs="仿宋"/>
          <w:color w:val="auto"/>
          <w:sz w:val="28"/>
          <w:szCs w:val="28"/>
          <w:lang w:val="en-US" w:eastAsia="zh-CN"/>
        </w:rPr>
        <w:t>回柱绞车</w:t>
      </w:r>
      <w:r>
        <w:rPr>
          <w:rFonts w:hint="eastAsia" w:ascii="仿宋" w:hAnsi="仿宋" w:eastAsia="仿宋" w:cs="仿宋"/>
          <w:color w:val="auto"/>
          <w:sz w:val="28"/>
          <w:szCs w:val="28"/>
        </w:rPr>
        <w:t>固定牢靠。</w:t>
      </w:r>
    </w:p>
    <w:p w14:paraId="3CB8FC0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3.电机:电机固定牢靠，外观清洁。</w:t>
      </w:r>
    </w:p>
    <w:p w14:paraId="51C9A63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4.制动闸、调速手把:制动闸在施闸位置，调速手把在零位。</w:t>
      </w:r>
    </w:p>
    <w:p w14:paraId="0F8BB06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5.钢丝绳：钢丝绳无严重锈蚀，断丝不超限，无严重咬绳、爬绳，滚筒排绳、容绳、余绳符合标准。</w:t>
      </w:r>
    </w:p>
    <w:p w14:paraId="2AEDA7F7">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14:paraId="7F0CEEA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1.信号指令</w:t>
      </w:r>
    </w:p>
    <w:p w14:paraId="38A596E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严格按信号指令开车，严禁无信号动车；信号不清、有疑问或接到信号因故未能执行时，应联系信号工重发信号。</w:t>
      </w:r>
    </w:p>
    <w:p w14:paraId="5B9E5BE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2.司机位置</w:t>
      </w:r>
    </w:p>
    <w:p w14:paraId="064579F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必须在护绳板后操作，严禁在绞车侧面或滚筒前面（出绳侧）操作，不得擅自离岗。</w:t>
      </w:r>
    </w:p>
    <w:p w14:paraId="1430973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3.正常提升</w:t>
      </w:r>
    </w:p>
    <w:p w14:paraId="251E9F2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严格执行“行车不行人，行人不行车”的规定。</w:t>
      </w:r>
    </w:p>
    <w:p w14:paraId="2C56213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下放车辆时严禁留有余绳，上提车辆时严禁过卷或停车不到位。</w:t>
      </w:r>
    </w:p>
    <w:p w14:paraId="3D818E8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绞车运行中双手不得离开闸把，禁止两闸把同时压紧，严禁一手开车，一手处理爬绳。</w:t>
      </w:r>
    </w:p>
    <w:p w14:paraId="3DF3DA3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严禁不带电放飞车。</w:t>
      </w:r>
    </w:p>
    <w:p w14:paraId="42BC828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4.正常停车</w:t>
      </w:r>
    </w:p>
    <w:p w14:paraId="4419C89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听到停车信号后，应闸紧制动闸，松开离合闸，停车停电；如需离开岗位，必须对供电开关停电闭锁。</w:t>
      </w:r>
    </w:p>
    <w:p w14:paraId="3BDB2EC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5.四超车辆</w:t>
      </w:r>
    </w:p>
    <w:p w14:paraId="48B9A1F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运送“四超”车辆时，应严格按专项措施执行。</w:t>
      </w:r>
    </w:p>
    <w:p w14:paraId="771911B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6.车辆复轨</w:t>
      </w:r>
    </w:p>
    <w:p w14:paraId="1CF6900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脱轨时应立即停车，及时汇报现场当班负责人，复轨时应服从指挥，禁止用小绞车硬拉复位。</w:t>
      </w:r>
    </w:p>
    <w:p w14:paraId="5EC0920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7.异常处置</w:t>
      </w:r>
    </w:p>
    <w:p w14:paraId="7049B08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运行中发现下列情况是必须立即停车，妥善处理后方可继续运行：</w:t>
      </w:r>
    </w:p>
    <w:p w14:paraId="45EB88E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rPr>
        <w:t>有异常响声、异味、异状。</w:t>
      </w:r>
    </w:p>
    <w:p w14:paraId="7AE99CE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钢丝绳有异常跳动，负载增大或突然松弛。</w:t>
      </w:r>
    </w:p>
    <w:p w14:paraId="37B5E95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绞车固定出现异常。</w:t>
      </w:r>
    </w:p>
    <w:p w14:paraId="2291F3C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有严重咬绳、爬绳现象。</w:t>
      </w:r>
    </w:p>
    <w:p w14:paraId="7E0C9C4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电机异常。</w:t>
      </w:r>
    </w:p>
    <w:p w14:paraId="250647D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收到不明信号</w:t>
      </w:r>
      <w:r>
        <w:rPr>
          <w:rFonts w:hint="eastAsia" w:ascii="仿宋" w:hAnsi="仿宋" w:eastAsia="仿宋" w:cs="仿宋"/>
          <w:color w:val="auto"/>
          <w:sz w:val="28"/>
          <w:szCs w:val="28"/>
          <w:lang w:eastAsia="zh-CN"/>
        </w:rPr>
        <w:t>。</w:t>
      </w:r>
    </w:p>
    <w:p w14:paraId="40A623B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突然断电或有其他险情。</w:t>
      </w:r>
    </w:p>
    <w:p w14:paraId="6D19D17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（三）操作后确认：</w:t>
      </w:r>
    </w:p>
    <w:p w14:paraId="06BD4FB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1.闸把：制动闸在施闸位置。</w:t>
      </w:r>
    </w:p>
    <w:p w14:paraId="340AA1A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2.停电闭锁：绞车开关已停电闭锁。</w:t>
      </w:r>
    </w:p>
    <w:p w14:paraId="3E80A5D8">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、事故案例教育</w:t>
      </w:r>
    </w:p>
    <w:p w14:paraId="319E4AB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1FE7B8C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2001年10月9日早班7时30分，综采队职工王洪华和孙龙一起下井，到2402面打扫卫生。打扫完卫生后，两人从下顺拉4 车老料至四采轨道上部车场， 然后将一个装有 4 根立柱的车和一个装有零散材料的车放至2402上顺车场。因车场底膨，中部有一定坡度，两人往里推不动。王洪华便往里走到三岔口右侧25KW绞车处开绞车，孙龙在车场连钩，用绞车往里拉。因现场无信号设施，两人便通过摇晃矿灯和喊话联系。车行至鱼尾岔处，因道岔尖轨跟部插锥钻底，尖轨根部与岔盘无连接，前车较轻，顺利通过，后车装有4根大立柱较重（约2.8T），通过尖轨时， 尖轨外挤，导致后车掉道，倒向巷道右帮，车上的大立柱滑向右侧，将跟在车右侧后部随行的孙龙右大腿挤在帮上致伤。</w:t>
      </w:r>
    </w:p>
    <w:p w14:paraId="1B441CC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0B593E4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１</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王洪华在现场无信号设施的情况下，违章操作，无证开绞车，是造成事故的主要原因。</w:t>
      </w:r>
    </w:p>
    <w:p w14:paraId="06EEB54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２</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孙龙在行车前对不合格道岔未采取相应措施，在行车时跟在车的一侧同行，是造成事故的直接原因。</w:t>
      </w:r>
    </w:p>
    <w:p w14:paraId="2047DE5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３</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综采队安全管理不到位，对道岔维修不及时，是造成事故的一个原因。</w:t>
      </w:r>
    </w:p>
    <w:p w14:paraId="1358FB2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４</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综采队对职工安全教育不够，职工安全意识淡薄，是造成事故的一个原因。</w:t>
      </w:r>
    </w:p>
    <w:p w14:paraId="0B2E7CA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５</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综采队对上级指示精神、会议内容不贯彻、不落实，存在漏洞和死角，没有传达到每位职工，走形式，走过场，应付凑付，也是造成事故的一个原因。</w:t>
      </w:r>
    </w:p>
    <w:p w14:paraId="0DCC509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11AC28D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１</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加强特殊工种管理，严禁无证上岗现象。</w:t>
      </w:r>
    </w:p>
    <w:p w14:paraId="5EBD780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２</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加强小提升运输安全管理，对运输设备和轨道质量要定期检查，及时维修，确保运输安全。</w:t>
      </w:r>
    </w:p>
    <w:p w14:paraId="26CD02B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３</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加强职工安全教育，进一步提高职工的安全意识和自主保安能力。</w:t>
      </w:r>
    </w:p>
    <w:p w14:paraId="1AACB3C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４</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认真传达贯彻落实上级一系列会议精神，要传达到每一位职工。</w:t>
      </w:r>
    </w:p>
    <w:p w14:paraId="5586976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５</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认真吸取事故教训，在全矿开展“反三违”、“反事故”活动，加大对三违人员的处罚力度</w:t>
      </w:r>
      <w:r>
        <w:rPr>
          <w:rFonts w:hint="eastAsia" w:ascii="仿宋" w:hAnsi="仿宋" w:eastAsia="仿宋" w:cs="仿宋"/>
          <w:color w:val="auto"/>
          <w:sz w:val="28"/>
          <w:szCs w:val="28"/>
          <w:highlight w:val="none"/>
          <w:lang w:eastAsia="zh-CN"/>
        </w:rPr>
        <w:t>。</w:t>
      </w:r>
    </w:p>
    <w:p w14:paraId="73A8047F">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六</w:t>
      </w:r>
      <w:r>
        <w:rPr>
          <w:rFonts w:hint="eastAsia" w:ascii="仿宋" w:hAnsi="仿宋" w:eastAsia="仿宋" w:cs="仿宋"/>
          <w:b/>
          <w:bCs/>
          <w:color w:val="auto"/>
          <w:sz w:val="28"/>
          <w:szCs w:val="28"/>
        </w:rPr>
        <w:t>、常见三违</w:t>
      </w:r>
    </w:p>
    <w:p w14:paraId="663C8DF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14:paraId="66A9089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w:t>
      </w:r>
      <w:r>
        <w:rPr>
          <w:rFonts w:hint="eastAsia" w:ascii="仿宋" w:hAnsi="仿宋" w:eastAsia="仿宋" w:cs="仿宋"/>
          <w:color w:val="auto"/>
          <w:sz w:val="28"/>
          <w:szCs w:val="28"/>
        </w:rPr>
        <w:t>无证上岗、证件过期的；</w:t>
      </w:r>
    </w:p>
    <w:p w14:paraId="593CDF1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w:t>
      </w:r>
      <w:r>
        <w:rPr>
          <w:rFonts w:hint="eastAsia" w:ascii="仿宋" w:hAnsi="仿宋" w:eastAsia="仿宋" w:cs="仿宋"/>
          <w:color w:val="auto"/>
          <w:sz w:val="28"/>
          <w:szCs w:val="28"/>
        </w:rPr>
        <w:t>违反“行车不行人，行人不行车”制度的；</w:t>
      </w:r>
    </w:p>
    <w:p w14:paraId="1839D8B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w:t>
      </w:r>
      <w:r>
        <w:rPr>
          <w:rFonts w:hint="eastAsia" w:ascii="仿宋" w:hAnsi="仿宋" w:eastAsia="仿宋" w:cs="仿宋"/>
          <w:color w:val="auto"/>
          <w:sz w:val="28"/>
          <w:szCs w:val="28"/>
        </w:rPr>
        <w:t>扒车、跳车和坐矿车的；</w:t>
      </w:r>
    </w:p>
    <w:p w14:paraId="771EF83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w:t>
      </w:r>
      <w:r>
        <w:rPr>
          <w:rFonts w:hint="eastAsia" w:ascii="仿宋" w:hAnsi="仿宋" w:eastAsia="仿宋" w:cs="仿宋"/>
          <w:color w:val="auto"/>
          <w:sz w:val="28"/>
          <w:szCs w:val="28"/>
        </w:rPr>
        <w:t>人力推车放飞车或在坡度大于7‰的巷道内人力推车的；</w:t>
      </w:r>
    </w:p>
    <w:p w14:paraId="64ACE22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（六）</w:t>
      </w:r>
      <w:r>
        <w:rPr>
          <w:rFonts w:hint="eastAsia" w:ascii="仿宋" w:hAnsi="仿宋" w:eastAsia="仿宋" w:cs="仿宋"/>
          <w:color w:val="auto"/>
          <w:sz w:val="28"/>
          <w:szCs w:val="28"/>
        </w:rPr>
        <w:t>岗位工睡岗的；</w:t>
      </w:r>
    </w:p>
    <w:p w14:paraId="35F808D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（七）</w:t>
      </w:r>
      <w:r>
        <w:rPr>
          <w:rFonts w:hint="eastAsia" w:ascii="仿宋" w:hAnsi="仿宋" w:eastAsia="仿宋" w:cs="仿宋"/>
          <w:color w:val="auto"/>
          <w:sz w:val="28"/>
          <w:szCs w:val="28"/>
        </w:rPr>
        <w:t>设备运行时，人员接触设备的机械转动和传动部位或带电体的；</w:t>
      </w:r>
    </w:p>
    <w:p w14:paraId="574A693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（八）</w:t>
      </w:r>
      <w:r>
        <w:rPr>
          <w:rFonts w:hint="eastAsia" w:ascii="仿宋" w:hAnsi="仿宋" w:eastAsia="仿宋" w:cs="仿宋"/>
          <w:color w:val="auto"/>
          <w:sz w:val="28"/>
          <w:szCs w:val="28"/>
        </w:rPr>
        <w:t>无措施施工或不按措施施工造成严重后果的；</w:t>
      </w:r>
    </w:p>
    <w:p w14:paraId="74D9627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14:paraId="6FAA16E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井下打架斗殴的；</w:t>
      </w:r>
    </w:p>
    <w:p w14:paraId="4D15EB6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对“三违”处罚无理取闹或辱骂安监员、管理人员的；</w:t>
      </w:r>
    </w:p>
    <w:p w14:paraId="6C3C86F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带电检修、搬迁电气设备的；</w:t>
      </w:r>
    </w:p>
    <w:p w14:paraId="1B787BB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起吊或拉移重物时，在重物下方或可能倒向的位置工作或逗留的；</w:t>
      </w:r>
    </w:p>
    <w:p w14:paraId="69DD81E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私自打开栅栏、密闭或擅自进入栅栏区、无风区及带有警示标志危险区的；</w:t>
      </w:r>
    </w:p>
    <w:p w14:paraId="0FF7A47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地面岗位工上班期间抽烟及携带烟草、火机、手机的；</w:t>
      </w:r>
    </w:p>
    <w:p w14:paraId="7F4D550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人为造成安全隐患的；</w:t>
      </w:r>
    </w:p>
    <w:p w14:paraId="24A9702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跨越运行的皮带不走过桥的；</w:t>
      </w:r>
    </w:p>
    <w:p w14:paraId="2AF52F2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电气设备出现失爆的；</w:t>
      </w:r>
    </w:p>
    <w:p w14:paraId="1B5F117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擅自进入限员管理区域导致人员超规定的；</w:t>
      </w:r>
    </w:p>
    <w:p w14:paraId="2CACDF7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串岗、脱岗、空岗的；</w:t>
      </w:r>
    </w:p>
    <w:p w14:paraId="01794C9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违章指挥的；</w:t>
      </w:r>
    </w:p>
    <w:p w14:paraId="0C7477F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用水冲洗电气、通讯设备的；</w:t>
      </w:r>
    </w:p>
    <w:p w14:paraId="1C0EE0D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带压拆卸风水管路的；</w:t>
      </w:r>
    </w:p>
    <w:p w14:paraId="005D645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不随身携带、不按规定使用矿灯、安全帽、自救器的；</w:t>
      </w:r>
    </w:p>
    <w:p w14:paraId="6F18FB8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乘罐或行走期间起哄，人为造成人员拥挤的；</w:t>
      </w:r>
    </w:p>
    <w:p w14:paraId="65F1DFF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不按规定路线行走的；</w:t>
      </w:r>
    </w:p>
    <w:p w14:paraId="2F3EB23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斜巷运输巷道片盘口、上、下车场蹲坐、逗留的；</w:t>
      </w:r>
    </w:p>
    <w:p w14:paraId="72486EE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不按规定乘坐架空乘人装置的；</w:t>
      </w:r>
    </w:p>
    <w:p w14:paraId="70B3A61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（二十九）</w:t>
      </w:r>
      <w:r>
        <w:rPr>
          <w:rFonts w:hint="eastAsia" w:ascii="仿宋" w:hAnsi="仿宋" w:eastAsia="仿宋" w:cs="仿宋"/>
          <w:color w:val="auto"/>
          <w:sz w:val="28"/>
          <w:szCs w:val="28"/>
        </w:rPr>
        <w:t>跨越皮带不走人行过桥的；</w:t>
      </w:r>
    </w:p>
    <w:p w14:paraId="518DC50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w:t>
      </w:r>
      <w:r>
        <w:rPr>
          <w:rFonts w:hint="eastAsia" w:ascii="仿宋" w:hAnsi="仿宋" w:eastAsia="仿宋" w:cs="仿宋"/>
          <w:color w:val="auto"/>
          <w:sz w:val="28"/>
          <w:szCs w:val="28"/>
        </w:rPr>
        <w:t>过风门未及时关闭的；</w:t>
      </w:r>
    </w:p>
    <w:p w14:paraId="5F182BF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w:t>
      </w:r>
      <w:r>
        <w:rPr>
          <w:rFonts w:hint="eastAsia" w:ascii="仿宋" w:hAnsi="仿宋" w:eastAsia="仿宋" w:cs="仿宋"/>
          <w:color w:val="auto"/>
          <w:sz w:val="28"/>
          <w:szCs w:val="28"/>
        </w:rPr>
        <w:t>各种保护、安全设施不按规定装设、使用、检查、检修、检测、试验或不灵敏可靠；</w:t>
      </w:r>
    </w:p>
    <w:p w14:paraId="1A3F052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（三十二）</w:t>
      </w:r>
      <w:r>
        <w:rPr>
          <w:rFonts w:hint="eastAsia" w:ascii="仿宋" w:hAnsi="仿宋" w:eastAsia="仿宋" w:cs="仿宋"/>
          <w:color w:val="auto"/>
          <w:sz w:val="28"/>
          <w:szCs w:val="28"/>
        </w:rPr>
        <w:t>操作按钮失灵继续使用或未按规定使用的；</w:t>
      </w:r>
    </w:p>
    <w:p w14:paraId="2B9D4CB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（三十三）</w:t>
      </w:r>
      <w:r>
        <w:rPr>
          <w:rFonts w:hint="eastAsia" w:ascii="仿宋" w:hAnsi="仿宋" w:eastAsia="仿宋" w:cs="仿宋"/>
          <w:color w:val="auto"/>
          <w:sz w:val="28"/>
          <w:szCs w:val="28"/>
        </w:rPr>
        <w:t>风水管不正常使用U型卡的；</w:t>
      </w:r>
    </w:p>
    <w:p w14:paraId="73E8455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（三十四）</w:t>
      </w:r>
      <w:r>
        <w:rPr>
          <w:rFonts w:hint="eastAsia" w:ascii="仿宋" w:hAnsi="仿宋" w:eastAsia="仿宋" w:cs="仿宋"/>
          <w:color w:val="auto"/>
          <w:sz w:val="28"/>
          <w:szCs w:val="28"/>
        </w:rPr>
        <w:t>登高作业不按规定佩戴保险带、保险绳等的；</w:t>
      </w:r>
    </w:p>
    <w:p w14:paraId="6823F2D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（三十五）</w:t>
      </w:r>
      <w:r>
        <w:rPr>
          <w:rFonts w:hint="eastAsia" w:ascii="仿宋" w:hAnsi="仿宋" w:eastAsia="仿宋" w:cs="仿宋"/>
          <w:color w:val="auto"/>
          <w:sz w:val="28"/>
          <w:szCs w:val="28"/>
        </w:rPr>
        <w:t>让（替）他人捎带人员定位卡下井的；</w:t>
      </w:r>
    </w:p>
    <w:p w14:paraId="7AFA63D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（三十六）</w:t>
      </w:r>
      <w:r>
        <w:rPr>
          <w:rFonts w:hint="eastAsia" w:ascii="仿宋" w:hAnsi="仿宋" w:eastAsia="仿宋" w:cs="仿宋"/>
          <w:color w:val="auto"/>
          <w:sz w:val="28"/>
          <w:szCs w:val="28"/>
        </w:rPr>
        <w:t>未按规定携带</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便携仪的；</w:t>
      </w:r>
    </w:p>
    <w:p w14:paraId="3624215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（三十七）</w:t>
      </w:r>
      <w:r>
        <w:rPr>
          <w:rFonts w:hint="eastAsia" w:ascii="仿宋" w:hAnsi="仿宋" w:eastAsia="仿宋" w:cs="仿宋"/>
          <w:color w:val="auto"/>
          <w:sz w:val="28"/>
          <w:szCs w:val="28"/>
        </w:rPr>
        <w:t>各类回头轮、起吊钩头无防脱闭锁或闭锁失效、不完好的；</w:t>
      </w:r>
    </w:p>
    <w:p w14:paraId="3FD41CC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（三十八）</w:t>
      </w:r>
      <w:r>
        <w:rPr>
          <w:rFonts w:hint="eastAsia" w:ascii="仿宋" w:hAnsi="仿宋" w:eastAsia="仿宋" w:cs="仿宋"/>
          <w:color w:val="auto"/>
          <w:sz w:val="28"/>
          <w:szCs w:val="28"/>
        </w:rPr>
        <w:t>开关未及时停电、闭锁的；</w:t>
      </w:r>
    </w:p>
    <w:p w14:paraId="0CDCE6B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（三十九）</w:t>
      </w:r>
      <w:r>
        <w:rPr>
          <w:rFonts w:hint="eastAsia" w:ascii="仿宋" w:hAnsi="仿宋" w:eastAsia="仿宋" w:cs="仿宋"/>
          <w:color w:val="auto"/>
          <w:sz w:val="28"/>
          <w:szCs w:val="28"/>
        </w:rPr>
        <w:t>容易碰到的和裸露的带电体及机械外露的转动和传动部位未加装护罩或遮拦等防护设施的；</w:t>
      </w:r>
    </w:p>
    <w:p w14:paraId="575A090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w:t>
      </w:r>
      <w:r>
        <w:rPr>
          <w:rFonts w:hint="eastAsia" w:ascii="仿宋" w:hAnsi="仿宋" w:eastAsia="仿宋" w:cs="仿宋"/>
          <w:color w:val="auto"/>
          <w:sz w:val="28"/>
          <w:szCs w:val="28"/>
        </w:rPr>
        <w:t>自救器损坏或过期未及时更换的；</w:t>
      </w:r>
    </w:p>
    <w:p w14:paraId="332AB2A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（四十一）</w:t>
      </w:r>
      <w:r>
        <w:rPr>
          <w:rFonts w:hint="eastAsia" w:ascii="仿宋" w:hAnsi="仿宋" w:eastAsia="仿宋" w:cs="仿宋"/>
          <w:color w:val="auto"/>
          <w:sz w:val="28"/>
          <w:szCs w:val="28"/>
        </w:rPr>
        <w:t>携带非防爆电子产品入井的；</w:t>
      </w:r>
    </w:p>
    <w:p w14:paraId="2C3FDE5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（四十二）</w:t>
      </w:r>
      <w:r>
        <w:rPr>
          <w:rFonts w:hint="eastAsia" w:ascii="仿宋" w:hAnsi="仿宋" w:eastAsia="仿宋" w:cs="仿宋"/>
          <w:color w:val="auto"/>
          <w:sz w:val="28"/>
          <w:szCs w:val="28"/>
        </w:rPr>
        <w:t>其他违反《煤矿安全规程》、《操作规程》及《作业规程》等有关规定的。</w:t>
      </w:r>
    </w:p>
    <w:p w14:paraId="7D8BDFF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（四十三）</w:t>
      </w:r>
      <w:r>
        <w:rPr>
          <w:rFonts w:hint="eastAsia" w:ascii="仿宋" w:hAnsi="仿宋" w:eastAsia="仿宋" w:cs="仿宋"/>
          <w:color w:val="auto"/>
          <w:sz w:val="28"/>
          <w:szCs w:val="28"/>
        </w:rPr>
        <w:t>绞车不带电放车的；</w:t>
      </w:r>
    </w:p>
    <w:p w14:paraId="61CBDAA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（四十四）</w:t>
      </w:r>
      <w:r>
        <w:rPr>
          <w:rFonts w:hint="eastAsia" w:ascii="仿宋" w:hAnsi="仿宋" w:eastAsia="仿宋" w:cs="仿宋"/>
          <w:color w:val="auto"/>
          <w:sz w:val="28"/>
          <w:szCs w:val="28"/>
        </w:rPr>
        <w:t>绞车运行时，司机离开操作台的；</w:t>
      </w:r>
    </w:p>
    <w:p w14:paraId="028FFB7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（四十五）</w:t>
      </w:r>
      <w:r>
        <w:rPr>
          <w:rFonts w:hint="eastAsia" w:ascii="仿宋" w:hAnsi="仿宋" w:eastAsia="仿宋" w:cs="仿宋"/>
          <w:color w:val="auto"/>
          <w:sz w:val="28"/>
          <w:szCs w:val="28"/>
        </w:rPr>
        <w:t>司机不按信号或信号不清开机的；</w:t>
      </w:r>
    </w:p>
    <w:p w14:paraId="0E12511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（四十六）</w:t>
      </w:r>
      <w:r>
        <w:rPr>
          <w:rFonts w:hint="eastAsia" w:ascii="仿宋" w:hAnsi="仿宋" w:eastAsia="仿宋" w:cs="仿宋"/>
          <w:color w:val="auto"/>
          <w:sz w:val="28"/>
          <w:szCs w:val="28"/>
        </w:rPr>
        <w:t>绞车启动困难未查明原因强行启动开机的；</w:t>
      </w:r>
    </w:p>
    <w:p w14:paraId="7FAAC87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（四十七）</w:t>
      </w:r>
      <w:r>
        <w:rPr>
          <w:rFonts w:hint="eastAsia" w:ascii="仿宋" w:hAnsi="仿宋" w:eastAsia="仿宋" w:cs="仿宋"/>
          <w:color w:val="auto"/>
          <w:sz w:val="28"/>
          <w:szCs w:val="28"/>
        </w:rPr>
        <w:t>斜巷提升变坡点以上留有余绳放车的；</w:t>
      </w:r>
    </w:p>
    <w:p w14:paraId="01E58D6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（四十八）</w:t>
      </w:r>
      <w:r>
        <w:rPr>
          <w:rFonts w:hint="eastAsia" w:ascii="仿宋" w:hAnsi="仿宋" w:eastAsia="仿宋" w:cs="仿宋"/>
          <w:color w:val="auto"/>
          <w:sz w:val="28"/>
          <w:szCs w:val="28"/>
        </w:rPr>
        <w:t>提升斜巷中途停车后，绞车司机双手离开闸把的；</w:t>
      </w:r>
    </w:p>
    <w:p w14:paraId="00E8FC3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（四十九）</w:t>
      </w:r>
      <w:r>
        <w:rPr>
          <w:rFonts w:hint="eastAsia" w:ascii="仿宋" w:hAnsi="仿宋" w:eastAsia="仿宋" w:cs="仿宋"/>
          <w:color w:val="auto"/>
          <w:sz w:val="28"/>
          <w:szCs w:val="28"/>
        </w:rPr>
        <w:t>操作不当造成绞车钢丝绳挤绳、咬绳影响排绳的；</w:t>
      </w:r>
    </w:p>
    <w:p w14:paraId="1ABF3CB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（五十）小绞车未经验收或固定安装不合格、闸把不合格而使用的；</w:t>
      </w:r>
    </w:p>
    <w:p w14:paraId="050D9F5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（五十一）提升装置存在隐患，继续走钩的。</w:t>
      </w:r>
    </w:p>
    <w:p w14:paraId="1F97576B">
      <w:pPr>
        <w:rPr>
          <w:rFonts w:hint="eastAsia" w:ascii="仿宋" w:hAnsi="仿宋" w:eastAsia="仿宋" w:cs="仿宋"/>
          <w:b/>
          <w:bCs/>
          <w:color w:val="auto"/>
          <w:kern w:val="0"/>
          <w:sz w:val="36"/>
          <w:szCs w:val="36"/>
          <w:highlight w:val="none"/>
          <w:lang w:val="en-US" w:eastAsia="zh-CN"/>
        </w:rPr>
      </w:pPr>
      <w:bookmarkStart w:id="158" w:name="_Toc11464"/>
      <w:bookmarkStart w:id="159" w:name="_Toc16364"/>
      <w:r>
        <w:rPr>
          <w:rFonts w:hint="eastAsia" w:ascii="仿宋" w:hAnsi="仿宋" w:eastAsia="仿宋" w:cs="仿宋"/>
          <w:b/>
          <w:bCs/>
          <w:color w:val="auto"/>
          <w:kern w:val="0"/>
          <w:sz w:val="36"/>
          <w:szCs w:val="36"/>
          <w:highlight w:val="none"/>
          <w:lang w:val="en-US" w:eastAsia="zh-CN"/>
        </w:rPr>
        <w:br w:type="page"/>
      </w:r>
    </w:p>
    <w:p w14:paraId="57792FE7">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36"/>
          <w:szCs w:val="36"/>
          <w:highlight w:val="none"/>
          <w:lang w:val="en-US" w:eastAsia="zh-CN"/>
        </w:rPr>
      </w:pPr>
      <w:bookmarkStart w:id="160" w:name="_Toc7187"/>
      <w:r>
        <w:rPr>
          <w:rFonts w:hint="eastAsia" w:ascii="仿宋" w:hAnsi="仿宋" w:eastAsia="仿宋" w:cs="仿宋"/>
          <w:b/>
          <w:bCs/>
          <w:color w:val="auto"/>
          <w:kern w:val="0"/>
          <w:sz w:val="36"/>
          <w:szCs w:val="36"/>
          <w:highlight w:val="none"/>
          <w:lang w:val="en-US" w:eastAsia="zh-CN"/>
        </w:rPr>
        <w:t>装载机司机</w:t>
      </w:r>
      <w:bookmarkEnd w:id="158"/>
      <w:bookmarkEnd w:id="159"/>
      <w:bookmarkEnd w:id="160"/>
    </w:p>
    <w:tbl>
      <w:tblPr>
        <w:tblStyle w:val="12"/>
        <w:tblW w:w="9160" w:type="dxa"/>
        <w:jc w:val="center"/>
        <w:tblLayout w:type="fixed"/>
        <w:tblCellMar>
          <w:top w:w="0" w:type="dxa"/>
          <w:left w:w="108" w:type="dxa"/>
          <w:bottom w:w="0" w:type="dxa"/>
          <w:right w:w="108" w:type="dxa"/>
        </w:tblCellMar>
      </w:tblPr>
      <w:tblGrid>
        <w:gridCol w:w="1175"/>
        <w:gridCol w:w="2264"/>
        <w:gridCol w:w="1"/>
        <w:gridCol w:w="931"/>
        <w:gridCol w:w="4789"/>
      </w:tblGrid>
      <w:tr w14:paraId="6C8E2391">
        <w:tblPrEx>
          <w:tblCellMar>
            <w:top w:w="0" w:type="dxa"/>
            <w:left w:w="108" w:type="dxa"/>
            <w:bottom w:w="0" w:type="dxa"/>
            <w:right w:w="108" w:type="dxa"/>
          </w:tblCellMar>
        </w:tblPrEx>
        <w:trPr>
          <w:trHeight w:val="625" w:hRule="atLeast"/>
          <w:jc w:val="center"/>
        </w:trPr>
        <w:tc>
          <w:tcPr>
            <w:tcW w:w="9160" w:type="dxa"/>
            <w:gridSpan w:val="5"/>
            <w:tcBorders>
              <w:top w:val="single" w:color="auto" w:sz="4" w:space="0"/>
              <w:left w:val="single" w:color="auto" w:sz="4" w:space="0"/>
              <w:bottom w:val="single" w:color="auto" w:sz="4" w:space="0"/>
              <w:right w:val="single" w:color="auto" w:sz="4" w:space="0"/>
            </w:tcBorders>
            <w:vAlign w:val="center"/>
          </w:tcPr>
          <w:p w14:paraId="48339534">
            <w:pPr>
              <w:keepNext w:val="0"/>
              <w:keepLines w:val="0"/>
              <w:pageBreakBefore w:val="0"/>
              <w:widowControl/>
              <w:kinsoku/>
              <w:wordWrap/>
              <w:overflowPunct/>
              <w:topLinePunct w:val="0"/>
              <w:autoSpaceDE/>
              <w:autoSpaceDN/>
              <w:bidi w:val="0"/>
              <w:adjustRightInd/>
              <w:snapToGrid/>
              <w:spacing w:line="240" w:lineRule="auto"/>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eastAsia="zh-CN"/>
              </w:rPr>
              <w:t>装载</w:t>
            </w:r>
            <w:r>
              <w:rPr>
                <w:rFonts w:hint="eastAsia" w:ascii="仿宋" w:hAnsi="仿宋" w:eastAsia="仿宋" w:cs="仿宋"/>
                <w:color w:val="auto"/>
                <w:kern w:val="0"/>
                <w:sz w:val="21"/>
                <w:szCs w:val="21"/>
                <w:highlight w:val="none"/>
              </w:rPr>
              <w:t>机司机岗位风险告知卡</w:t>
            </w:r>
          </w:p>
        </w:tc>
      </w:tr>
      <w:tr w14:paraId="366D9794">
        <w:tblPrEx>
          <w:tblCellMar>
            <w:top w:w="0" w:type="dxa"/>
            <w:left w:w="108" w:type="dxa"/>
            <w:bottom w:w="0" w:type="dxa"/>
            <w:right w:w="108" w:type="dxa"/>
          </w:tblCellMar>
        </w:tblPrEx>
        <w:trPr>
          <w:trHeight w:val="1758" w:hRule="atLeast"/>
          <w:jc w:val="center"/>
        </w:trPr>
        <w:tc>
          <w:tcPr>
            <w:tcW w:w="1175" w:type="dxa"/>
            <w:tcBorders>
              <w:top w:val="nil"/>
              <w:left w:val="single" w:color="auto" w:sz="4" w:space="0"/>
              <w:bottom w:val="single" w:color="auto" w:sz="4" w:space="0"/>
              <w:right w:val="single" w:color="auto" w:sz="4" w:space="0"/>
            </w:tcBorders>
            <w:vAlign w:val="center"/>
          </w:tcPr>
          <w:p w14:paraId="2C0ABF57">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w:t>
            </w:r>
          </w:p>
          <w:p w14:paraId="289AA7A6">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类型</w:t>
            </w:r>
          </w:p>
        </w:tc>
        <w:tc>
          <w:tcPr>
            <w:tcW w:w="2264" w:type="dxa"/>
            <w:tcBorders>
              <w:top w:val="nil"/>
              <w:left w:val="nil"/>
              <w:bottom w:val="single" w:color="auto" w:sz="4" w:space="0"/>
              <w:right w:val="single" w:color="auto" w:sz="4" w:space="0"/>
            </w:tcBorders>
            <w:vAlign w:val="center"/>
          </w:tcPr>
          <w:p w14:paraId="4F367584">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冒顶（片帮）、煤尘、</w:t>
            </w:r>
            <w:r>
              <w:rPr>
                <w:rFonts w:hint="eastAsia" w:ascii="仿宋" w:hAnsi="仿宋" w:eastAsia="仿宋" w:cs="仿宋"/>
                <w:color w:val="auto"/>
                <w:kern w:val="0"/>
                <w:sz w:val="21"/>
                <w:szCs w:val="21"/>
                <w:highlight w:val="none"/>
                <w:lang w:eastAsia="zh-CN"/>
              </w:rPr>
              <w:t>甲烷</w:t>
            </w:r>
            <w:r>
              <w:rPr>
                <w:rFonts w:hint="eastAsia" w:ascii="仿宋" w:hAnsi="仿宋" w:eastAsia="仿宋" w:cs="仿宋"/>
                <w:color w:val="auto"/>
                <w:kern w:val="0"/>
                <w:sz w:val="21"/>
                <w:szCs w:val="21"/>
                <w:highlight w:val="none"/>
              </w:rPr>
              <w:t>、机电、运输、物体打击、职业病危害</w:t>
            </w:r>
          </w:p>
        </w:tc>
        <w:tc>
          <w:tcPr>
            <w:tcW w:w="932" w:type="dxa"/>
            <w:gridSpan w:val="2"/>
            <w:tcBorders>
              <w:top w:val="nil"/>
              <w:left w:val="nil"/>
              <w:bottom w:val="single" w:color="auto" w:sz="4" w:space="0"/>
              <w:right w:val="single" w:color="auto" w:sz="4" w:space="0"/>
            </w:tcBorders>
            <w:vAlign w:val="center"/>
          </w:tcPr>
          <w:p w14:paraId="6C930422">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w:t>
            </w:r>
          </w:p>
          <w:p w14:paraId="32019F65">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报告</w:t>
            </w:r>
          </w:p>
        </w:tc>
        <w:tc>
          <w:tcPr>
            <w:tcW w:w="4789" w:type="dxa"/>
            <w:tcBorders>
              <w:top w:val="nil"/>
              <w:left w:val="nil"/>
              <w:bottom w:val="single" w:color="auto" w:sz="4" w:space="0"/>
              <w:right w:val="single" w:color="auto" w:sz="4" w:space="0"/>
            </w:tcBorders>
            <w:vAlign w:val="center"/>
          </w:tcPr>
          <w:p w14:paraId="27328723">
            <w:pPr>
              <w:keepNext w:val="0"/>
              <w:keepLines w:val="0"/>
              <w:pageBreakBefore w:val="0"/>
              <w:widowControl/>
              <w:kinsoku/>
              <w:wordWrap/>
              <w:overflowPunct/>
              <w:topLinePunct w:val="0"/>
              <w:autoSpaceDE/>
              <w:autoSpaceDN/>
              <w:bidi w:val="0"/>
              <w:adjustRightInd/>
              <w:snapToGrid/>
              <w:spacing w:line="240" w:lineRule="auto"/>
              <w:ind w:left="630" w:leftChars="200" w:hanging="210" w:hangingChars="1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14:paraId="7DEE4F4C">
            <w:pPr>
              <w:keepNext w:val="0"/>
              <w:keepLines w:val="0"/>
              <w:pageBreakBefore w:val="0"/>
              <w:widowControl/>
              <w:kinsoku/>
              <w:wordWrap/>
              <w:overflowPunct/>
              <w:topLinePunct w:val="0"/>
              <w:autoSpaceDE/>
              <w:autoSpaceDN/>
              <w:bidi w:val="0"/>
              <w:adjustRightInd/>
              <w:snapToGrid/>
              <w:spacing w:line="240" w:lineRule="auto"/>
              <w:ind w:left="630" w:leftChars="200" w:hanging="210" w:hangingChars="100"/>
              <w:jc w:val="both"/>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0525</w:t>
            </w:r>
          </w:p>
          <w:p w14:paraId="32E8C8C2">
            <w:pPr>
              <w:keepNext w:val="0"/>
              <w:keepLines w:val="0"/>
              <w:pageBreakBefore w:val="0"/>
              <w:widowControl/>
              <w:kinsoku/>
              <w:wordWrap/>
              <w:overflowPunct/>
              <w:topLinePunct w:val="0"/>
              <w:autoSpaceDE/>
              <w:autoSpaceDN/>
              <w:bidi w:val="0"/>
              <w:adjustRightInd/>
              <w:snapToGrid/>
              <w:spacing w:line="240" w:lineRule="auto"/>
              <w:ind w:left="630" w:leftChars="200" w:hanging="210" w:hangingChars="1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304DA27F">
        <w:tblPrEx>
          <w:tblCellMar>
            <w:top w:w="0" w:type="dxa"/>
            <w:left w:w="108" w:type="dxa"/>
            <w:bottom w:w="0" w:type="dxa"/>
            <w:right w:w="108" w:type="dxa"/>
          </w:tblCellMar>
        </w:tblPrEx>
        <w:trPr>
          <w:trHeight w:val="326"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14:paraId="731FCFEB">
            <w:pPr>
              <w:keepNext w:val="0"/>
              <w:keepLines w:val="0"/>
              <w:pageBreakBefore w:val="0"/>
              <w:widowControl/>
              <w:kinsoku/>
              <w:wordWrap/>
              <w:overflowPunct/>
              <w:topLinePunct w:val="0"/>
              <w:autoSpaceDE/>
              <w:autoSpaceDN/>
              <w:bidi w:val="0"/>
              <w:adjustRightInd/>
              <w:snapToGrid/>
              <w:spacing w:line="240" w:lineRule="auto"/>
              <w:ind w:firstLine="422" w:firstLineChars="200"/>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5720" w:type="dxa"/>
            <w:gridSpan w:val="2"/>
            <w:tcBorders>
              <w:top w:val="single" w:color="auto" w:sz="4" w:space="0"/>
              <w:left w:val="nil"/>
              <w:bottom w:val="single" w:color="auto" w:sz="4" w:space="0"/>
              <w:right w:val="single" w:color="auto" w:sz="4" w:space="0"/>
            </w:tcBorders>
            <w:vAlign w:val="center"/>
          </w:tcPr>
          <w:p w14:paraId="1CB176C3">
            <w:pPr>
              <w:keepNext w:val="0"/>
              <w:keepLines w:val="0"/>
              <w:pageBreakBefore w:val="0"/>
              <w:widowControl/>
              <w:kinsoku/>
              <w:wordWrap/>
              <w:overflowPunct/>
              <w:topLinePunct w:val="0"/>
              <w:autoSpaceDE/>
              <w:autoSpaceDN/>
              <w:bidi w:val="0"/>
              <w:adjustRightInd/>
              <w:snapToGrid/>
              <w:spacing w:line="240" w:lineRule="auto"/>
              <w:ind w:firstLine="422" w:firstLineChars="200"/>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14:paraId="077DA934">
        <w:tblPrEx>
          <w:tblCellMar>
            <w:top w:w="0" w:type="dxa"/>
            <w:left w:w="108" w:type="dxa"/>
            <w:bottom w:w="0" w:type="dxa"/>
            <w:right w:w="108" w:type="dxa"/>
          </w:tblCellMar>
        </w:tblPrEx>
        <w:trPr>
          <w:trHeight w:val="1801"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14:paraId="7B2B3E27">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1.未持证上岗；未佩戴个体防护；空顶作业；通风不良，造成</w:t>
            </w:r>
            <w:r>
              <w:rPr>
                <w:rFonts w:hint="eastAsia" w:ascii="仿宋" w:hAnsi="仿宋" w:eastAsia="仿宋" w:cs="仿宋"/>
                <w:color w:val="auto"/>
                <w:kern w:val="0"/>
                <w:sz w:val="21"/>
                <w:szCs w:val="21"/>
                <w:highlight w:val="none"/>
                <w:lang w:eastAsia="zh-CN"/>
              </w:rPr>
              <w:t>甲烷</w:t>
            </w:r>
            <w:r>
              <w:rPr>
                <w:rFonts w:hint="eastAsia" w:ascii="仿宋" w:hAnsi="仿宋" w:eastAsia="仿宋" w:cs="仿宋"/>
                <w:color w:val="auto"/>
                <w:kern w:val="0"/>
                <w:sz w:val="21"/>
                <w:szCs w:val="21"/>
                <w:highlight w:val="none"/>
              </w:rPr>
              <w:t>积聚；喷雾无法正常使用，粉尘积聚</w:t>
            </w:r>
            <w:r>
              <w:rPr>
                <w:rFonts w:hint="eastAsia" w:ascii="仿宋" w:hAnsi="仿宋" w:eastAsia="仿宋" w:cs="仿宋"/>
                <w:color w:val="auto"/>
                <w:kern w:val="0"/>
                <w:sz w:val="21"/>
                <w:szCs w:val="21"/>
                <w:highlight w:val="none"/>
                <w:lang w:eastAsia="zh-CN"/>
              </w:rPr>
              <w:t>。</w:t>
            </w:r>
          </w:p>
        </w:tc>
        <w:tc>
          <w:tcPr>
            <w:tcW w:w="5720" w:type="dxa"/>
            <w:gridSpan w:val="2"/>
            <w:tcBorders>
              <w:top w:val="single" w:color="auto" w:sz="4" w:space="0"/>
              <w:left w:val="nil"/>
              <w:bottom w:val="single" w:color="auto" w:sz="4" w:space="0"/>
              <w:right w:val="single" w:color="auto" w:sz="4" w:space="0"/>
            </w:tcBorders>
            <w:vAlign w:val="center"/>
          </w:tcPr>
          <w:p w14:paraId="219EF603">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1.持证上岗；佩戴好安全帽、口罩、耳塞；检查好顶帮支护情况，确保顶帮支护合格后方可上岗作业；保持</w:t>
            </w:r>
            <w:r>
              <w:rPr>
                <w:rFonts w:hint="eastAsia" w:ascii="仿宋" w:hAnsi="仿宋" w:eastAsia="仿宋" w:cs="仿宋"/>
                <w:color w:val="auto"/>
                <w:kern w:val="0"/>
                <w:sz w:val="21"/>
                <w:szCs w:val="21"/>
                <w:highlight w:val="none"/>
                <w:lang w:eastAsia="zh-CN"/>
              </w:rPr>
              <w:t>工作地点</w:t>
            </w:r>
            <w:r>
              <w:rPr>
                <w:rFonts w:hint="eastAsia" w:ascii="仿宋" w:hAnsi="仿宋" w:eastAsia="仿宋" w:cs="仿宋"/>
                <w:color w:val="auto"/>
                <w:kern w:val="0"/>
                <w:sz w:val="21"/>
                <w:szCs w:val="21"/>
                <w:highlight w:val="none"/>
              </w:rPr>
              <w:t>正常通风，</w:t>
            </w:r>
            <w:r>
              <w:rPr>
                <w:rFonts w:hint="eastAsia" w:ascii="仿宋" w:hAnsi="仿宋" w:eastAsia="仿宋" w:cs="仿宋"/>
                <w:color w:val="auto"/>
                <w:kern w:val="0"/>
                <w:sz w:val="21"/>
                <w:szCs w:val="21"/>
                <w:highlight w:val="none"/>
                <w:lang w:eastAsia="zh-CN"/>
              </w:rPr>
              <w:t>甲烷</w:t>
            </w:r>
            <w:r>
              <w:rPr>
                <w:rFonts w:hint="eastAsia" w:ascii="仿宋" w:hAnsi="仿宋" w:eastAsia="仿宋" w:cs="仿宋"/>
                <w:color w:val="auto"/>
                <w:kern w:val="0"/>
                <w:sz w:val="21"/>
                <w:szCs w:val="21"/>
                <w:highlight w:val="none"/>
              </w:rPr>
              <w:t>浓度达到1%时，立即停机处理；开机前检查</w:t>
            </w:r>
            <w:r>
              <w:rPr>
                <w:rFonts w:hint="eastAsia" w:ascii="仿宋" w:hAnsi="仿宋" w:eastAsia="仿宋" w:cs="仿宋"/>
                <w:color w:val="auto"/>
                <w:kern w:val="0"/>
                <w:sz w:val="21"/>
                <w:szCs w:val="21"/>
                <w:highlight w:val="none"/>
                <w:lang w:eastAsia="zh-CN"/>
              </w:rPr>
              <w:t>瓦检仪</w:t>
            </w:r>
            <w:r>
              <w:rPr>
                <w:rFonts w:hint="eastAsia" w:ascii="仿宋" w:hAnsi="仿宋" w:eastAsia="仿宋" w:cs="仿宋"/>
                <w:color w:val="auto"/>
                <w:kern w:val="0"/>
                <w:sz w:val="21"/>
                <w:szCs w:val="21"/>
                <w:highlight w:val="none"/>
              </w:rPr>
              <w:t>完好情况</w:t>
            </w:r>
            <w:r>
              <w:rPr>
                <w:rFonts w:hint="eastAsia" w:ascii="仿宋" w:hAnsi="仿宋" w:eastAsia="仿宋" w:cs="仿宋"/>
                <w:color w:val="auto"/>
                <w:kern w:val="0"/>
                <w:sz w:val="21"/>
                <w:szCs w:val="21"/>
                <w:highlight w:val="none"/>
                <w:lang w:eastAsia="zh-CN"/>
              </w:rPr>
              <w:t>。</w:t>
            </w:r>
          </w:p>
        </w:tc>
      </w:tr>
      <w:tr w14:paraId="0B38D3C8">
        <w:tblPrEx>
          <w:tblCellMar>
            <w:top w:w="0" w:type="dxa"/>
            <w:left w:w="108" w:type="dxa"/>
            <w:bottom w:w="0" w:type="dxa"/>
            <w:right w:w="108" w:type="dxa"/>
          </w:tblCellMar>
        </w:tblPrEx>
        <w:trPr>
          <w:trHeight w:val="1018"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14:paraId="5D88DC54">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2.停车后钥匙未取下造成他人误操作</w:t>
            </w:r>
            <w:r>
              <w:rPr>
                <w:rFonts w:hint="eastAsia" w:ascii="仿宋" w:hAnsi="仿宋" w:eastAsia="仿宋" w:cs="仿宋"/>
                <w:color w:val="auto"/>
                <w:kern w:val="0"/>
                <w:sz w:val="21"/>
                <w:szCs w:val="21"/>
                <w:highlight w:val="none"/>
                <w:lang w:eastAsia="zh-CN"/>
              </w:rPr>
              <w:t>。</w:t>
            </w:r>
          </w:p>
        </w:tc>
        <w:tc>
          <w:tcPr>
            <w:tcW w:w="5720" w:type="dxa"/>
            <w:gridSpan w:val="2"/>
            <w:tcBorders>
              <w:top w:val="single" w:color="auto" w:sz="4" w:space="0"/>
              <w:left w:val="nil"/>
              <w:bottom w:val="single" w:color="auto" w:sz="4" w:space="0"/>
              <w:right w:val="single" w:color="auto" w:sz="4" w:space="0"/>
            </w:tcBorders>
            <w:vAlign w:val="center"/>
          </w:tcPr>
          <w:p w14:paraId="3F06B210">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2.停车后电门钥匙转到断开位置，并取下钥匙由司机随身携带</w:t>
            </w:r>
            <w:r>
              <w:rPr>
                <w:rFonts w:hint="eastAsia" w:ascii="仿宋" w:hAnsi="仿宋" w:eastAsia="仿宋" w:cs="仿宋"/>
                <w:color w:val="auto"/>
                <w:kern w:val="0"/>
                <w:sz w:val="21"/>
                <w:szCs w:val="21"/>
                <w:highlight w:val="none"/>
                <w:lang w:eastAsia="zh-CN"/>
              </w:rPr>
              <w:t>。</w:t>
            </w:r>
          </w:p>
        </w:tc>
      </w:tr>
      <w:tr w14:paraId="64AA1CD2">
        <w:tblPrEx>
          <w:tblCellMar>
            <w:top w:w="0" w:type="dxa"/>
            <w:left w:w="108" w:type="dxa"/>
            <w:bottom w:w="0" w:type="dxa"/>
            <w:right w:w="108" w:type="dxa"/>
          </w:tblCellMar>
        </w:tblPrEx>
        <w:trPr>
          <w:trHeight w:val="1205"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14:paraId="7971C20D">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3.未执行清人制度</w:t>
            </w:r>
            <w:r>
              <w:rPr>
                <w:rFonts w:hint="eastAsia" w:ascii="仿宋" w:hAnsi="仿宋" w:eastAsia="仿宋" w:cs="仿宋"/>
                <w:color w:val="auto"/>
                <w:kern w:val="0"/>
                <w:sz w:val="21"/>
                <w:szCs w:val="21"/>
                <w:highlight w:val="none"/>
                <w:lang w:eastAsia="zh-CN"/>
              </w:rPr>
              <w:t>。</w:t>
            </w:r>
          </w:p>
        </w:tc>
        <w:tc>
          <w:tcPr>
            <w:tcW w:w="5720" w:type="dxa"/>
            <w:gridSpan w:val="2"/>
            <w:tcBorders>
              <w:top w:val="single" w:color="auto" w:sz="4" w:space="0"/>
              <w:left w:val="nil"/>
              <w:bottom w:val="single" w:color="auto" w:sz="4" w:space="0"/>
              <w:right w:val="single" w:color="auto" w:sz="4" w:space="0"/>
            </w:tcBorders>
            <w:vAlign w:val="center"/>
          </w:tcPr>
          <w:p w14:paraId="3AA0BA05">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3.起步和操作工作装置前，安排专人进行清人并在装载机运行范围外拉设警戒线严禁人员进行入，司机应观察车辆周围有无人员和阻碍行车的物料，同时鸣喇叭发出信号</w:t>
            </w:r>
            <w:r>
              <w:rPr>
                <w:rFonts w:hint="eastAsia" w:ascii="仿宋" w:hAnsi="仿宋" w:eastAsia="仿宋" w:cs="仿宋"/>
                <w:color w:val="auto"/>
                <w:kern w:val="0"/>
                <w:sz w:val="21"/>
                <w:szCs w:val="21"/>
                <w:highlight w:val="none"/>
                <w:lang w:eastAsia="zh-CN"/>
              </w:rPr>
              <w:t>。</w:t>
            </w:r>
          </w:p>
        </w:tc>
      </w:tr>
      <w:tr w14:paraId="6B34CCEA">
        <w:tblPrEx>
          <w:tblCellMar>
            <w:top w:w="0" w:type="dxa"/>
            <w:left w:w="108" w:type="dxa"/>
            <w:bottom w:w="0" w:type="dxa"/>
            <w:right w:w="108" w:type="dxa"/>
          </w:tblCellMar>
        </w:tblPrEx>
        <w:trPr>
          <w:trHeight w:val="973"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14:paraId="00019C1B">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4.下坡行驶时发动机熄灭脱档滑行，液压转向失灵，造成行车事故。</w:t>
            </w:r>
          </w:p>
        </w:tc>
        <w:tc>
          <w:tcPr>
            <w:tcW w:w="5720" w:type="dxa"/>
            <w:gridSpan w:val="2"/>
            <w:tcBorders>
              <w:top w:val="single" w:color="auto" w:sz="4" w:space="0"/>
              <w:left w:val="nil"/>
              <w:bottom w:val="single" w:color="auto" w:sz="4" w:space="0"/>
              <w:right w:val="single" w:color="auto" w:sz="4" w:space="0"/>
            </w:tcBorders>
            <w:vAlign w:val="center"/>
          </w:tcPr>
          <w:p w14:paraId="2DE6AC52">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4.下坡行驶时严禁发动机熄灭脱档滑行。</w:t>
            </w:r>
          </w:p>
        </w:tc>
      </w:tr>
      <w:tr w14:paraId="356B0DB5">
        <w:tblPrEx>
          <w:tblCellMar>
            <w:top w:w="0" w:type="dxa"/>
            <w:left w:w="108" w:type="dxa"/>
            <w:bottom w:w="0" w:type="dxa"/>
            <w:right w:w="108" w:type="dxa"/>
          </w:tblCellMar>
        </w:tblPrEx>
        <w:trPr>
          <w:trHeight w:val="899" w:hRule="atLeast"/>
          <w:jc w:val="center"/>
        </w:trPr>
        <w:tc>
          <w:tcPr>
            <w:tcW w:w="3440" w:type="dxa"/>
            <w:gridSpan w:val="3"/>
            <w:tcBorders>
              <w:top w:val="single" w:color="auto" w:sz="4" w:space="0"/>
              <w:left w:val="single" w:color="auto" w:sz="4" w:space="0"/>
              <w:bottom w:val="single" w:color="auto" w:sz="4" w:space="0"/>
              <w:right w:val="single" w:color="000000" w:sz="4" w:space="0"/>
            </w:tcBorders>
            <w:vAlign w:val="center"/>
          </w:tcPr>
          <w:p w14:paraId="4000F797">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5.操作水箱和油箱时造成烫伤</w:t>
            </w:r>
            <w:r>
              <w:rPr>
                <w:rFonts w:hint="eastAsia" w:ascii="仿宋" w:hAnsi="仿宋" w:eastAsia="仿宋" w:cs="仿宋"/>
                <w:color w:val="auto"/>
                <w:kern w:val="0"/>
                <w:sz w:val="21"/>
                <w:szCs w:val="21"/>
                <w:highlight w:val="none"/>
                <w:lang w:eastAsia="zh-CN"/>
              </w:rPr>
              <w:t>。</w:t>
            </w:r>
          </w:p>
        </w:tc>
        <w:tc>
          <w:tcPr>
            <w:tcW w:w="5720" w:type="dxa"/>
            <w:gridSpan w:val="2"/>
            <w:tcBorders>
              <w:top w:val="single" w:color="auto" w:sz="4" w:space="0"/>
              <w:left w:val="nil"/>
              <w:bottom w:val="single" w:color="auto" w:sz="4" w:space="0"/>
              <w:right w:val="single" w:color="000000" w:sz="4" w:space="0"/>
            </w:tcBorders>
            <w:vAlign w:val="center"/>
          </w:tcPr>
          <w:p w14:paraId="18F01239">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5.打开热的发动机水箱和液压油箱时，应戴手套或用布块，缓慢旋松，防止热水、热油受到箱内压力喷出烫伤人员</w:t>
            </w:r>
            <w:r>
              <w:rPr>
                <w:rFonts w:hint="eastAsia" w:ascii="仿宋" w:hAnsi="仿宋" w:eastAsia="仿宋" w:cs="仿宋"/>
                <w:color w:val="auto"/>
                <w:kern w:val="0"/>
                <w:sz w:val="21"/>
                <w:szCs w:val="21"/>
                <w:highlight w:val="none"/>
                <w:lang w:eastAsia="zh-CN"/>
              </w:rPr>
              <w:t>。</w:t>
            </w:r>
          </w:p>
          <w:p w14:paraId="5E3F0A0B">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p>
        </w:tc>
      </w:tr>
      <w:tr w14:paraId="7B44FD45">
        <w:tblPrEx>
          <w:tblCellMar>
            <w:top w:w="0" w:type="dxa"/>
            <w:left w:w="108" w:type="dxa"/>
            <w:bottom w:w="0" w:type="dxa"/>
            <w:right w:w="108" w:type="dxa"/>
          </w:tblCellMar>
        </w:tblPrEx>
        <w:trPr>
          <w:trHeight w:val="1395" w:hRule="atLeast"/>
          <w:jc w:val="center"/>
        </w:trPr>
        <w:tc>
          <w:tcPr>
            <w:tcW w:w="1175" w:type="dxa"/>
            <w:tcBorders>
              <w:top w:val="nil"/>
              <w:left w:val="single" w:color="auto" w:sz="4" w:space="0"/>
              <w:bottom w:val="single" w:color="auto" w:sz="4" w:space="0"/>
              <w:right w:val="single" w:color="auto" w:sz="4" w:space="0"/>
            </w:tcBorders>
            <w:vAlign w:val="center"/>
          </w:tcPr>
          <w:p w14:paraId="29E9127A">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4D44B313">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985" w:type="dxa"/>
            <w:gridSpan w:val="4"/>
            <w:tcBorders>
              <w:top w:val="single" w:color="auto" w:sz="4" w:space="0"/>
              <w:left w:val="nil"/>
              <w:bottom w:val="single" w:color="auto" w:sz="4" w:space="0"/>
              <w:right w:val="single" w:color="auto" w:sz="4" w:space="0"/>
            </w:tcBorders>
            <w:vAlign w:val="center"/>
          </w:tcPr>
          <w:p w14:paraId="72493173">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135B53B7">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490A5261">
        <w:tblPrEx>
          <w:tblCellMar>
            <w:top w:w="0" w:type="dxa"/>
            <w:left w:w="108" w:type="dxa"/>
            <w:bottom w:w="0" w:type="dxa"/>
            <w:right w:w="108" w:type="dxa"/>
          </w:tblCellMar>
        </w:tblPrEx>
        <w:trPr>
          <w:trHeight w:val="1965" w:hRule="atLeast"/>
          <w:jc w:val="center"/>
        </w:trPr>
        <w:tc>
          <w:tcPr>
            <w:tcW w:w="1175" w:type="dxa"/>
            <w:tcBorders>
              <w:top w:val="nil"/>
              <w:left w:val="single" w:color="auto" w:sz="4" w:space="0"/>
              <w:bottom w:val="single" w:color="auto" w:sz="4" w:space="0"/>
              <w:right w:val="single" w:color="auto" w:sz="4" w:space="0"/>
            </w:tcBorders>
            <w:vAlign w:val="center"/>
          </w:tcPr>
          <w:p w14:paraId="456FFDD8">
            <w:pPr>
              <w:keepNext w:val="0"/>
              <w:keepLines w:val="0"/>
              <w:pageBreakBefore w:val="0"/>
              <w:widowControl/>
              <w:kinsoku/>
              <w:wordWrap/>
              <w:overflowPunct/>
              <w:topLinePunct w:val="0"/>
              <w:autoSpaceDE/>
              <w:autoSpaceDN/>
              <w:bidi w:val="0"/>
              <w:adjustRightInd/>
              <w:snapToGrid/>
              <w:spacing w:line="240" w:lineRule="auto"/>
              <w:ind w:firstLine="422" w:firstLineChars="200"/>
              <w:jc w:val="left"/>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14:paraId="41D1EA35">
            <w:pPr>
              <w:keepNext w:val="0"/>
              <w:keepLines w:val="0"/>
              <w:pageBreakBefore w:val="0"/>
              <w:widowControl/>
              <w:kinsoku/>
              <w:wordWrap/>
              <w:overflowPunct/>
              <w:topLinePunct w:val="0"/>
              <w:autoSpaceDE/>
              <w:autoSpaceDN/>
              <w:bidi w:val="0"/>
              <w:adjustRightInd/>
              <w:snapToGrid/>
              <w:spacing w:line="240" w:lineRule="auto"/>
              <w:ind w:firstLine="422" w:firstLineChars="200"/>
              <w:jc w:val="left"/>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14:paraId="7EB9399D">
            <w:pPr>
              <w:keepNext w:val="0"/>
              <w:keepLines w:val="0"/>
              <w:pageBreakBefore w:val="0"/>
              <w:widowControl/>
              <w:kinsoku/>
              <w:wordWrap/>
              <w:overflowPunct/>
              <w:topLinePunct w:val="0"/>
              <w:autoSpaceDE/>
              <w:autoSpaceDN/>
              <w:bidi w:val="0"/>
              <w:adjustRightInd/>
              <w:snapToGrid/>
              <w:spacing w:line="240" w:lineRule="auto"/>
              <w:ind w:firstLine="422" w:firstLineChars="200"/>
              <w:jc w:val="left"/>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985" w:type="dxa"/>
            <w:gridSpan w:val="4"/>
            <w:tcBorders>
              <w:top w:val="single" w:color="auto" w:sz="4" w:space="0"/>
              <w:left w:val="nil"/>
              <w:bottom w:val="single" w:color="auto" w:sz="4" w:space="0"/>
              <w:right w:val="single" w:color="auto" w:sz="4" w:space="0"/>
            </w:tcBorders>
            <w:vAlign w:val="center"/>
          </w:tcPr>
          <w:p w14:paraId="534661DA">
            <w:pPr>
              <w:keepNext w:val="0"/>
              <w:keepLines w:val="0"/>
              <w:pageBreakBefore w:val="0"/>
              <w:widowControl/>
              <w:numPr>
                <w:ilvl w:val="0"/>
                <w:numId w:val="0"/>
              </w:numPr>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发生事故后、要立即按照“及时汇报、积极抢救、安全撤离、妥善避灾”原则进行自救互救</w:t>
            </w:r>
            <w:r>
              <w:rPr>
                <w:rFonts w:hint="eastAsia" w:ascii="仿宋" w:hAnsi="仿宋" w:eastAsia="仿宋" w:cs="仿宋"/>
                <w:color w:val="auto"/>
                <w:kern w:val="0"/>
                <w:sz w:val="21"/>
                <w:szCs w:val="21"/>
                <w:highlight w:val="none"/>
                <w:lang w:eastAsia="zh-CN"/>
              </w:rPr>
              <w:t>。</w:t>
            </w:r>
          </w:p>
          <w:p w14:paraId="36286160">
            <w:pPr>
              <w:keepNext w:val="0"/>
              <w:keepLines w:val="0"/>
              <w:pageBreakBefore w:val="0"/>
              <w:widowControl/>
              <w:numPr>
                <w:ilvl w:val="0"/>
                <w:numId w:val="0"/>
              </w:numPr>
              <w:kinsoku/>
              <w:wordWrap/>
              <w:overflowPunct/>
              <w:topLinePunct w:val="0"/>
              <w:autoSpaceDE/>
              <w:autoSpaceDN/>
              <w:bidi w:val="0"/>
              <w:adjustRightInd/>
              <w:snapToGrid/>
              <w:spacing w:line="240" w:lineRule="auto"/>
              <w:ind w:left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rPr>
              <w:t>尽量与调度室保持联系，将现场情况准确汇报</w:t>
            </w:r>
            <w:r>
              <w:rPr>
                <w:rFonts w:hint="eastAsia" w:ascii="仿宋" w:hAnsi="仿宋" w:eastAsia="仿宋" w:cs="仿宋"/>
                <w:color w:val="auto"/>
                <w:kern w:val="0"/>
                <w:sz w:val="21"/>
                <w:szCs w:val="21"/>
                <w:highlight w:val="none"/>
                <w:lang w:eastAsia="zh-CN"/>
              </w:rPr>
              <w:t>。</w:t>
            </w:r>
          </w:p>
          <w:p w14:paraId="353FA729">
            <w:pPr>
              <w:keepNext w:val="0"/>
              <w:keepLines w:val="0"/>
              <w:pageBreakBefore w:val="0"/>
              <w:widowControl/>
              <w:numPr>
                <w:ilvl w:val="0"/>
                <w:numId w:val="0"/>
              </w:numPr>
              <w:kinsoku/>
              <w:wordWrap/>
              <w:overflowPunct/>
              <w:topLinePunct w:val="0"/>
              <w:autoSpaceDE/>
              <w:autoSpaceDN/>
              <w:bidi w:val="0"/>
              <w:adjustRightInd/>
              <w:snapToGrid/>
              <w:spacing w:line="240" w:lineRule="auto"/>
              <w:ind w:left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rPr>
              <w:t>抢救伤员时要遵循“三先三后”的原则</w:t>
            </w:r>
            <w:r>
              <w:rPr>
                <w:rFonts w:hint="eastAsia" w:ascii="仿宋" w:hAnsi="仿宋" w:eastAsia="仿宋" w:cs="仿宋"/>
                <w:color w:val="auto"/>
                <w:kern w:val="0"/>
                <w:sz w:val="21"/>
                <w:szCs w:val="21"/>
                <w:highlight w:val="none"/>
                <w:lang w:eastAsia="zh-CN"/>
              </w:rPr>
              <w:t>。</w:t>
            </w:r>
          </w:p>
          <w:p w14:paraId="762F919A">
            <w:pPr>
              <w:keepNext w:val="0"/>
              <w:keepLines w:val="0"/>
              <w:pageBreakBefore w:val="0"/>
              <w:widowControl/>
              <w:numPr>
                <w:ilvl w:val="0"/>
                <w:numId w:val="0"/>
              </w:numPr>
              <w:kinsoku/>
              <w:wordWrap/>
              <w:overflowPunct/>
              <w:topLinePunct w:val="0"/>
              <w:autoSpaceDE/>
              <w:autoSpaceDN/>
              <w:bidi w:val="0"/>
              <w:adjustRightInd/>
              <w:snapToGrid/>
              <w:spacing w:line="240" w:lineRule="auto"/>
              <w:ind w:left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4.撤离时沿着避灾路线逃生，必要时进入避难硐室等待救援。</w:t>
            </w:r>
          </w:p>
        </w:tc>
      </w:tr>
    </w:tbl>
    <w:p w14:paraId="344A6411">
      <w:pPr>
        <w:keepNext w:val="0"/>
        <w:keepLines w:val="0"/>
        <w:pageBreakBefore w:val="0"/>
        <w:kinsoku/>
        <w:wordWrap/>
        <w:overflowPunct/>
        <w:topLinePunct w:val="0"/>
        <w:autoSpaceDE/>
        <w:autoSpaceDN/>
        <w:bidi w:val="0"/>
        <w:adjustRightInd/>
        <w:snapToGrid/>
        <w:textAlignment w:val="auto"/>
        <w:outlineLvl w:val="9"/>
        <w:rPr>
          <w:color w:val="auto"/>
        </w:rPr>
      </w:pPr>
    </w:p>
    <w:p w14:paraId="4312A134">
      <w:pPr>
        <w:pStyle w:val="2"/>
        <w:keepNext w:val="0"/>
        <w:keepLines w:val="0"/>
        <w:pageBreakBefore w:val="0"/>
        <w:kinsoku/>
        <w:wordWrap/>
        <w:overflowPunct/>
        <w:topLinePunct w:val="0"/>
        <w:autoSpaceDE/>
        <w:autoSpaceDN/>
        <w:bidi w:val="0"/>
        <w:adjustRightInd/>
        <w:snapToGrid/>
        <w:textAlignment w:val="auto"/>
        <w:outlineLvl w:val="9"/>
        <w:rPr>
          <w:color w:val="auto"/>
        </w:rPr>
      </w:pPr>
    </w:p>
    <w:p w14:paraId="04D0D1DA">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160" w:type="dxa"/>
        <w:jc w:val="center"/>
        <w:tblLayout w:type="fixed"/>
        <w:tblCellMar>
          <w:top w:w="0" w:type="dxa"/>
          <w:left w:w="108" w:type="dxa"/>
          <w:bottom w:w="0" w:type="dxa"/>
          <w:right w:w="108" w:type="dxa"/>
        </w:tblCellMar>
      </w:tblPr>
      <w:tblGrid>
        <w:gridCol w:w="3826"/>
        <w:gridCol w:w="5334"/>
      </w:tblGrid>
      <w:tr w14:paraId="2B2757A0">
        <w:tblPrEx>
          <w:tblCellMar>
            <w:top w:w="0" w:type="dxa"/>
            <w:left w:w="108" w:type="dxa"/>
            <w:bottom w:w="0" w:type="dxa"/>
            <w:right w:w="108" w:type="dxa"/>
          </w:tblCellMar>
        </w:tblPrEx>
        <w:trPr>
          <w:trHeight w:val="603" w:hRule="atLeast"/>
          <w:jc w:val="center"/>
        </w:trPr>
        <w:tc>
          <w:tcPr>
            <w:tcW w:w="9160" w:type="dxa"/>
            <w:gridSpan w:val="2"/>
            <w:tcBorders>
              <w:top w:val="single" w:color="auto" w:sz="4" w:space="0"/>
              <w:left w:val="single" w:color="auto" w:sz="4" w:space="0"/>
              <w:bottom w:val="nil"/>
              <w:right w:val="single" w:color="000000" w:sz="4" w:space="0"/>
            </w:tcBorders>
            <w:vAlign w:val="center"/>
          </w:tcPr>
          <w:p w14:paraId="157A00FA">
            <w:pPr>
              <w:keepNext w:val="0"/>
              <w:keepLines w:val="0"/>
              <w:pageBreakBefore w:val="0"/>
              <w:widowControl/>
              <w:kinsoku/>
              <w:wordWrap/>
              <w:overflowPunct/>
              <w:topLinePunct w:val="0"/>
              <w:autoSpaceDE/>
              <w:autoSpaceDN/>
              <w:bidi w:val="0"/>
              <w:adjustRightInd/>
              <w:snapToGrid/>
              <w:spacing w:line="240" w:lineRule="auto"/>
              <w:ind w:firstLine="422" w:firstLineChars="200"/>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lang w:eastAsia="zh-CN"/>
              </w:rPr>
              <w:t>装载</w:t>
            </w:r>
            <w:r>
              <w:rPr>
                <w:rFonts w:hint="eastAsia" w:ascii="仿宋" w:hAnsi="仿宋" w:eastAsia="仿宋" w:cs="仿宋"/>
                <w:b/>
                <w:bCs/>
                <w:color w:val="auto"/>
                <w:kern w:val="0"/>
                <w:sz w:val="21"/>
                <w:szCs w:val="21"/>
                <w:highlight w:val="none"/>
              </w:rPr>
              <w:t>机司机安全提示卡</w:t>
            </w:r>
          </w:p>
        </w:tc>
      </w:tr>
      <w:tr w14:paraId="01621ED3">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14:paraId="4B972408">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开机前检查</w:t>
            </w:r>
          </w:p>
        </w:tc>
        <w:tc>
          <w:tcPr>
            <w:tcW w:w="5334" w:type="dxa"/>
            <w:tcBorders>
              <w:top w:val="single" w:color="auto" w:sz="4" w:space="0"/>
              <w:left w:val="nil"/>
              <w:bottom w:val="single" w:color="auto" w:sz="4" w:space="0"/>
              <w:right w:val="single" w:color="auto" w:sz="4" w:space="0"/>
            </w:tcBorders>
            <w:vAlign w:val="center"/>
          </w:tcPr>
          <w:p w14:paraId="7503C679">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停机后确认</w:t>
            </w:r>
          </w:p>
        </w:tc>
      </w:tr>
      <w:tr w14:paraId="4D43F931">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14:paraId="69DBCC70">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5334" w:type="dxa"/>
            <w:tcBorders>
              <w:top w:val="single" w:color="auto" w:sz="4" w:space="0"/>
              <w:left w:val="nil"/>
              <w:bottom w:val="single" w:color="auto" w:sz="4" w:space="0"/>
              <w:right w:val="single" w:color="auto" w:sz="4" w:space="0"/>
            </w:tcBorders>
            <w:vAlign w:val="center"/>
          </w:tcPr>
          <w:p w14:paraId="5318B5AF">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1.停机位置</w:t>
            </w:r>
          </w:p>
        </w:tc>
      </w:tr>
      <w:tr w14:paraId="456D40DD">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14:paraId="7B04E8C6">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eastAsia="zh-CN"/>
              </w:rPr>
              <w:t>甲烷</w:t>
            </w:r>
          </w:p>
        </w:tc>
        <w:tc>
          <w:tcPr>
            <w:tcW w:w="5334" w:type="dxa"/>
            <w:tcBorders>
              <w:top w:val="single" w:color="auto" w:sz="4" w:space="0"/>
              <w:left w:val="nil"/>
              <w:bottom w:val="single" w:color="auto" w:sz="4" w:space="0"/>
              <w:right w:val="single" w:color="auto" w:sz="4" w:space="0"/>
            </w:tcBorders>
            <w:vAlign w:val="center"/>
          </w:tcPr>
          <w:p w14:paraId="6D7655D8">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eastAsia="zh-CN"/>
              </w:rPr>
              <w:t>铲斗落地</w:t>
            </w:r>
          </w:p>
        </w:tc>
      </w:tr>
      <w:tr w14:paraId="61EA0CAD">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14:paraId="72BBEE9F">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3.信号</w:t>
            </w:r>
          </w:p>
        </w:tc>
        <w:tc>
          <w:tcPr>
            <w:tcW w:w="5334" w:type="dxa"/>
            <w:tcBorders>
              <w:top w:val="single" w:color="auto" w:sz="4" w:space="0"/>
              <w:left w:val="nil"/>
              <w:bottom w:val="single" w:color="auto" w:sz="4" w:space="0"/>
              <w:right w:val="single" w:color="auto" w:sz="4" w:space="0"/>
            </w:tcBorders>
            <w:vAlign w:val="center"/>
          </w:tcPr>
          <w:p w14:paraId="1B308DDB">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eastAsia="zh-CN"/>
              </w:rPr>
              <w:t>刹车</w:t>
            </w:r>
          </w:p>
        </w:tc>
      </w:tr>
      <w:tr w14:paraId="08ED889C">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14:paraId="56D1AE5D">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eastAsia="zh-CN"/>
              </w:rPr>
              <w:t>警戒</w:t>
            </w:r>
            <w:r>
              <w:rPr>
                <w:rFonts w:hint="eastAsia" w:ascii="仿宋" w:hAnsi="仿宋" w:eastAsia="仿宋" w:cs="仿宋"/>
                <w:color w:val="auto"/>
                <w:kern w:val="0"/>
                <w:sz w:val="21"/>
                <w:szCs w:val="21"/>
                <w:highlight w:val="none"/>
              </w:rPr>
              <w:t>站位</w:t>
            </w:r>
          </w:p>
        </w:tc>
        <w:tc>
          <w:tcPr>
            <w:tcW w:w="5334" w:type="dxa"/>
            <w:tcBorders>
              <w:top w:val="single" w:color="auto" w:sz="4" w:space="0"/>
              <w:left w:val="nil"/>
              <w:bottom w:val="single" w:color="auto" w:sz="4" w:space="0"/>
              <w:right w:val="single" w:color="auto" w:sz="4" w:space="0"/>
            </w:tcBorders>
            <w:vAlign w:val="center"/>
          </w:tcPr>
          <w:p w14:paraId="680CE7BB">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4.停电闭锁</w:t>
            </w:r>
          </w:p>
        </w:tc>
      </w:tr>
      <w:tr w14:paraId="59990259">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14:paraId="39251309">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eastAsia="zh-CN"/>
              </w:rPr>
              <w:t>仪表</w:t>
            </w:r>
          </w:p>
        </w:tc>
        <w:tc>
          <w:tcPr>
            <w:tcW w:w="5334" w:type="dxa"/>
            <w:tcBorders>
              <w:top w:val="single" w:color="auto" w:sz="4" w:space="0"/>
              <w:left w:val="nil"/>
              <w:bottom w:val="single" w:color="auto" w:sz="4" w:space="0"/>
              <w:right w:val="single" w:color="auto" w:sz="4" w:space="0"/>
            </w:tcBorders>
            <w:vAlign w:val="center"/>
          </w:tcPr>
          <w:p w14:paraId="4F4C7427">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outlineLvl w:val="9"/>
              <w:rPr>
                <w:rFonts w:hint="eastAsia" w:ascii="仿宋" w:hAnsi="仿宋" w:eastAsia="仿宋" w:cs="仿宋"/>
                <w:color w:val="auto"/>
                <w:kern w:val="0"/>
                <w:sz w:val="21"/>
                <w:szCs w:val="21"/>
                <w:highlight w:val="none"/>
              </w:rPr>
            </w:pPr>
          </w:p>
        </w:tc>
      </w:tr>
      <w:tr w14:paraId="4AD56579">
        <w:tblPrEx>
          <w:tblCellMar>
            <w:top w:w="0" w:type="dxa"/>
            <w:left w:w="108" w:type="dxa"/>
            <w:bottom w:w="0" w:type="dxa"/>
            <w:right w:w="108" w:type="dxa"/>
          </w:tblCellMar>
        </w:tblPrEx>
        <w:trPr>
          <w:trHeight w:val="462"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14:paraId="6DB0D818">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★6.</w:t>
            </w:r>
            <w:r>
              <w:rPr>
                <w:rFonts w:hint="eastAsia" w:ascii="仿宋" w:hAnsi="仿宋" w:eastAsia="仿宋" w:cs="仿宋"/>
                <w:color w:val="auto"/>
                <w:kern w:val="0"/>
                <w:sz w:val="21"/>
                <w:szCs w:val="21"/>
                <w:highlight w:val="none"/>
                <w:lang w:eastAsia="zh-CN"/>
              </w:rPr>
              <w:t>运行</w:t>
            </w:r>
            <w:r>
              <w:rPr>
                <w:rFonts w:hint="eastAsia" w:ascii="仿宋" w:hAnsi="仿宋" w:eastAsia="仿宋" w:cs="仿宋"/>
                <w:color w:val="auto"/>
                <w:kern w:val="0"/>
                <w:sz w:val="21"/>
                <w:szCs w:val="21"/>
                <w:highlight w:val="none"/>
              </w:rPr>
              <w:t>范围内人员及障碍物</w:t>
            </w:r>
          </w:p>
        </w:tc>
        <w:tc>
          <w:tcPr>
            <w:tcW w:w="5334" w:type="dxa"/>
            <w:tcBorders>
              <w:top w:val="single" w:color="auto" w:sz="4" w:space="0"/>
              <w:left w:val="nil"/>
              <w:bottom w:val="single" w:color="auto" w:sz="4" w:space="0"/>
              <w:right w:val="single" w:color="auto" w:sz="4" w:space="0"/>
            </w:tcBorders>
            <w:vAlign w:val="bottom"/>
          </w:tcPr>
          <w:p w14:paraId="3A35E3B6">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p>
        </w:tc>
      </w:tr>
      <w:tr w14:paraId="0935D201">
        <w:tblPrEx>
          <w:tblCellMar>
            <w:top w:w="0" w:type="dxa"/>
            <w:left w:w="108" w:type="dxa"/>
            <w:bottom w:w="0" w:type="dxa"/>
            <w:right w:w="108" w:type="dxa"/>
          </w:tblCellMar>
        </w:tblPrEx>
        <w:trPr>
          <w:trHeight w:val="802" w:hRule="exact"/>
          <w:jc w:val="center"/>
        </w:trPr>
        <w:tc>
          <w:tcPr>
            <w:tcW w:w="9160" w:type="dxa"/>
            <w:gridSpan w:val="2"/>
            <w:tcBorders>
              <w:top w:val="single" w:color="auto" w:sz="4" w:space="0"/>
              <w:left w:val="single" w:color="auto" w:sz="4" w:space="0"/>
              <w:bottom w:val="single" w:color="auto" w:sz="4" w:space="0"/>
              <w:right w:val="single" w:color="auto" w:sz="4" w:space="0"/>
            </w:tcBorders>
            <w:vAlign w:val="center"/>
          </w:tcPr>
          <w:p w14:paraId="26AB3CE4">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注：第一次按开机前检查内容逐项检查并确认，存在问题整改后再确认；中间再次操作只检查带“★”部分；</w:t>
            </w:r>
            <w:r>
              <w:rPr>
                <w:rFonts w:hint="eastAsia" w:ascii="仿宋" w:hAnsi="仿宋" w:eastAsia="仿宋" w:cs="仿宋"/>
                <w:color w:val="auto"/>
                <w:kern w:val="0"/>
                <w:sz w:val="21"/>
                <w:szCs w:val="21"/>
                <w:highlight w:val="none"/>
                <w:lang w:eastAsia="zh-CN"/>
              </w:rPr>
              <w:t>施工</w:t>
            </w:r>
            <w:r>
              <w:rPr>
                <w:rFonts w:hint="eastAsia" w:ascii="仿宋" w:hAnsi="仿宋" w:eastAsia="仿宋" w:cs="仿宋"/>
                <w:color w:val="auto"/>
                <w:kern w:val="0"/>
                <w:sz w:val="21"/>
                <w:szCs w:val="21"/>
                <w:highlight w:val="none"/>
              </w:rPr>
              <w:t>全部结束停机后确认内容逐项检查并确认。</w:t>
            </w:r>
          </w:p>
        </w:tc>
      </w:tr>
    </w:tbl>
    <w:p w14:paraId="67803F9B">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140" w:type="dxa"/>
        <w:jc w:val="center"/>
        <w:tblLayout w:type="fixed"/>
        <w:tblCellMar>
          <w:top w:w="0" w:type="dxa"/>
          <w:left w:w="108" w:type="dxa"/>
          <w:bottom w:w="0" w:type="dxa"/>
          <w:right w:w="108" w:type="dxa"/>
        </w:tblCellMar>
      </w:tblPr>
      <w:tblGrid>
        <w:gridCol w:w="9140"/>
      </w:tblGrid>
      <w:tr w14:paraId="6355F10E">
        <w:tblPrEx>
          <w:tblCellMar>
            <w:top w:w="0" w:type="dxa"/>
            <w:left w:w="108" w:type="dxa"/>
            <w:bottom w:w="0" w:type="dxa"/>
            <w:right w:w="108" w:type="dxa"/>
          </w:tblCellMar>
        </w:tblPrEx>
        <w:trPr>
          <w:trHeight w:val="431" w:hRule="exact"/>
          <w:jc w:val="center"/>
        </w:trPr>
        <w:tc>
          <w:tcPr>
            <w:tcW w:w="9140" w:type="dxa"/>
            <w:tcBorders>
              <w:top w:val="single" w:color="auto" w:sz="4" w:space="0"/>
              <w:left w:val="single" w:color="auto" w:sz="4" w:space="0"/>
              <w:bottom w:val="single" w:color="auto" w:sz="4" w:space="0"/>
              <w:right w:val="single" w:color="000000" w:sz="4" w:space="0"/>
            </w:tcBorders>
            <w:vAlign w:val="center"/>
          </w:tcPr>
          <w:p w14:paraId="4836FA0D">
            <w:pPr>
              <w:keepNext w:val="0"/>
              <w:keepLines w:val="0"/>
              <w:pageBreakBefore w:val="0"/>
              <w:widowControl/>
              <w:kinsoku/>
              <w:wordWrap/>
              <w:overflowPunct/>
              <w:topLinePunct w:val="0"/>
              <w:autoSpaceDE/>
              <w:autoSpaceDN/>
              <w:bidi w:val="0"/>
              <w:adjustRightInd/>
              <w:snapToGrid/>
              <w:spacing w:line="240" w:lineRule="auto"/>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b w:val="0"/>
                <w:bCs w:val="0"/>
                <w:color w:val="auto"/>
                <w:kern w:val="0"/>
                <w:sz w:val="21"/>
                <w:szCs w:val="21"/>
                <w:highlight w:val="none"/>
                <w:lang w:eastAsia="zh-CN"/>
              </w:rPr>
              <w:t>装载机</w:t>
            </w:r>
            <w:r>
              <w:rPr>
                <w:rFonts w:hint="eastAsia" w:ascii="仿宋" w:hAnsi="仿宋" w:eastAsia="仿宋" w:cs="仿宋"/>
                <w:b w:val="0"/>
                <w:bCs w:val="0"/>
                <w:color w:val="auto"/>
                <w:kern w:val="0"/>
                <w:sz w:val="21"/>
                <w:szCs w:val="21"/>
                <w:highlight w:val="none"/>
              </w:rPr>
              <w:t>单元检查表</w:t>
            </w:r>
          </w:p>
        </w:tc>
      </w:tr>
      <w:tr w14:paraId="18EC6EF0">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14:paraId="20041A23">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轮胎胎压以及磨损情况</w:t>
            </w:r>
          </w:p>
        </w:tc>
      </w:tr>
      <w:tr w14:paraId="48125791">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14:paraId="26DCEA02">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eastAsia="zh-CN"/>
              </w:rPr>
              <w:t>仪表</w:t>
            </w:r>
          </w:p>
        </w:tc>
      </w:tr>
      <w:tr w14:paraId="62AA067E">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14:paraId="6BF151FC">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eastAsia="zh-CN"/>
              </w:rPr>
              <w:t>机身四周杂物情况</w:t>
            </w:r>
          </w:p>
        </w:tc>
      </w:tr>
      <w:tr w14:paraId="732ACF57">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14:paraId="399C518F">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4.油位</w:t>
            </w:r>
          </w:p>
        </w:tc>
      </w:tr>
      <w:tr w14:paraId="6F792B06">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14:paraId="02106290">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5.水管、</w:t>
            </w:r>
            <w:r>
              <w:rPr>
                <w:rFonts w:hint="eastAsia" w:ascii="仿宋" w:hAnsi="仿宋" w:eastAsia="仿宋" w:cs="仿宋"/>
                <w:color w:val="auto"/>
                <w:kern w:val="0"/>
                <w:sz w:val="21"/>
                <w:szCs w:val="21"/>
                <w:highlight w:val="none"/>
                <w:lang w:eastAsia="zh-CN"/>
              </w:rPr>
              <w:t>油管、</w:t>
            </w:r>
            <w:r>
              <w:rPr>
                <w:rFonts w:hint="eastAsia" w:ascii="仿宋" w:hAnsi="仿宋" w:eastAsia="仿宋" w:cs="仿宋"/>
                <w:color w:val="auto"/>
                <w:kern w:val="0"/>
                <w:sz w:val="21"/>
                <w:szCs w:val="21"/>
                <w:highlight w:val="none"/>
              </w:rPr>
              <w:t>冷却水与电缆</w:t>
            </w:r>
          </w:p>
        </w:tc>
      </w:tr>
      <w:tr w14:paraId="6D3F76DB">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14:paraId="3E9CD50B">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6.操作按钮、</w:t>
            </w:r>
            <w:r>
              <w:rPr>
                <w:rFonts w:hint="eastAsia" w:ascii="仿宋" w:hAnsi="仿宋" w:eastAsia="仿宋" w:cs="仿宋"/>
                <w:color w:val="auto"/>
                <w:kern w:val="0"/>
                <w:sz w:val="21"/>
                <w:szCs w:val="21"/>
                <w:highlight w:val="none"/>
                <w:lang w:eastAsia="zh-CN"/>
              </w:rPr>
              <w:t>刹车</w:t>
            </w:r>
          </w:p>
        </w:tc>
      </w:tr>
      <w:tr w14:paraId="483D8C32">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14:paraId="572017D4">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7.</w:t>
            </w:r>
            <w:r>
              <w:rPr>
                <w:rFonts w:hint="eastAsia" w:ascii="仿宋" w:hAnsi="仿宋" w:eastAsia="仿宋" w:cs="仿宋"/>
                <w:color w:val="auto"/>
                <w:kern w:val="0"/>
                <w:sz w:val="21"/>
                <w:szCs w:val="21"/>
                <w:highlight w:val="none"/>
                <w:lang w:eastAsia="zh-CN"/>
              </w:rPr>
              <w:t>灯光照明</w:t>
            </w:r>
          </w:p>
        </w:tc>
      </w:tr>
      <w:tr w14:paraId="0BD5737A">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14:paraId="30D5DF93">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8.</w:t>
            </w:r>
            <w:r>
              <w:rPr>
                <w:rFonts w:hint="eastAsia" w:ascii="仿宋" w:hAnsi="仿宋" w:eastAsia="仿宋" w:cs="仿宋"/>
                <w:color w:val="auto"/>
                <w:kern w:val="0"/>
                <w:sz w:val="21"/>
                <w:szCs w:val="21"/>
                <w:highlight w:val="none"/>
                <w:lang w:eastAsia="zh-CN"/>
              </w:rPr>
              <w:t>铲齿固定情况</w:t>
            </w:r>
          </w:p>
        </w:tc>
      </w:tr>
      <w:tr w14:paraId="138A77EF">
        <w:tblPrEx>
          <w:tblCellMar>
            <w:top w:w="0" w:type="dxa"/>
            <w:left w:w="108" w:type="dxa"/>
            <w:bottom w:w="0" w:type="dxa"/>
            <w:right w:w="108" w:type="dxa"/>
          </w:tblCellMar>
        </w:tblPrEx>
        <w:trPr>
          <w:trHeight w:val="529" w:hRule="exact"/>
          <w:jc w:val="center"/>
        </w:trPr>
        <w:tc>
          <w:tcPr>
            <w:tcW w:w="9140" w:type="dxa"/>
            <w:tcBorders>
              <w:top w:val="nil"/>
              <w:left w:val="single" w:color="auto" w:sz="4" w:space="0"/>
              <w:bottom w:val="single" w:color="auto" w:sz="4" w:space="0"/>
              <w:right w:val="single" w:color="000000" w:sz="4" w:space="0"/>
            </w:tcBorders>
            <w:vAlign w:val="center"/>
          </w:tcPr>
          <w:p w14:paraId="15155448">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接班后单元检查表检查前，先进行停电闭锁确认</w:t>
            </w:r>
            <w:r>
              <w:rPr>
                <w:rFonts w:hint="eastAsia" w:ascii="仿宋" w:hAnsi="仿宋" w:eastAsia="仿宋" w:cs="仿宋"/>
                <w:color w:val="auto"/>
                <w:kern w:val="0"/>
                <w:sz w:val="21"/>
                <w:szCs w:val="21"/>
                <w:highlight w:val="none"/>
                <w:lang w:eastAsia="zh-CN"/>
              </w:rPr>
              <w:t>。</w:t>
            </w:r>
          </w:p>
        </w:tc>
      </w:tr>
    </w:tbl>
    <w:p w14:paraId="7F577F74">
      <w:pPr>
        <w:keepNext w:val="0"/>
        <w:keepLines w:val="0"/>
        <w:pageBreakBefore w:val="0"/>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color w:val="auto"/>
          <w:sz w:val="21"/>
          <w:szCs w:val="21"/>
          <w:highlight w:val="none"/>
        </w:rPr>
      </w:pPr>
    </w:p>
    <w:tbl>
      <w:tblPr>
        <w:tblStyle w:val="12"/>
        <w:tblW w:w="9200" w:type="dxa"/>
        <w:jc w:val="center"/>
        <w:tblLayout w:type="fixed"/>
        <w:tblCellMar>
          <w:top w:w="0" w:type="dxa"/>
          <w:left w:w="108" w:type="dxa"/>
          <w:bottom w:w="0" w:type="dxa"/>
          <w:right w:w="108" w:type="dxa"/>
        </w:tblCellMar>
      </w:tblPr>
      <w:tblGrid>
        <w:gridCol w:w="1451"/>
        <w:gridCol w:w="1616"/>
        <w:gridCol w:w="6133"/>
      </w:tblGrid>
      <w:tr w14:paraId="1DCDA06E">
        <w:tblPrEx>
          <w:tblCellMar>
            <w:top w:w="0" w:type="dxa"/>
            <w:left w:w="108" w:type="dxa"/>
            <w:bottom w:w="0" w:type="dxa"/>
            <w:right w:w="108" w:type="dxa"/>
          </w:tblCellMar>
        </w:tblPrEx>
        <w:trPr>
          <w:trHeight w:val="238" w:hRule="atLeast"/>
          <w:jc w:val="center"/>
        </w:trPr>
        <w:tc>
          <w:tcPr>
            <w:tcW w:w="9200" w:type="dxa"/>
            <w:gridSpan w:val="3"/>
            <w:tcBorders>
              <w:top w:val="single" w:color="auto" w:sz="4" w:space="0"/>
              <w:left w:val="single" w:color="auto" w:sz="4" w:space="0"/>
              <w:bottom w:val="single" w:color="auto" w:sz="4" w:space="0"/>
              <w:right w:val="single" w:color="auto" w:sz="4" w:space="0"/>
            </w:tcBorders>
            <w:vAlign w:val="center"/>
          </w:tcPr>
          <w:p w14:paraId="35065CE0">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lang w:val="en-US" w:eastAsia="zh-CN"/>
              </w:rPr>
              <w:t>装载机</w:t>
            </w:r>
            <w:r>
              <w:rPr>
                <w:rFonts w:hint="eastAsia" w:ascii="仿宋" w:hAnsi="仿宋" w:eastAsia="仿宋" w:cs="仿宋"/>
                <w:b/>
                <w:bCs/>
                <w:color w:val="auto"/>
                <w:kern w:val="0"/>
                <w:sz w:val="21"/>
                <w:szCs w:val="21"/>
                <w:highlight w:val="none"/>
                <w:lang w:eastAsia="zh-CN"/>
              </w:rPr>
              <w:t>司机操作过程中注意事项</w:t>
            </w:r>
          </w:p>
        </w:tc>
      </w:tr>
      <w:tr w14:paraId="574BD280">
        <w:tblPrEx>
          <w:tblCellMar>
            <w:top w:w="0" w:type="dxa"/>
            <w:left w:w="108" w:type="dxa"/>
            <w:bottom w:w="0" w:type="dxa"/>
            <w:right w:w="108" w:type="dxa"/>
          </w:tblCellMar>
        </w:tblPrEx>
        <w:trPr>
          <w:trHeight w:val="479" w:hRule="atLeast"/>
          <w:jc w:val="center"/>
        </w:trPr>
        <w:tc>
          <w:tcPr>
            <w:tcW w:w="1451" w:type="dxa"/>
            <w:tcBorders>
              <w:top w:val="nil"/>
              <w:left w:val="single" w:color="auto" w:sz="4" w:space="0"/>
              <w:bottom w:val="single" w:color="auto" w:sz="4" w:space="0"/>
              <w:right w:val="single" w:color="auto" w:sz="4" w:space="0"/>
            </w:tcBorders>
            <w:vAlign w:val="center"/>
          </w:tcPr>
          <w:p w14:paraId="3F57C29D">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序号</w:t>
            </w:r>
          </w:p>
        </w:tc>
        <w:tc>
          <w:tcPr>
            <w:tcW w:w="1616" w:type="dxa"/>
            <w:tcBorders>
              <w:top w:val="nil"/>
              <w:left w:val="nil"/>
              <w:bottom w:val="single" w:color="auto" w:sz="4" w:space="0"/>
              <w:right w:val="single" w:color="auto" w:sz="4" w:space="0"/>
            </w:tcBorders>
            <w:vAlign w:val="center"/>
          </w:tcPr>
          <w:p w14:paraId="6F4B5F24">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提示词</w:t>
            </w:r>
          </w:p>
        </w:tc>
        <w:tc>
          <w:tcPr>
            <w:tcW w:w="6133" w:type="dxa"/>
            <w:tcBorders>
              <w:top w:val="nil"/>
              <w:left w:val="nil"/>
              <w:bottom w:val="single" w:color="auto" w:sz="4" w:space="0"/>
              <w:right w:val="single" w:color="auto" w:sz="4" w:space="0"/>
            </w:tcBorders>
            <w:vAlign w:val="center"/>
          </w:tcPr>
          <w:p w14:paraId="766932B3">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操作注意事项解释</w:t>
            </w:r>
          </w:p>
        </w:tc>
      </w:tr>
      <w:tr w14:paraId="5DEC7175">
        <w:tblPrEx>
          <w:tblCellMar>
            <w:top w:w="0" w:type="dxa"/>
            <w:left w:w="108" w:type="dxa"/>
            <w:bottom w:w="0" w:type="dxa"/>
            <w:right w:w="108" w:type="dxa"/>
          </w:tblCellMar>
        </w:tblPrEx>
        <w:trPr>
          <w:trHeight w:val="558" w:hRule="atLeast"/>
          <w:jc w:val="center"/>
        </w:trPr>
        <w:tc>
          <w:tcPr>
            <w:tcW w:w="1451" w:type="dxa"/>
            <w:tcBorders>
              <w:top w:val="nil"/>
              <w:left w:val="single" w:color="auto" w:sz="4" w:space="0"/>
              <w:bottom w:val="single" w:color="auto" w:sz="4" w:space="0"/>
              <w:right w:val="single" w:color="auto" w:sz="4" w:space="0"/>
            </w:tcBorders>
            <w:vAlign w:val="center"/>
          </w:tcPr>
          <w:p w14:paraId="66B3CD0A">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w:t>
            </w:r>
          </w:p>
        </w:tc>
        <w:tc>
          <w:tcPr>
            <w:tcW w:w="1616" w:type="dxa"/>
            <w:tcBorders>
              <w:top w:val="nil"/>
              <w:left w:val="nil"/>
              <w:bottom w:val="single" w:color="auto" w:sz="4" w:space="0"/>
              <w:right w:val="single" w:color="auto" w:sz="4" w:space="0"/>
            </w:tcBorders>
            <w:vAlign w:val="center"/>
          </w:tcPr>
          <w:p w14:paraId="6D46FAF1">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6133" w:type="dxa"/>
            <w:tcBorders>
              <w:top w:val="nil"/>
              <w:left w:val="nil"/>
              <w:bottom w:val="single" w:color="auto" w:sz="4" w:space="0"/>
              <w:right w:val="single" w:color="auto" w:sz="4" w:space="0"/>
            </w:tcBorders>
            <w:vAlign w:val="center"/>
          </w:tcPr>
          <w:p w14:paraId="69D57C78">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检查顶帮完好，无外露长锚杆；装载机前后警戒线内无人员</w:t>
            </w:r>
          </w:p>
        </w:tc>
      </w:tr>
      <w:tr w14:paraId="4E68FAB6">
        <w:tblPrEx>
          <w:tblCellMar>
            <w:top w:w="0" w:type="dxa"/>
            <w:left w:w="108" w:type="dxa"/>
            <w:bottom w:w="0" w:type="dxa"/>
            <w:right w:w="108" w:type="dxa"/>
          </w:tblCellMar>
        </w:tblPrEx>
        <w:trPr>
          <w:trHeight w:val="342" w:hRule="atLeast"/>
          <w:jc w:val="center"/>
        </w:trPr>
        <w:tc>
          <w:tcPr>
            <w:tcW w:w="1451" w:type="dxa"/>
            <w:tcBorders>
              <w:top w:val="single" w:color="auto" w:sz="4" w:space="0"/>
              <w:left w:val="single" w:color="auto" w:sz="4" w:space="0"/>
              <w:bottom w:val="single" w:color="auto" w:sz="4" w:space="0"/>
              <w:right w:val="single" w:color="auto" w:sz="4" w:space="0"/>
            </w:tcBorders>
            <w:vAlign w:val="center"/>
          </w:tcPr>
          <w:p w14:paraId="13AD1D04">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2</w:t>
            </w:r>
          </w:p>
        </w:tc>
        <w:tc>
          <w:tcPr>
            <w:tcW w:w="1616" w:type="dxa"/>
            <w:tcBorders>
              <w:top w:val="single" w:color="auto" w:sz="4" w:space="0"/>
              <w:left w:val="nil"/>
              <w:bottom w:val="single" w:color="auto" w:sz="4" w:space="0"/>
              <w:right w:val="single" w:color="auto" w:sz="4" w:space="0"/>
            </w:tcBorders>
            <w:vAlign w:val="center"/>
          </w:tcPr>
          <w:p w14:paraId="5009B644">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听异响</w:t>
            </w:r>
          </w:p>
        </w:tc>
        <w:tc>
          <w:tcPr>
            <w:tcW w:w="6133" w:type="dxa"/>
            <w:tcBorders>
              <w:top w:val="nil"/>
              <w:left w:val="nil"/>
              <w:bottom w:val="single" w:color="auto" w:sz="4" w:space="0"/>
              <w:right w:val="single" w:color="auto" w:sz="4" w:space="0"/>
            </w:tcBorders>
            <w:vAlign w:val="center"/>
          </w:tcPr>
          <w:p w14:paraId="4277BA71">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设备异常声音立即停机并停电闭锁</w:t>
            </w:r>
          </w:p>
        </w:tc>
      </w:tr>
      <w:tr w14:paraId="1548998F">
        <w:tblPrEx>
          <w:tblCellMar>
            <w:top w:w="0" w:type="dxa"/>
            <w:left w:w="108" w:type="dxa"/>
            <w:bottom w:w="0" w:type="dxa"/>
            <w:right w:w="108" w:type="dxa"/>
          </w:tblCellMar>
        </w:tblPrEx>
        <w:trPr>
          <w:trHeight w:val="283" w:hRule="atLeast"/>
          <w:jc w:val="center"/>
        </w:trPr>
        <w:tc>
          <w:tcPr>
            <w:tcW w:w="1451" w:type="dxa"/>
            <w:tcBorders>
              <w:top w:val="single" w:color="auto" w:sz="4" w:space="0"/>
              <w:left w:val="single" w:color="auto" w:sz="4" w:space="0"/>
              <w:bottom w:val="single" w:color="auto" w:sz="4" w:space="0"/>
              <w:right w:val="single" w:color="auto" w:sz="4" w:space="0"/>
            </w:tcBorders>
            <w:vAlign w:val="center"/>
          </w:tcPr>
          <w:p w14:paraId="604B7EBA">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3</w:t>
            </w:r>
          </w:p>
        </w:tc>
        <w:tc>
          <w:tcPr>
            <w:tcW w:w="1616" w:type="dxa"/>
            <w:tcBorders>
              <w:top w:val="single" w:color="auto" w:sz="4" w:space="0"/>
              <w:left w:val="nil"/>
              <w:bottom w:val="single" w:color="auto" w:sz="4" w:space="0"/>
              <w:right w:val="single" w:color="auto" w:sz="4" w:space="0"/>
            </w:tcBorders>
            <w:vAlign w:val="center"/>
          </w:tcPr>
          <w:p w14:paraId="3373AAFD">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嗅异味</w:t>
            </w:r>
          </w:p>
        </w:tc>
        <w:tc>
          <w:tcPr>
            <w:tcW w:w="6133" w:type="dxa"/>
            <w:tcBorders>
              <w:top w:val="nil"/>
              <w:left w:val="nil"/>
              <w:bottom w:val="single" w:color="auto" w:sz="4" w:space="0"/>
              <w:right w:val="single" w:color="auto" w:sz="4" w:space="0"/>
            </w:tcBorders>
            <w:vAlign w:val="center"/>
          </w:tcPr>
          <w:p w14:paraId="32AB48EA">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闻到异常气味立即停机并停电闭锁</w:t>
            </w:r>
          </w:p>
        </w:tc>
      </w:tr>
      <w:tr w14:paraId="17A6A8D4">
        <w:tblPrEx>
          <w:tblCellMar>
            <w:top w:w="0" w:type="dxa"/>
            <w:left w:w="108" w:type="dxa"/>
            <w:bottom w:w="0" w:type="dxa"/>
            <w:right w:w="108" w:type="dxa"/>
          </w:tblCellMar>
        </w:tblPrEx>
        <w:trPr>
          <w:trHeight w:val="283" w:hRule="atLeast"/>
          <w:jc w:val="center"/>
        </w:trPr>
        <w:tc>
          <w:tcPr>
            <w:tcW w:w="1451" w:type="dxa"/>
            <w:tcBorders>
              <w:top w:val="single" w:color="auto" w:sz="4" w:space="0"/>
              <w:left w:val="single" w:color="auto" w:sz="4" w:space="0"/>
              <w:bottom w:val="single" w:color="auto" w:sz="4" w:space="0"/>
              <w:right w:val="single" w:color="auto" w:sz="4" w:space="0"/>
            </w:tcBorders>
            <w:vAlign w:val="center"/>
          </w:tcPr>
          <w:p w14:paraId="676458BA">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4</w:t>
            </w:r>
          </w:p>
        </w:tc>
        <w:tc>
          <w:tcPr>
            <w:tcW w:w="1616" w:type="dxa"/>
            <w:tcBorders>
              <w:top w:val="single" w:color="auto" w:sz="4" w:space="0"/>
              <w:left w:val="nil"/>
              <w:bottom w:val="single" w:color="auto" w:sz="4" w:space="0"/>
              <w:right w:val="single" w:color="auto" w:sz="4" w:space="0"/>
            </w:tcBorders>
            <w:vAlign w:val="center"/>
          </w:tcPr>
          <w:p w14:paraId="6DEEEA80">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防误入</w:t>
            </w:r>
          </w:p>
        </w:tc>
        <w:tc>
          <w:tcPr>
            <w:tcW w:w="6133" w:type="dxa"/>
            <w:tcBorders>
              <w:top w:val="single" w:color="auto" w:sz="4" w:space="0"/>
              <w:left w:val="nil"/>
              <w:bottom w:val="single" w:color="auto" w:sz="4" w:space="0"/>
              <w:right w:val="single" w:color="auto" w:sz="4" w:space="0"/>
            </w:tcBorders>
            <w:vAlign w:val="center"/>
          </w:tcPr>
          <w:p w14:paraId="4FA0C137">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人员误入</w:t>
            </w:r>
            <w:r>
              <w:rPr>
                <w:rFonts w:hint="eastAsia" w:ascii="仿宋" w:hAnsi="仿宋" w:eastAsia="仿宋" w:cs="仿宋"/>
                <w:color w:val="auto"/>
                <w:kern w:val="0"/>
                <w:sz w:val="21"/>
                <w:szCs w:val="21"/>
                <w:highlight w:val="none"/>
                <w:lang w:eastAsia="zh-CN"/>
              </w:rPr>
              <w:t>运行</w:t>
            </w:r>
            <w:r>
              <w:rPr>
                <w:rFonts w:hint="eastAsia" w:ascii="仿宋" w:hAnsi="仿宋" w:eastAsia="仿宋" w:cs="仿宋"/>
                <w:color w:val="auto"/>
                <w:kern w:val="0"/>
                <w:sz w:val="21"/>
                <w:szCs w:val="21"/>
                <w:highlight w:val="none"/>
              </w:rPr>
              <w:t>范围，立即停机</w:t>
            </w:r>
          </w:p>
        </w:tc>
      </w:tr>
      <w:tr w14:paraId="7345EC35">
        <w:tblPrEx>
          <w:tblCellMar>
            <w:top w:w="0" w:type="dxa"/>
            <w:left w:w="108" w:type="dxa"/>
            <w:bottom w:w="0" w:type="dxa"/>
            <w:right w:w="108" w:type="dxa"/>
          </w:tblCellMar>
        </w:tblPrEx>
        <w:trPr>
          <w:trHeight w:val="395" w:hRule="atLeast"/>
          <w:jc w:val="center"/>
        </w:trPr>
        <w:tc>
          <w:tcPr>
            <w:tcW w:w="1451" w:type="dxa"/>
            <w:tcBorders>
              <w:top w:val="single" w:color="auto" w:sz="4" w:space="0"/>
              <w:left w:val="single" w:color="auto" w:sz="4" w:space="0"/>
              <w:bottom w:val="single" w:color="auto" w:sz="4" w:space="0"/>
              <w:right w:val="single" w:color="auto" w:sz="4" w:space="0"/>
            </w:tcBorders>
            <w:vAlign w:val="center"/>
          </w:tcPr>
          <w:p w14:paraId="3C03A9D3">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w:t>
            </w:r>
          </w:p>
        </w:tc>
        <w:tc>
          <w:tcPr>
            <w:tcW w:w="1616" w:type="dxa"/>
            <w:tcBorders>
              <w:top w:val="nil"/>
              <w:left w:val="nil"/>
              <w:bottom w:val="single" w:color="auto" w:sz="4" w:space="0"/>
              <w:right w:val="single" w:color="auto" w:sz="4" w:space="0"/>
            </w:tcBorders>
            <w:vAlign w:val="center"/>
          </w:tcPr>
          <w:p w14:paraId="6C3676FC">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位置</w:t>
            </w:r>
          </w:p>
        </w:tc>
        <w:tc>
          <w:tcPr>
            <w:tcW w:w="6133" w:type="dxa"/>
            <w:tcBorders>
              <w:top w:val="nil"/>
              <w:left w:val="nil"/>
              <w:bottom w:val="single" w:color="auto" w:sz="4" w:space="0"/>
              <w:right w:val="single" w:color="auto" w:sz="4" w:space="0"/>
            </w:tcBorders>
            <w:vAlign w:val="center"/>
          </w:tcPr>
          <w:p w14:paraId="7B5075A8">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开机期间严禁离开</w:t>
            </w:r>
            <w:r>
              <w:rPr>
                <w:rFonts w:hint="eastAsia" w:ascii="仿宋" w:hAnsi="仿宋" w:eastAsia="仿宋" w:cs="仿宋"/>
                <w:color w:val="auto"/>
                <w:kern w:val="0"/>
                <w:sz w:val="21"/>
                <w:szCs w:val="21"/>
                <w:highlight w:val="none"/>
                <w:lang w:eastAsia="zh-CN"/>
              </w:rPr>
              <w:t>操作</w:t>
            </w:r>
            <w:r>
              <w:rPr>
                <w:rFonts w:hint="eastAsia" w:ascii="仿宋" w:hAnsi="仿宋" w:eastAsia="仿宋" w:cs="仿宋"/>
                <w:color w:val="auto"/>
                <w:kern w:val="0"/>
                <w:sz w:val="21"/>
                <w:szCs w:val="21"/>
                <w:highlight w:val="none"/>
              </w:rPr>
              <w:t>室</w:t>
            </w:r>
          </w:p>
        </w:tc>
      </w:tr>
    </w:tbl>
    <w:p w14:paraId="7CAD0CDD">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6A700ED1">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14:paraId="0A1D444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14:paraId="245DC62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14:paraId="5DA622A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14:paraId="5B72271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14:paraId="7802777D">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14:paraId="55B2974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14:paraId="708D1CB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14:paraId="22120CE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14:paraId="2F819E9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14:paraId="291E8E3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14:paraId="3C9C6CB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14:paraId="6710036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14:paraId="1B8DDC6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14:paraId="59C5111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14:paraId="4218128B">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4C20590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34164C4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67E3631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6504A32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11872C7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4C528AA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14:paraId="5A26C50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6033CC8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37A8C4D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6942133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14:paraId="230E04C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14:paraId="428955B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14:paraId="74BA916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14:paraId="6CBA763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14:paraId="4B102AE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14:paraId="09B3F251">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2BFEEFEA">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20B0ECA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1B7FBF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1053B31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3BE8723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70A043D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317516D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7FE0390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14CC247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75037A5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48A013A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40C749F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63B8AD2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7F3C512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52806C3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5FD6CD8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37FE962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421FCF0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2CF5B5A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205B8D3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7A72923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75F0DBDC">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6FC418C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3795391C">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1AC40E2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30CA0F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29D4772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61A0FAA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7C9BF0A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2145D2C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50909F54">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0EEA88A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77977CE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077F6EF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466656A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014BA85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563ABEB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415F889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14A922F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7855A78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5214DAF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3285719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784FF89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66E461B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w:t>
      </w:r>
      <w:r>
        <w:rPr>
          <w:rFonts w:hint="eastAsia" w:ascii="仿宋" w:hAnsi="仿宋" w:eastAsia="仿宋" w:cs="仿宋"/>
          <w:b w:val="0"/>
          <w:bCs/>
          <w:color w:val="auto"/>
          <w:sz w:val="28"/>
          <w:szCs w:val="28"/>
          <w:highlight w:val="none"/>
          <w:lang w:val="en-US" w:eastAsia="zh-CN"/>
        </w:rPr>
        <w:t xml:space="preserve"> </w:t>
      </w:r>
      <w:r>
        <w:rPr>
          <w:rFonts w:hint="eastAsia" w:ascii="仿宋" w:hAnsi="仿宋" w:eastAsia="仿宋" w:cs="仿宋"/>
          <w:b w:val="0"/>
          <w:bCs/>
          <w:color w:val="auto"/>
          <w:sz w:val="28"/>
          <w:szCs w:val="28"/>
          <w:highlight w:val="none"/>
          <w:lang w:eastAsia="zh-CN"/>
        </w:rPr>
        <w:t>向的人，要及时了解情况，掌握思想状态，活血化瘀，必要时可申请法律援助，解决实际困难。</w:t>
      </w:r>
    </w:p>
    <w:p w14:paraId="66C27B1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32D68EA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651CD67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2B3BC1C1">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14:paraId="3AB0ADF5">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14:paraId="1C43A21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14:paraId="0D68832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14:paraId="23F4E63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14:paraId="7970A73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14:paraId="4DC4115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14:paraId="1AEFE9D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14:paraId="3D09E23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14:paraId="2472B56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14:paraId="56059EC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14:paraId="4926009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1694DFA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14:paraId="50CF802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14:paraId="2470239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14:paraId="2C3BE9A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14:paraId="695CE62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14:paraId="43E9AE2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6775E65">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14:paraId="7AC2069F">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14:paraId="37836EDA">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14:paraId="09F02ECC">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14:paraId="1A03E665">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14:paraId="69D78AF4">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14:paraId="268F5781">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4.风险描述：施工地点通风不良，存在甲烷积聚，导致甲烷爆炸的风险。</w:t>
      </w:r>
    </w:p>
    <w:p w14:paraId="6260F499">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409D3D6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14:paraId="12B6E8D7">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14:paraId="33BA553A">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14:paraId="11588F2E">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（4）一旦出现甲烷浓度超限，立即按照规定要求的撤人路线进行避灾。</w:t>
      </w:r>
    </w:p>
    <w:p w14:paraId="5B06E0C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14:paraId="2E8F765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42318A9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14:paraId="6840146C">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14:paraId="74A48DF6">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14:paraId="2BD6E51F">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）专用</w:t>
      </w:r>
      <w:r>
        <w:rPr>
          <w:rFonts w:hint="eastAsia" w:ascii="仿宋" w:hAnsi="仿宋" w:eastAsia="仿宋" w:cs="仿宋"/>
          <w:b/>
          <w:bCs/>
          <w:color w:val="auto"/>
          <w:sz w:val="28"/>
          <w:szCs w:val="28"/>
          <w:highlight w:val="none"/>
          <w:lang w:val="en-US" w:eastAsia="zh-CN"/>
        </w:rPr>
        <w:t>部分</w:t>
      </w:r>
    </w:p>
    <w:p w14:paraId="5F4E475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1.开机前：</w:t>
      </w:r>
    </w:p>
    <w:p w14:paraId="11FE0FA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风险描述：开机前检查</w:t>
      </w:r>
      <w:r>
        <w:rPr>
          <w:rFonts w:hint="eastAsia" w:ascii="仿宋" w:hAnsi="仿宋" w:eastAsia="仿宋" w:cs="仿宋"/>
          <w:color w:val="auto"/>
          <w:sz w:val="28"/>
          <w:szCs w:val="28"/>
          <w:highlight w:val="none"/>
          <w:lang w:eastAsia="zh-CN"/>
        </w:rPr>
        <w:t>装载</w:t>
      </w:r>
      <w:r>
        <w:rPr>
          <w:rFonts w:hint="eastAsia" w:ascii="仿宋" w:hAnsi="仿宋" w:eastAsia="仿宋" w:cs="仿宋"/>
          <w:color w:val="auto"/>
          <w:sz w:val="28"/>
          <w:szCs w:val="28"/>
          <w:highlight w:val="none"/>
        </w:rPr>
        <w:t>机时，工作</w:t>
      </w:r>
      <w:r>
        <w:rPr>
          <w:rFonts w:hint="eastAsia" w:ascii="仿宋" w:hAnsi="仿宋" w:eastAsia="仿宋" w:cs="仿宋"/>
          <w:color w:val="auto"/>
          <w:sz w:val="28"/>
          <w:szCs w:val="28"/>
          <w:highlight w:val="none"/>
          <w:lang w:eastAsia="zh-CN"/>
        </w:rPr>
        <w:t>地点</w:t>
      </w:r>
      <w:r>
        <w:rPr>
          <w:rFonts w:hint="eastAsia" w:ascii="仿宋" w:hAnsi="仿宋" w:eastAsia="仿宋" w:cs="仿宋"/>
          <w:color w:val="auto"/>
          <w:sz w:val="28"/>
          <w:szCs w:val="28"/>
          <w:highlight w:val="none"/>
        </w:rPr>
        <w:t>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0EEC4C7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w:t>
      </w:r>
      <w:r>
        <w:rPr>
          <w:rFonts w:hint="eastAsia" w:ascii="仿宋" w:hAnsi="仿宋" w:eastAsia="仿宋" w:cs="仿宋"/>
          <w:color w:val="auto"/>
          <w:sz w:val="28"/>
          <w:szCs w:val="28"/>
          <w:highlight w:val="none"/>
          <w:lang w:eastAsia="zh-CN"/>
        </w:rPr>
        <w:t>铲煤、运料</w:t>
      </w:r>
      <w:r>
        <w:rPr>
          <w:rFonts w:hint="eastAsia" w:ascii="仿宋" w:hAnsi="仿宋" w:eastAsia="仿宋" w:cs="仿宋"/>
          <w:color w:val="auto"/>
          <w:sz w:val="28"/>
          <w:szCs w:val="28"/>
          <w:highlight w:val="none"/>
        </w:rPr>
        <w:t>等过程中应清除危岩、排除隐患</w:t>
      </w:r>
      <w:r>
        <w:rPr>
          <w:rFonts w:hint="eastAsia" w:ascii="仿宋" w:hAnsi="仿宋" w:eastAsia="仿宋" w:cs="仿宋"/>
          <w:color w:val="auto"/>
          <w:sz w:val="28"/>
          <w:szCs w:val="28"/>
          <w:highlight w:val="none"/>
          <w:lang w:eastAsia="zh-CN"/>
        </w:rPr>
        <w:t>；保证顶板支护到位。</w:t>
      </w:r>
    </w:p>
    <w:p w14:paraId="4E6BBDA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风险描述：开机前</w:t>
      </w:r>
      <w:r>
        <w:rPr>
          <w:rFonts w:hint="eastAsia" w:ascii="仿宋" w:hAnsi="仿宋" w:eastAsia="仿宋" w:cs="仿宋"/>
          <w:color w:val="auto"/>
          <w:sz w:val="28"/>
          <w:szCs w:val="28"/>
          <w:highlight w:val="none"/>
          <w:lang w:eastAsia="zh-CN"/>
        </w:rPr>
        <w:t>不检查甲烷情况</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14:paraId="01EB814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管控措施：开机前，</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司机必须</w:t>
      </w:r>
      <w:r>
        <w:rPr>
          <w:rFonts w:hint="eastAsia" w:ascii="仿宋" w:hAnsi="仿宋" w:eastAsia="仿宋" w:cs="仿宋"/>
          <w:color w:val="auto"/>
          <w:sz w:val="28"/>
          <w:szCs w:val="28"/>
          <w:highlight w:val="none"/>
          <w:lang w:eastAsia="zh-CN"/>
        </w:rPr>
        <w:t>检查甲烷情况</w:t>
      </w:r>
      <w:r>
        <w:rPr>
          <w:rFonts w:hint="eastAsia" w:ascii="仿宋" w:hAnsi="仿宋" w:eastAsia="仿宋" w:cs="仿宋"/>
          <w:color w:val="auto"/>
          <w:sz w:val="28"/>
          <w:szCs w:val="28"/>
          <w:highlight w:val="none"/>
        </w:rPr>
        <w:t>，附近20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范围内风流中的</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浓度在1.0%以下时，方可通电开动；附近20m以内风流中的</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浓度达到1.5％时，必须停止工作，切断电源，撤出人员，进行处理。</w:t>
      </w:r>
    </w:p>
    <w:p w14:paraId="4566D2F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风险描述：开机前不发出开机信号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未配齐劳保用品，存在伤人风险</w:t>
      </w:r>
      <w:r>
        <w:rPr>
          <w:rFonts w:hint="eastAsia" w:ascii="仿宋" w:hAnsi="仿宋" w:eastAsia="仿宋" w:cs="仿宋"/>
          <w:color w:val="auto"/>
          <w:sz w:val="28"/>
          <w:szCs w:val="28"/>
          <w:highlight w:val="none"/>
          <w:lang w:eastAsia="zh-CN"/>
        </w:rPr>
        <w:t>。</w:t>
      </w:r>
    </w:p>
    <w:p w14:paraId="227A964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管控措施：开机前，</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司机必须发出开机信号，</w:t>
      </w:r>
      <w:r>
        <w:rPr>
          <w:rFonts w:hint="eastAsia" w:ascii="仿宋" w:hAnsi="仿宋" w:eastAsia="仿宋" w:cs="仿宋"/>
          <w:color w:val="auto"/>
          <w:sz w:val="28"/>
          <w:szCs w:val="28"/>
          <w:highlight w:val="none"/>
          <w:lang w:eastAsia="zh-CN"/>
        </w:rPr>
        <w:t>运行</w:t>
      </w:r>
      <w:r>
        <w:rPr>
          <w:rFonts w:hint="eastAsia" w:ascii="仿宋" w:hAnsi="仿宋" w:eastAsia="仿宋" w:cs="仿宋"/>
          <w:color w:val="auto"/>
          <w:sz w:val="28"/>
          <w:szCs w:val="28"/>
          <w:highlight w:val="none"/>
        </w:rPr>
        <w:t>范围内严禁有人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严格按照规定佩戴劳保用品</w:t>
      </w:r>
      <w:r>
        <w:rPr>
          <w:rFonts w:hint="eastAsia" w:ascii="仿宋" w:hAnsi="仿宋" w:eastAsia="仿宋" w:cs="仿宋"/>
          <w:color w:val="auto"/>
          <w:sz w:val="28"/>
          <w:szCs w:val="28"/>
          <w:highlight w:val="none"/>
          <w:lang w:eastAsia="zh-CN"/>
        </w:rPr>
        <w:t>。</w:t>
      </w:r>
    </w:p>
    <w:p w14:paraId="5B1EEC9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④风险描述：</w:t>
      </w:r>
      <w:r>
        <w:rPr>
          <w:rFonts w:hint="eastAsia" w:ascii="仿宋" w:hAnsi="仿宋" w:eastAsia="仿宋" w:cs="仿宋"/>
          <w:color w:val="auto"/>
          <w:sz w:val="28"/>
          <w:szCs w:val="28"/>
          <w:highlight w:val="none"/>
          <w:lang w:eastAsia="zh-CN"/>
        </w:rPr>
        <w:t>警戒不到位人员误入，</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14:paraId="03F52FB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安排专人拉设警戒线并进行看护禁止人员进入运行范围。</w:t>
      </w:r>
    </w:p>
    <w:p w14:paraId="710E43D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⑤风险描述：</w:t>
      </w:r>
      <w:r>
        <w:rPr>
          <w:rFonts w:hint="eastAsia" w:ascii="仿宋" w:hAnsi="仿宋" w:eastAsia="仿宋" w:cs="仿宋"/>
          <w:color w:val="auto"/>
          <w:sz w:val="28"/>
          <w:szCs w:val="28"/>
          <w:highlight w:val="none"/>
          <w:lang w:eastAsia="zh-CN"/>
        </w:rPr>
        <w:t>运行范围内人员、物料清理不彻底，</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14:paraId="09B610D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开机前进行清人并将影响运行的杂物清理。</w:t>
      </w:r>
    </w:p>
    <w:p w14:paraId="03E9672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w:t>
      </w:r>
    </w:p>
    <w:p w14:paraId="352D0D4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风险描述：下坡行驶时发动机熄灭脱档滑行，液压转向失灵，造成行车事故</w:t>
      </w:r>
      <w:r>
        <w:rPr>
          <w:rFonts w:hint="eastAsia" w:ascii="仿宋" w:hAnsi="仿宋" w:eastAsia="仿宋" w:cs="仿宋"/>
          <w:color w:val="auto"/>
          <w:sz w:val="28"/>
          <w:szCs w:val="28"/>
          <w:highlight w:val="none"/>
          <w:lang w:val="en-US" w:eastAsia="zh-CN"/>
        </w:rPr>
        <w:t>，易出现伤人风险</w:t>
      </w:r>
      <w:r>
        <w:rPr>
          <w:rFonts w:hint="eastAsia" w:ascii="仿宋" w:hAnsi="仿宋" w:eastAsia="仿宋" w:cs="仿宋"/>
          <w:color w:val="auto"/>
          <w:sz w:val="28"/>
          <w:szCs w:val="28"/>
          <w:highlight w:val="none"/>
          <w:lang w:eastAsia="zh-CN"/>
        </w:rPr>
        <w:t>。</w:t>
      </w:r>
    </w:p>
    <w:p w14:paraId="401D596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管控措施：下坡行驶时严禁发动机熄灭脱档滑行</w:t>
      </w:r>
      <w:r>
        <w:rPr>
          <w:rFonts w:hint="eastAsia" w:ascii="仿宋" w:hAnsi="仿宋" w:eastAsia="仿宋" w:cs="仿宋"/>
          <w:color w:val="auto"/>
          <w:sz w:val="28"/>
          <w:szCs w:val="28"/>
          <w:highlight w:val="none"/>
          <w:lang w:eastAsia="zh-CN"/>
        </w:rPr>
        <w:t>。</w:t>
      </w:r>
    </w:p>
    <w:p w14:paraId="07B2F54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机电设备不完好，有异常存在伤人风险</w:t>
      </w:r>
      <w:r>
        <w:rPr>
          <w:rFonts w:hint="eastAsia" w:ascii="仿宋" w:hAnsi="仿宋" w:eastAsia="仿宋" w:cs="仿宋"/>
          <w:color w:val="auto"/>
          <w:sz w:val="28"/>
          <w:szCs w:val="28"/>
          <w:highlight w:val="none"/>
          <w:lang w:eastAsia="zh-CN"/>
        </w:rPr>
        <w:t>。</w:t>
      </w:r>
    </w:p>
    <w:p w14:paraId="5170525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w:t>
      </w:r>
      <w:r>
        <w:rPr>
          <w:rFonts w:hint="eastAsia" w:ascii="仿宋" w:hAnsi="仿宋" w:eastAsia="仿宋" w:cs="仿宋"/>
          <w:color w:val="auto"/>
          <w:sz w:val="28"/>
          <w:szCs w:val="28"/>
          <w:highlight w:val="none"/>
          <w:lang w:val="en-US" w:eastAsia="zh-CN"/>
        </w:rPr>
        <w:t>严格控制速度，随时观察机电完好情况，发现异常立即停电闭锁紧急处理。</w:t>
      </w:r>
    </w:p>
    <w:p w14:paraId="380201C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lang w:val="en-US" w:eastAsia="zh-CN"/>
        </w:rPr>
        <w:t>司机站位不正确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14:paraId="2DF0C42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装载机启动后，司机严禁离开操作室。</w:t>
      </w:r>
    </w:p>
    <w:p w14:paraId="5CC947E0">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3.停机后：</w:t>
      </w:r>
    </w:p>
    <w:p w14:paraId="1E5ACD0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lang w:val="en-US" w:eastAsia="zh-CN"/>
        </w:rPr>
        <w:t>放置</w:t>
      </w:r>
      <w:r>
        <w:rPr>
          <w:rFonts w:hint="eastAsia" w:ascii="仿宋" w:hAnsi="仿宋" w:eastAsia="仿宋" w:cs="仿宋"/>
          <w:color w:val="auto"/>
          <w:sz w:val="28"/>
          <w:szCs w:val="28"/>
          <w:highlight w:val="none"/>
        </w:rPr>
        <w:t>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54A475D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施工</w:t>
      </w:r>
      <w:r>
        <w:rPr>
          <w:rFonts w:hint="eastAsia" w:ascii="仿宋" w:hAnsi="仿宋" w:eastAsia="仿宋" w:cs="仿宋"/>
          <w:color w:val="auto"/>
          <w:sz w:val="28"/>
          <w:szCs w:val="28"/>
          <w:highlight w:val="none"/>
          <w:lang w:val="en-US" w:eastAsia="zh-CN"/>
        </w:rPr>
        <w:t>后，将装载机放置顶板完好、支护到位的地方。</w:t>
      </w:r>
    </w:p>
    <w:p w14:paraId="386EF92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停机后，设备未停电闭锁，铲斗未落地，存在检修伤人风险</w:t>
      </w:r>
      <w:r>
        <w:rPr>
          <w:rFonts w:hint="eastAsia" w:ascii="仿宋" w:hAnsi="仿宋" w:eastAsia="仿宋" w:cs="仿宋"/>
          <w:color w:val="auto"/>
          <w:sz w:val="28"/>
          <w:szCs w:val="28"/>
          <w:highlight w:val="none"/>
          <w:lang w:eastAsia="zh-CN"/>
        </w:rPr>
        <w:t>。</w:t>
      </w:r>
    </w:p>
    <w:p w14:paraId="45C179A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停机时，</w:t>
      </w:r>
      <w:r>
        <w:rPr>
          <w:rFonts w:hint="eastAsia" w:ascii="仿宋" w:hAnsi="仿宋" w:eastAsia="仿宋" w:cs="仿宋"/>
          <w:color w:val="auto"/>
          <w:sz w:val="28"/>
          <w:szCs w:val="28"/>
          <w:highlight w:val="none"/>
          <w:lang w:eastAsia="zh-CN"/>
        </w:rPr>
        <w:t>将铲斗落地并</w:t>
      </w:r>
      <w:r>
        <w:rPr>
          <w:rFonts w:hint="eastAsia" w:ascii="仿宋" w:hAnsi="仿宋" w:eastAsia="仿宋" w:cs="仿宋"/>
          <w:color w:val="auto"/>
          <w:spacing w:val="0"/>
          <w:w w:val="100"/>
          <w:sz w:val="28"/>
          <w:szCs w:val="28"/>
        </w:rPr>
        <w:t>将</w:t>
      </w:r>
      <w:r>
        <w:rPr>
          <w:rFonts w:hint="eastAsia" w:ascii="仿宋" w:hAnsi="仿宋" w:eastAsia="仿宋" w:cs="仿宋"/>
          <w:color w:val="auto"/>
          <w:spacing w:val="2"/>
          <w:w w:val="100"/>
          <w:sz w:val="28"/>
          <w:szCs w:val="28"/>
        </w:rPr>
        <w:t>手</w:t>
      </w:r>
      <w:r>
        <w:rPr>
          <w:rFonts w:hint="eastAsia" w:ascii="仿宋" w:hAnsi="仿宋" w:eastAsia="仿宋" w:cs="仿宋"/>
          <w:color w:val="auto"/>
          <w:spacing w:val="0"/>
          <w:w w:val="100"/>
          <w:sz w:val="28"/>
          <w:szCs w:val="28"/>
        </w:rPr>
        <w:t>制</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操</w:t>
      </w:r>
      <w:r>
        <w:rPr>
          <w:rFonts w:hint="eastAsia" w:ascii="仿宋" w:hAnsi="仿宋" w:eastAsia="仿宋" w:cs="仿宋"/>
          <w:color w:val="auto"/>
          <w:spacing w:val="2"/>
          <w:w w:val="100"/>
          <w:sz w:val="28"/>
          <w:szCs w:val="28"/>
        </w:rPr>
        <w:t>纵</w:t>
      </w:r>
      <w:r>
        <w:rPr>
          <w:rFonts w:hint="eastAsia" w:ascii="仿宋" w:hAnsi="仿宋" w:eastAsia="仿宋" w:cs="仿宋"/>
          <w:color w:val="auto"/>
          <w:spacing w:val="0"/>
          <w:w w:val="100"/>
          <w:sz w:val="28"/>
          <w:szCs w:val="28"/>
        </w:rPr>
        <w:t>杆</w:t>
      </w:r>
      <w:r>
        <w:rPr>
          <w:rFonts w:hint="eastAsia" w:ascii="仿宋" w:hAnsi="仿宋" w:eastAsia="仿宋" w:cs="仿宋"/>
          <w:color w:val="auto"/>
          <w:spacing w:val="2"/>
          <w:w w:val="100"/>
          <w:sz w:val="28"/>
          <w:szCs w:val="28"/>
        </w:rPr>
        <w:t>拉</w:t>
      </w:r>
      <w:r>
        <w:rPr>
          <w:rFonts w:hint="eastAsia" w:ascii="仿宋" w:hAnsi="仿宋" w:eastAsia="仿宋" w:cs="仿宋"/>
          <w:color w:val="auto"/>
          <w:spacing w:val="0"/>
          <w:w w:val="100"/>
          <w:sz w:val="28"/>
          <w:szCs w:val="28"/>
        </w:rPr>
        <w:t>紧</w:t>
      </w:r>
      <w:r>
        <w:rPr>
          <w:rFonts w:hint="eastAsia" w:ascii="仿宋" w:hAnsi="仿宋" w:eastAsia="仿宋" w:cs="仿宋"/>
          <w:color w:val="auto"/>
          <w:spacing w:val="0"/>
          <w:w w:val="100"/>
          <w:sz w:val="28"/>
          <w:szCs w:val="28"/>
          <w:lang w:eastAsia="zh-CN"/>
        </w:rPr>
        <w:t>后</w:t>
      </w:r>
      <w:r>
        <w:rPr>
          <w:rFonts w:hint="eastAsia" w:ascii="仿宋" w:hAnsi="仿宋" w:eastAsia="仿宋" w:cs="仿宋"/>
          <w:color w:val="auto"/>
          <w:sz w:val="28"/>
          <w:szCs w:val="28"/>
          <w:highlight w:val="none"/>
        </w:rPr>
        <w:t>停电闭锁，摘除</w:t>
      </w:r>
      <w:r>
        <w:rPr>
          <w:rFonts w:hint="eastAsia" w:ascii="仿宋" w:hAnsi="仿宋" w:eastAsia="仿宋" w:cs="仿宋"/>
          <w:color w:val="auto"/>
          <w:sz w:val="28"/>
          <w:szCs w:val="28"/>
          <w:highlight w:val="none"/>
          <w:lang w:eastAsia="zh-CN"/>
        </w:rPr>
        <w:t>钥匙。</w:t>
      </w:r>
    </w:p>
    <w:p w14:paraId="7F4CE75F">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四、</w:t>
      </w:r>
      <w:r>
        <w:rPr>
          <w:rFonts w:hint="eastAsia" w:ascii="仿宋" w:hAnsi="仿宋" w:eastAsia="仿宋" w:cs="仿宋"/>
          <w:b/>
          <w:bCs/>
          <w:color w:val="auto"/>
          <w:sz w:val="28"/>
          <w:szCs w:val="28"/>
        </w:rPr>
        <w:t>操作程序及安全规定</w:t>
      </w:r>
    </w:p>
    <w:p w14:paraId="63DF5D48">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开机前检查</w:t>
      </w:r>
    </w:p>
    <w:p w14:paraId="4DCBAAC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val="0"/>
          <w:bCs/>
          <w:color w:val="auto"/>
          <w:sz w:val="28"/>
          <w:szCs w:val="28"/>
          <w:highlight w:val="none"/>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rPr>
        <w:t>顶帮：</w:t>
      </w:r>
      <w:r>
        <w:rPr>
          <w:rFonts w:hint="eastAsia" w:ascii="仿宋" w:hAnsi="仿宋" w:eastAsia="仿宋" w:cs="仿宋"/>
          <w:color w:val="auto"/>
          <w:sz w:val="28"/>
          <w:szCs w:val="28"/>
          <w:highlight w:val="none"/>
        </w:rPr>
        <w:t>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w:t>
      </w:r>
      <w:r>
        <w:rPr>
          <w:rFonts w:hint="eastAsia" w:ascii="仿宋" w:hAnsi="仿宋" w:eastAsia="仿宋" w:cs="仿宋"/>
          <w:color w:val="auto"/>
          <w:sz w:val="28"/>
          <w:szCs w:val="28"/>
          <w:highlight w:val="none"/>
          <w:lang w:eastAsia="zh-CN"/>
        </w:rPr>
        <w:t>铲煤、运料</w:t>
      </w:r>
      <w:r>
        <w:rPr>
          <w:rFonts w:hint="eastAsia" w:ascii="仿宋" w:hAnsi="仿宋" w:eastAsia="仿宋" w:cs="仿宋"/>
          <w:color w:val="auto"/>
          <w:sz w:val="28"/>
          <w:szCs w:val="28"/>
          <w:highlight w:val="none"/>
        </w:rPr>
        <w:t>等过程中应清除危岩、排除隐患</w:t>
      </w:r>
      <w:r>
        <w:rPr>
          <w:rFonts w:hint="eastAsia" w:ascii="仿宋" w:hAnsi="仿宋" w:eastAsia="仿宋" w:cs="仿宋"/>
          <w:color w:val="auto"/>
          <w:sz w:val="28"/>
          <w:szCs w:val="28"/>
          <w:highlight w:val="none"/>
          <w:lang w:eastAsia="zh-CN"/>
        </w:rPr>
        <w:t>；保证顶板支护到位，锚杆外露长度不影响装载机运行。</w:t>
      </w:r>
    </w:p>
    <w:p w14:paraId="0B06B60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瓦斯</w:t>
      </w:r>
      <w:r>
        <w:rPr>
          <w:rFonts w:hint="eastAsia" w:ascii="仿宋" w:hAnsi="仿宋" w:eastAsia="仿宋" w:cs="仿宋"/>
          <w:color w:val="auto"/>
          <w:sz w:val="28"/>
          <w:szCs w:val="28"/>
          <w:highlight w:val="none"/>
        </w:rPr>
        <w:t>：开机前，</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司机必须</w:t>
      </w:r>
      <w:r>
        <w:rPr>
          <w:rFonts w:hint="eastAsia" w:ascii="仿宋" w:hAnsi="仿宋" w:eastAsia="仿宋" w:cs="仿宋"/>
          <w:color w:val="auto"/>
          <w:sz w:val="28"/>
          <w:szCs w:val="28"/>
          <w:highlight w:val="none"/>
          <w:lang w:eastAsia="zh-CN"/>
        </w:rPr>
        <w:t>检查瓦斯情况</w:t>
      </w:r>
      <w:r>
        <w:rPr>
          <w:rFonts w:hint="eastAsia" w:ascii="仿宋" w:hAnsi="仿宋" w:eastAsia="仿宋" w:cs="仿宋"/>
          <w:color w:val="auto"/>
          <w:sz w:val="28"/>
          <w:szCs w:val="28"/>
          <w:highlight w:val="none"/>
        </w:rPr>
        <w:t>，附近20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范围内风流中的</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浓度在1.0%以下时，方可通电开动；附近20m以内风流中的</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浓度达到1.5％时，必须停止工作，切断电源，撤出人员，进行处理。</w:t>
      </w:r>
    </w:p>
    <w:p w14:paraId="3DC7D4C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3.信号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开机前，</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司机必须发出开机信号，</w:t>
      </w:r>
      <w:r>
        <w:rPr>
          <w:rFonts w:hint="eastAsia" w:ascii="仿宋" w:hAnsi="仿宋" w:eastAsia="仿宋" w:cs="仿宋"/>
          <w:color w:val="auto"/>
          <w:sz w:val="28"/>
          <w:szCs w:val="28"/>
          <w:highlight w:val="none"/>
          <w:lang w:eastAsia="zh-CN"/>
        </w:rPr>
        <w:t>运行</w:t>
      </w:r>
      <w:r>
        <w:rPr>
          <w:rFonts w:hint="eastAsia" w:ascii="仿宋" w:hAnsi="仿宋" w:eastAsia="仿宋" w:cs="仿宋"/>
          <w:color w:val="auto"/>
          <w:sz w:val="28"/>
          <w:szCs w:val="28"/>
          <w:highlight w:val="none"/>
        </w:rPr>
        <w:t>范围内严禁有人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严格按照规定佩戴劳保用品</w:t>
      </w:r>
      <w:r>
        <w:rPr>
          <w:rFonts w:hint="eastAsia" w:ascii="仿宋" w:hAnsi="仿宋" w:eastAsia="仿宋" w:cs="仿宋"/>
          <w:color w:val="auto"/>
          <w:sz w:val="28"/>
          <w:szCs w:val="28"/>
          <w:highlight w:val="none"/>
          <w:lang w:eastAsia="zh-CN"/>
        </w:rPr>
        <w:t>。</w:t>
      </w:r>
    </w:p>
    <w:p w14:paraId="1927ACC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4.站位：</w:t>
      </w:r>
      <w:r>
        <w:rPr>
          <w:rFonts w:hint="eastAsia" w:ascii="仿宋" w:hAnsi="仿宋" w:eastAsia="仿宋" w:cs="仿宋"/>
          <w:color w:val="auto"/>
          <w:sz w:val="28"/>
          <w:szCs w:val="28"/>
          <w:highlight w:val="none"/>
          <w:lang w:eastAsia="zh-CN"/>
        </w:rPr>
        <w:t>装载机启动后，司机严禁离开操作室</w:t>
      </w:r>
      <w:r>
        <w:rPr>
          <w:rFonts w:hint="eastAsia" w:ascii="仿宋" w:hAnsi="仿宋" w:eastAsia="仿宋" w:cs="仿宋"/>
          <w:color w:val="auto"/>
          <w:sz w:val="28"/>
          <w:szCs w:val="28"/>
          <w:highlight w:val="none"/>
        </w:rPr>
        <w:t>。</w:t>
      </w:r>
    </w:p>
    <w:p w14:paraId="56CCE1F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口罩</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口罩已佩戴</w:t>
      </w:r>
      <w:r>
        <w:rPr>
          <w:rFonts w:hint="eastAsia" w:ascii="仿宋" w:hAnsi="仿宋" w:eastAsia="仿宋" w:cs="仿宋"/>
          <w:color w:val="auto"/>
          <w:sz w:val="28"/>
          <w:szCs w:val="28"/>
          <w:highlight w:val="none"/>
          <w:lang w:eastAsia="zh-CN"/>
        </w:rPr>
        <w:t>。</w:t>
      </w:r>
    </w:p>
    <w:p w14:paraId="4B1349A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进行清人并将影响运行的杂物清理，安排专人拉设警戒线并进行看护禁止人员进入运行范围。</w:t>
      </w:r>
    </w:p>
    <w:p w14:paraId="3008394D">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rPr>
        <w:t>单元检查表确认：</w:t>
      </w:r>
    </w:p>
    <w:p w14:paraId="4A1945A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轮胎完好胎压充足</w:t>
      </w:r>
      <w:r>
        <w:rPr>
          <w:rFonts w:hint="eastAsia" w:ascii="仿宋" w:hAnsi="仿宋" w:eastAsia="仿宋" w:cs="仿宋"/>
          <w:color w:val="auto"/>
          <w:sz w:val="28"/>
          <w:szCs w:val="28"/>
          <w:highlight w:val="none"/>
        </w:rPr>
        <w:t>。</w:t>
      </w:r>
    </w:p>
    <w:p w14:paraId="08C8F6E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仪表完好动作灵敏</w:t>
      </w:r>
      <w:r>
        <w:rPr>
          <w:rFonts w:hint="eastAsia" w:ascii="仿宋" w:hAnsi="仿宋" w:eastAsia="仿宋" w:cs="仿宋"/>
          <w:color w:val="auto"/>
          <w:sz w:val="28"/>
          <w:szCs w:val="28"/>
          <w:highlight w:val="none"/>
        </w:rPr>
        <w:t>。</w:t>
      </w:r>
    </w:p>
    <w:p w14:paraId="1F7F0B8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（3）机身连接：连接螺栓齐全、紧固。</w:t>
      </w:r>
    </w:p>
    <w:p w14:paraId="71B15F9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（4）油位：油位在观察孔之间。</w:t>
      </w:r>
    </w:p>
    <w:p w14:paraId="0660310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（5）水管、</w:t>
      </w:r>
      <w:r>
        <w:rPr>
          <w:rFonts w:hint="eastAsia" w:ascii="仿宋" w:hAnsi="仿宋" w:eastAsia="仿宋" w:cs="仿宋"/>
          <w:color w:val="auto"/>
          <w:sz w:val="28"/>
          <w:szCs w:val="28"/>
          <w:highlight w:val="none"/>
          <w:lang w:eastAsia="zh-CN"/>
        </w:rPr>
        <w:t>油管、</w:t>
      </w:r>
      <w:r>
        <w:rPr>
          <w:rFonts w:hint="eastAsia" w:ascii="仿宋" w:hAnsi="仿宋" w:eastAsia="仿宋" w:cs="仿宋"/>
          <w:color w:val="auto"/>
          <w:sz w:val="28"/>
          <w:szCs w:val="28"/>
          <w:highlight w:val="none"/>
        </w:rPr>
        <w:t>冷却水与电缆:水管截止阀及管路无跑冒滴漏现象；</w:t>
      </w:r>
      <w:r>
        <w:rPr>
          <w:rFonts w:hint="eastAsia" w:ascii="仿宋" w:hAnsi="仿宋" w:eastAsia="仿宋" w:cs="仿宋"/>
          <w:color w:val="auto"/>
          <w:sz w:val="28"/>
          <w:szCs w:val="28"/>
          <w:highlight w:val="none"/>
          <w:lang w:eastAsia="zh-CN"/>
        </w:rPr>
        <w:t>油管无破损；</w:t>
      </w:r>
      <w:r>
        <w:rPr>
          <w:rFonts w:hint="eastAsia" w:ascii="仿宋" w:hAnsi="仿宋" w:eastAsia="仿宋" w:cs="仿宋"/>
          <w:color w:val="auto"/>
          <w:sz w:val="28"/>
          <w:szCs w:val="28"/>
          <w:highlight w:val="none"/>
        </w:rPr>
        <w:t>冷却水</w:t>
      </w:r>
      <w:r>
        <w:rPr>
          <w:rFonts w:hint="eastAsia" w:ascii="仿宋" w:hAnsi="仿宋" w:eastAsia="仿宋" w:cs="仿宋"/>
          <w:color w:val="auto"/>
          <w:sz w:val="28"/>
          <w:szCs w:val="28"/>
          <w:highlight w:val="none"/>
          <w:lang w:eastAsia="zh-CN"/>
        </w:rPr>
        <w:t>充足</w:t>
      </w:r>
      <w:r>
        <w:rPr>
          <w:rFonts w:hint="eastAsia" w:ascii="仿宋" w:hAnsi="仿宋" w:eastAsia="仿宋" w:cs="仿宋"/>
          <w:color w:val="auto"/>
          <w:sz w:val="28"/>
          <w:szCs w:val="28"/>
          <w:highlight w:val="none"/>
        </w:rPr>
        <w:t>；电缆固定牢固、不受拉力、无刮卡现象。</w:t>
      </w:r>
    </w:p>
    <w:p w14:paraId="1212F5C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（6）操作按钮、</w:t>
      </w:r>
      <w:r>
        <w:rPr>
          <w:rFonts w:hint="eastAsia" w:ascii="仿宋" w:hAnsi="仿宋" w:eastAsia="仿宋" w:cs="仿宋"/>
          <w:color w:val="auto"/>
          <w:sz w:val="28"/>
          <w:szCs w:val="28"/>
          <w:highlight w:val="none"/>
          <w:lang w:eastAsia="zh-CN"/>
        </w:rPr>
        <w:t>刹车</w:t>
      </w:r>
      <w:r>
        <w:rPr>
          <w:rFonts w:hint="eastAsia" w:ascii="仿宋" w:hAnsi="仿宋" w:eastAsia="仿宋" w:cs="仿宋"/>
          <w:color w:val="auto"/>
          <w:sz w:val="28"/>
          <w:szCs w:val="28"/>
          <w:highlight w:val="none"/>
        </w:rPr>
        <w:t>:操作按钮外观完好无损，动作灵敏可靠,</w:t>
      </w:r>
      <w:r>
        <w:rPr>
          <w:rFonts w:hint="eastAsia" w:ascii="仿宋" w:hAnsi="仿宋" w:eastAsia="仿宋" w:cs="仿宋"/>
          <w:color w:val="auto"/>
          <w:sz w:val="28"/>
          <w:szCs w:val="28"/>
          <w:highlight w:val="none"/>
          <w:lang w:eastAsia="zh-CN"/>
        </w:rPr>
        <w:t>制动刹车</w:t>
      </w:r>
      <w:r>
        <w:rPr>
          <w:rFonts w:hint="eastAsia" w:ascii="仿宋" w:hAnsi="仿宋" w:eastAsia="仿宋" w:cs="仿宋"/>
          <w:color w:val="auto"/>
          <w:sz w:val="28"/>
          <w:szCs w:val="28"/>
          <w:highlight w:val="none"/>
        </w:rPr>
        <w:t>动作灵敏。</w:t>
      </w:r>
    </w:p>
    <w:p w14:paraId="673FB21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eastAsia="zh-CN"/>
        </w:rPr>
        <w:t>照明齐全明亮</w:t>
      </w:r>
      <w:r>
        <w:rPr>
          <w:rFonts w:hint="eastAsia" w:ascii="仿宋" w:hAnsi="仿宋" w:eastAsia="仿宋" w:cs="仿宋"/>
          <w:color w:val="auto"/>
          <w:sz w:val="28"/>
          <w:szCs w:val="28"/>
          <w:highlight w:val="none"/>
        </w:rPr>
        <w:t>。</w:t>
      </w:r>
    </w:p>
    <w:p w14:paraId="6FF3773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eastAsia="zh-CN"/>
        </w:rPr>
        <w:t>铲齿齐全固定牢固</w:t>
      </w:r>
      <w:r>
        <w:rPr>
          <w:rFonts w:hint="eastAsia" w:ascii="仿宋" w:hAnsi="仿宋" w:eastAsia="仿宋" w:cs="仿宋"/>
          <w:color w:val="auto"/>
          <w:sz w:val="28"/>
          <w:szCs w:val="28"/>
          <w:highlight w:val="none"/>
        </w:rPr>
        <w:t>。</w:t>
      </w:r>
    </w:p>
    <w:p w14:paraId="1253C7F9">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五、装载机司机正规操作</w:t>
      </w:r>
    </w:p>
    <w:p w14:paraId="0A8E125F">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（一）装载机司机操作顺序：</w:t>
      </w:r>
    </w:p>
    <w:p w14:paraId="7E7839F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出车前准备工作</w:t>
      </w:r>
      <w:r>
        <w:rPr>
          <w:rFonts w:hint="eastAsia" w:ascii="仿宋" w:hAnsi="仿宋" w:eastAsia="仿宋" w:cs="仿宋"/>
          <w:color w:val="auto"/>
          <w:sz w:val="28"/>
          <w:szCs w:val="28"/>
          <w:highlight w:val="none"/>
        </w:rPr>
        <w:t>→起动→起步→换档→转向→停车与熄火</w:t>
      </w:r>
      <w:r>
        <w:rPr>
          <w:rFonts w:hint="eastAsia" w:ascii="仿宋" w:hAnsi="仿宋" w:eastAsia="仿宋" w:cs="仿宋"/>
          <w:color w:val="auto"/>
          <w:sz w:val="28"/>
          <w:szCs w:val="28"/>
          <w:highlight w:val="none"/>
          <w:lang w:eastAsia="zh-CN"/>
        </w:rPr>
        <w:t>。</w:t>
      </w:r>
    </w:p>
    <w:p w14:paraId="7AAF0CE7">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（二）装载机司机正规操作：</w:t>
      </w:r>
    </w:p>
    <w:p w14:paraId="6D93E18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出车前准备工作</w:t>
      </w:r>
      <w:r>
        <w:rPr>
          <w:rFonts w:hint="eastAsia" w:ascii="仿宋" w:hAnsi="仿宋" w:eastAsia="仿宋" w:cs="仿宋"/>
          <w:color w:val="auto"/>
          <w:sz w:val="28"/>
          <w:szCs w:val="28"/>
          <w:highlight w:val="none"/>
        </w:rPr>
        <w:t>：机器外部清洁情况，清除掉油污和泥土</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发动机机油油面，要求在油尺刻度线围</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散热器中冷却水水位，要加到足够数量</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检查燃油箱油量，如需加油时注意用稠布或滤网过滤。油尽量要加满，可以使油箱中减少水汽凝结</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在整机发动时检查变速箱油面要接近油尺的上刻线</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检查液压油箱油面，保持在油表上部，加油时注意要用相同牌号的油</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检查轮胎气压是否正常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检查各部连接件有无松动</w:t>
      </w:r>
      <w:r>
        <w:rPr>
          <w:rFonts w:hint="eastAsia" w:ascii="仿宋" w:hAnsi="仿宋" w:eastAsia="仿宋" w:cs="仿宋"/>
          <w:color w:val="auto"/>
          <w:sz w:val="28"/>
          <w:szCs w:val="28"/>
          <w:highlight w:val="none"/>
          <w:lang w:eastAsia="zh-CN"/>
        </w:rPr>
        <w:t>。</w:t>
      </w:r>
    </w:p>
    <w:p w14:paraId="17EF7B5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起动：合上电源总开关</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方向操纵手柄和工作装置操纵手柄放在中间位置，手制动操纵杆放在制动位置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将电门钥匙插入电门开关，顺时针方向转到接通位置，于是仪表开始工作</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油门踏板踏下一半，将起动开关钥匙顺时针方向转到起动位置，接通起动电机，发动机即可起动</w:t>
      </w:r>
      <w:r>
        <w:rPr>
          <w:rFonts w:hint="eastAsia" w:ascii="仿宋" w:hAnsi="仿宋" w:eastAsia="仿宋" w:cs="仿宋"/>
          <w:color w:val="auto"/>
          <w:sz w:val="28"/>
          <w:szCs w:val="28"/>
          <w:highlight w:val="none"/>
          <w:lang w:eastAsia="zh-CN"/>
        </w:rPr>
        <w:t>；检查</w:t>
      </w:r>
      <w:r>
        <w:rPr>
          <w:rFonts w:hint="eastAsia" w:ascii="仿宋" w:hAnsi="仿宋" w:eastAsia="仿宋" w:cs="仿宋"/>
          <w:color w:val="auto"/>
          <w:sz w:val="28"/>
          <w:szCs w:val="28"/>
          <w:highlight w:val="none"/>
        </w:rPr>
        <w:t>各仪表指示是否正常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在低速和中速运转中，倾听发动机声音是否正常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检查转向指示灯、刹车灯、喇叭等电气设备是否正常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转动方向盘，检查转向系统的可靠性和密封性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检查脚制动和手制动的使用可靠性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检查液压工作装置的工作是否正常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检查各油管、水管有无漏油、漏水现象</w:t>
      </w:r>
      <w:r>
        <w:rPr>
          <w:rFonts w:hint="eastAsia" w:ascii="仿宋" w:hAnsi="仿宋" w:eastAsia="仿宋" w:cs="仿宋"/>
          <w:color w:val="auto"/>
          <w:sz w:val="28"/>
          <w:szCs w:val="28"/>
          <w:highlight w:val="none"/>
          <w:lang w:eastAsia="zh-CN"/>
        </w:rPr>
        <w:t>。</w:t>
      </w:r>
    </w:p>
    <w:p w14:paraId="7152037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起步：发动机起动，空转预热约5分钟后，当水温和油温达45℃以上，刹车气压达到0.6兆帕(6公斤／厘m2)以上，同时各种仪表操纵装置均处于正常状态，即可起步工作；将铲斗或抓具升至运输位置(离地约40厘m)；根据场地作业情况，操纵变速手柄选择好需要的档位；将变速手柄推拉到前进或后退位置；松开手制动；鸣喇叭，加大油门，增加发动机转速，即可起步行驶。</w:t>
      </w:r>
    </w:p>
    <w:p w14:paraId="30007C6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4.换档：变换前进，后退方向时，一定要先踩制动踏板，在刹车后进行换向，换向后松开制动；换档时，要注意观察离合器压力表所示压力是否正常。</w:t>
      </w:r>
    </w:p>
    <w:p w14:paraId="20ACA1C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转向：须注意发动机转速低时，转向油泵供油量减少，转向速度也要受影响，特别是发动机熄火，转向油泵不供油，此时转向就十分困难甚至不能转向。因此在急转弯时，必须使用低速档，同时发动机转速最低应保持在1000转／分左右，以保证机器的转向性能和防止熄火。</w:t>
      </w:r>
    </w:p>
    <w:p w14:paraId="41A38A3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停车与熄火：降低发动机转速并踩下制动踏板，即可停车；方向手柄推拉到中间位置；松开制动踏板拉紧手制动操纵杆；铲斗放平到贴于地面，各手柄均放在中间位置；关闭发动机熄火开关使发动机熄火；拉下总电源开关，切断电源，拔出钥匙。</w:t>
      </w:r>
    </w:p>
    <w:p w14:paraId="1ED0E990">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eastAsia="zh-CN"/>
        </w:rPr>
        <w:t>装载机</w:t>
      </w:r>
      <w:r>
        <w:rPr>
          <w:rFonts w:hint="eastAsia" w:ascii="仿宋" w:hAnsi="仿宋" w:eastAsia="仿宋" w:cs="仿宋"/>
          <w:b/>
          <w:color w:val="auto"/>
          <w:sz w:val="28"/>
          <w:szCs w:val="28"/>
          <w:highlight w:val="none"/>
        </w:rPr>
        <w:t>司机操作过程中的安全注意事项：</w:t>
      </w:r>
    </w:p>
    <w:p w14:paraId="369F8B1D">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检查顶帮完好，</w:t>
      </w:r>
      <w:r>
        <w:rPr>
          <w:rFonts w:hint="eastAsia" w:ascii="仿宋" w:hAnsi="仿宋" w:eastAsia="仿宋" w:cs="仿宋"/>
          <w:color w:val="auto"/>
          <w:kern w:val="0"/>
          <w:sz w:val="28"/>
          <w:szCs w:val="28"/>
          <w:highlight w:val="none"/>
          <w:lang w:eastAsia="zh-CN"/>
        </w:rPr>
        <w:t>无外露长锚杆；装载机前后警戒线内无人员。</w:t>
      </w:r>
    </w:p>
    <w:p w14:paraId="53E088B4">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w:t>
      </w:r>
      <w:r>
        <w:rPr>
          <w:rFonts w:hint="eastAsia" w:ascii="仿宋" w:hAnsi="仿宋" w:eastAsia="仿宋" w:cs="仿宋"/>
          <w:b w:val="0"/>
          <w:bCs/>
          <w:color w:val="auto"/>
          <w:sz w:val="28"/>
          <w:szCs w:val="28"/>
          <w:highlight w:val="none"/>
          <w:lang w:eastAsia="zh-CN"/>
        </w:rPr>
        <w:t>设备异常声音立即停机并停电闭锁。</w:t>
      </w:r>
    </w:p>
    <w:p w14:paraId="53108B2E">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val="0"/>
          <w:bCs/>
          <w:color w:val="auto"/>
          <w:kern w:val="0"/>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lang w:eastAsia="zh-CN"/>
        </w:rPr>
        <w:t>嗅异味</w:t>
      </w:r>
      <w:r>
        <w:rPr>
          <w:rFonts w:hint="eastAsia" w:ascii="仿宋" w:hAnsi="仿宋" w:eastAsia="仿宋" w:cs="仿宋"/>
          <w:b/>
          <w:color w:val="auto"/>
          <w:sz w:val="28"/>
          <w:szCs w:val="28"/>
          <w:highlight w:val="none"/>
        </w:rPr>
        <w:t>：</w:t>
      </w:r>
      <w:r>
        <w:rPr>
          <w:rFonts w:hint="eastAsia" w:ascii="仿宋" w:hAnsi="仿宋" w:eastAsia="仿宋" w:cs="仿宋"/>
          <w:b w:val="0"/>
          <w:bCs/>
          <w:color w:val="auto"/>
          <w:sz w:val="28"/>
          <w:szCs w:val="28"/>
          <w:highlight w:val="none"/>
          <w:lang w:eastAsia="zh-CN"/>
        </w:rPr>
        <w:t>闻到异常气味立即停机并停电闭锁。</w:t>
      </w:r>
    </w:p>
    <w:p w14:paraId="6D20024F">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val="0"/>
          <w:bCs/>
          <w:color w:val="auto"/>
          <w:kern w:val="0"/>
          <w:sz w:val="28"/>
          <w:szCs w:val="28"/>
          <w:highlight w:val="none"/>
          <w:lang w:eastAsia="zh-CN"/>
        </w:rPr>
      </w:pPr>
      <w:r>
        <w:rPr>
          <w:rFonts w:hint="eastAsia" w:ascii="仿宋" w:hAnsi="仿宋" w:eastAsia="仿宋" w:cs="仿宋"/>
          <w:b/>
          <w:color w:val="auto"/>
          <w:sz w:val="28"/>
          <w:szCs w:val="28"/>
          <w:highlight w:val="none"/>
        </w:rPr>
        <w:t>4</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lang w:eastAsia="zh-CN"/>
        </w:rPr>
        <w:t>防误入</w:t>
      </w:r>
      <w:r>
        <w:rPr>
          <w:rFonts w:hint="eastAsia" w:ascii="仿宋" w:hAnsi="仿宋" w:eastAsia="仿宋" w:cs="仿宋"/>
          <w:b/>
          <w:color w:val="auto"/>
          <w:sz w:val="28"/>
          <w:szCs w:val="28"/>
          <w:highlight w:val="none"/>
        </w:rPr>
        <w:t>：</w:t>
      </w:r>
      <w:r>
        <w:rPr>
          <w:rFonts w:hint="eastAsia" w:ascii="仿宋" w:hAnsi="仿宋" w:eastAsia="仿宋" w:cs="仿宋"/>
          <w:b w:val="0"/>
          <w:bCs/>
          <w:color w:val="auto"/>
          <w:sz w:val="28"/>
          <w:szCs w:val="28"/>
          <w:highlight w:val="none"/>
          <w:lang w:eastAsia="zh-CN"/>
        </w:rPr>
        <w:t>人员误入运行范围，立即停机</w:t>
      </w:r>
      <w:r>
        <w:rPr>
          <w:rFonts w:hint="eastAsia" w:ascii="仿宋" w:hAnsi="仿宋" w:eastAsia="仿宋" w:cs="仿宋"/>
          <w:b w:val="0"/>
          <w:bCs/>
          <w:color w:val="auto"/>
          <w:kern w:val="0"/>
          <w:sz w:val="28"/>
          <w:szCs w:val="28"/>
          <w:highlight w:val="none"/>
          <w:lang w:eastAsia="zh-CN"/>
        </w:rPr>
        <w:t>。</w:t>
      </w:r>
    </w:p>
    <w:p w14:paraId="4956680E">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val="0"/>
          <w:bCs/>
          <w:color w:val="auto"/>
          <w:kern w:val="0"/>
          <w:sz w:val="28"/>
          <w:szCs w:val="28"/>
          <w:highlight w:val="none"/>
          <w:lang w:val="en-US" w:eastAsia="zh-CN"/>
        </w:rPr>
      </w:pPr>
      <w:r>
        <w:rPr>
          <w:rFonts w:hint="eastAsia" w:ascii="仿宋" w:hAnsi="仿宋" w:eastAsia="仿宋" w:cs="仿宋"/>
          <w:b/>
          <w:bCs w:val="0"/>
          <w:color w:val="auto"/>
          <w:kern w:val="0"/>
          <w:sz w:val="28"/>
          <w:szCs w:val="28"/>
          <w:highlight w:val="none"/>
          <w:lang w:val="en-US" w:eastAsia="zh-CN"/>
        </w:rPr>
        <w:t>5.位置：</w:t>
      </w:r>
      <w:r>
        <w:rPr>
          <w:rFonts w:hint="eastAsia" w:ascii="仿宋" w:hAnsi="仿宋" w:eastAsia="仿宋" w:cs="仿宋"/>
          <w:b w:val="0"/>
          <w:bCs/>
          <w:color w:val="auto"/>
          <w:kern w:val="0"/>
          <w:sz w:val="28"/>
          <w:szCs w:val="28"/>
          <w:highlight w:val="none"/>
          <w:lang w:val="en-US" w:eastAsia="zh-CN"/>
        </w:rPr>
        <w:t>开机期间严禁离开操作室。</w:t>
      </w:r>
    </w:p>
    <w:p w14:paraId="40A2764F">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七、全部注意事项</w:t>
      </w:r>
    </w:p>
    <w:p w14:paraId="7127CBEC">
      <w:pPr>
        <w:keepNext w:val="0"/>
        <w:keepLines w:val="0"/>
        <w:pageBreakBefore w:val="0"/>
        <w:widowControl w:val="0"/>
        <w:kinsoku/>
        <w:wordWrap/>
        <w:overflowPunct/>
        <w:topLinePunct w:val="0"/>
        <w:autoSpaceDE/>
        <w:autoSpaceDN/>
        <w:bidi w:val="0"/>
        <w:adjustRightInd/>
        <w:snapToGrid/>
        <w:spacing w:before="0"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position w:val="-3"/>
          <w:sz w:val="28"/>
          <w:szCs w:val="28"/>
        </w:rPr>
        <w:t>1</w:t>
      </w:r>
      <w:r>
        <w:rPr>
          <w:rFonts w:hint="eastAsia" w:ascii="仿宋" w:hAnsi="仿宋" w:eastAsia="仿宋" w:cs="仿宋"/>
          <w:color w:val="auto"/>
          <w:spacing w:val="1"/>
          <w:w w:val="100"/>
          <w:position w:val="-3"/>
          <w:sz w:val="28"/>
          <w:szCs w:val="28"/>
          <w:lang w:val="en-US" w:eastAsia="zh-CN"/>
        </w:rPr>
        <w:t>.</w:t>
      </w:r>
      <w:r>
        <w:rPr>
          <w:rFonts w:hint="eastAsia" w:ascii="仿宋" w:hAnsi="仿宋" w:eastAsia="仿宋" w:cs="仿宋"/>
          <w:color w:val="auto"/>
          <w:spacing w:val="0"/>
          <w:w w:val="100"/>
          <w:position w:val="-3"/>
          <w:sz w:val="28"/>
          <w:szCs w:val="28"/>
        </w:rPr>
        <w:t>驾</w:t>
      </w:r>
      <w:r>
        <w:rPr>
          <w:rFonts w:hint="eastAsia" w:ascii="仿宋" w:hAnsi="仿宋" w:eastAsia="仿宋" w:cs="仿宋"/>
          <w:color w:val="auto"/>
          <w:spacing w:val="2"/>
          <w:w w:val="100"/>
          <w:position w:val="-3"/>
          <w:sz w:val="28"/>
          <w:szCs w:val="28"/>
        </w:rPr>
        <w:t>驶</w:t>
      </w:r>
      <w:r>
        <w:rPr>
          <w:rFonts w:hint="eastAsia" w:ascii="仿宋" w:hAnsi="仿宋" w:eastAsia="仿宋" w:cs="仿宋"/>
          <w:color w:val="auto"/>
          <w:spacing w:val="0"/>
          <w:w w:val="100"/>
          <w:position w:val="-3"/>
          <w:sz w:val="28"/>
          <w:szCs w:val="28"/>
        </w:rPr>
        <w:t>员</w:t>
      </w:r>
      <w:r>
        <w:rPr>
          <w:rFonts w:hint="eastAsia" w:ascii="仿宋" w:hAnsi="仿宋" w:eastAsia="仿宋" w:cs="仿宋"/>
          <w:color w:val="auto"/>
          <w:spacing w:val="0"/>
          <w:w w:val="100"/>
          <w:position w:val="-3"/>
          <w:sz w:val="28"/>
          <w:szCs w:val="28"/>
          <w:lang w:eastAsia="zh-CN"/>
        </w:rPr>
        <w:t>应随身携带司机证件</w:t>
      </w:r>
      <w:r>
        <w:rPr>
          <w:rFonts w:hint="eastAsia" w:ascii="仿宋" w:hAnsi="仿宋" w:eastAsia="仿宋" w:cs="仿宋"/>
          <w:color w:val="auto"/>
          <w:spacing w:val="0"/>
          <w:w w:val="100"/>
          <w:sz w:val="28"/>
          <w:szCs w:val="28"/>
        </w:rPr>
        <w:t>。</w:t>
      </w:r>
    </w:p>
    <w:p w14:paraId="546BA793">
      <w:pPr>
        <w:keepNext w:val="0"/>
        <w:keepLines w:val="0"/>
        <w:pageBreakBefore w:val="0"/>
        <w:widowControl w:val="0"/>
        <w:kinsoku/>
        <w:wordWrap/>
        <w:overflowPunct/>
        <w:topLinePunct w:val="0"/>
        <w:autoSpaceDE/>
        <w:autoSpaceDN/>
        <w:bidi w:val="0"/>
        <w:adjustRightInd/>
        <w:snapToGrid/>
        <w:spacing w:before="91" w:after="0" w:line="500" w:lineRule="exact"/>
        <w:ind w:right="148"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2</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0"/>
          <w:w w:val="100"/>
          <w:sz w:val="28"/>
          <w:szCs w:val="28"/>
        </w:rPr>
        <w:t>起</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工</w:t>
      </w:r>
      <w:r>
        <w:rPr>
          <w:rFonts w:hint="eastAsia" w:ascii="仿宋" w:hAnsi="仿宋" w:eastAsia="仿宋" w:cs="仿宋"/>
          <w:color w:val="auto"/>
          <w:spacing w:val="2"/>
          <w:w w:val="100"/>
          <w:sz w:val="28"/>
          <w:szCs w:val="28"/>
        </w:rPr>
        <w:t>作之</w:t>
      </w:r>
      <w:r>
        <w:rPr>
          <w:rFonts w:hint="eastAsia" w:ascii="仿宋" w:hAnsi="仿宋" w:eastAsia="仿宋" w:cs="仿宋"/>
          <w:color w:val="auto"/>
          <w:spacing w:val="0"/>
          <w:w w:val="100"/>
          <w:sz w:val="28"/>
          <w:szCs w:val="28"/>
        </w:rPr>
        <w:t>前</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应</w:t>
      </w:r>
      <w:r>
        <w:rPr>
          <w:rFonts w:hint="eastAsia" w:ascii="仿宋" w:hAnsi="仿宋" w:eastAsia="仿宋" w:cs="仿宋"/>
          <w:color w:val="auto"/>
          <w:spacing w:val="2"/>
          <w:w w:val="100"/>
          <w:sz w:val="28"/>
          <w:szCs w:val="28"/>
        </w:rPr>
        <w:t>按</w:t>
      </w:r>
      <w:r>
        <w:rPr>
          <w:rFonts w:hint="eastAsia" w:ascii="仿宋" w:hAnsi="仿宋" w:eastAsia="仿宋" w:cs="仿宋"/>
          <w:color w:val="auto"/>
          <w:spacing w:val="0"/>
          <w:w w:val="100"/>
          <w:sz w:val="28"/>
          <w:szCs w:val="28"/>
        </w:rPr>
        <w:t>规</w:t>
      </w:r>
      <w:r>
        <w:rPr>
          <w:rFonts w:hint="eastAsia" w:ascii="仿宋" w:hAnsi="仿宋" w:eastAsia="仿宋" w:cs="仿宋"/>
          <w:color w:val="auto"/>
          <w:spacing w:val="2"/>
          <w:w w:val="100"/>
          <w:sz w:val="28"/>
          <w:szCs w:val="28"/>
        </w:rPr>
        <w:t>定进</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辆</w:t>
      </w:r>
      <w:r>
        <w:rPr>
          <w:rFonts w:hint="eastAsia" w:ascii="仿宋" w:hAnsi="仿宋" w:eastAsia="仿宋" w:cs="仿宋"/>
          <w:color w:val="auto"/>
          <w:spacing w:val="2"/>
          <w:w w:val="100"/>
          <w:sz w:val="28"/>
          <w:szCs w:val="28"/>
        </w:rPr>
        <w:t>检查</w:t>
      </w:r>
      <w:r>
        <w:rPr>
          <w:rFonts w:hint="eastAsia" w:ascii="仿宋" w:hAnsi="仿宋" w:eastAsia="仿宋" w:cs="仿宋"/>
          <w:color w:val="auto"/>
          <w:spacing w:val="0"/>
          <w:w w:val="100"/>
          <w:sz w:val="28"/>
          <w:szCs w:val="28"/>
        </w:rPr>
        <w:t>和</w:t>
      </w:r>
      <w:r>
        <w:rPr>
          <w:rFonts w:hint="eastAsia" w:ascii="仿宋" w:hAnsi="仿宋" w:eastAsia="仿宋" w:cs="仿宋"/>
          <w:color w:val="auto"/>
          <w:spacing w:val="2"/>
          <w:w w:val="100"/>
          <w:sz w:val="28"/>
          <w:szCs w:val="28"/>
        </w:rPr>
        <w:t>做</w:t>
      </w:r>
      <w:r>
        <w:rPr>
          <w:rFonts w:hint="eastAsia" w:ascii="仿宋" w:hAnsi="仿宋" w:eastAsia="仿宋" w:cs="仿宋"/>
          <w:color w:val="auto"/>
          <w:spacing w:val="0"/>
          <w:w w:val="100"/>
          <w:sz w:val="28"/>
          <w:szCs w:val="28"/>
        </w:rPr>
        <w:t>好</w:t>
      </w:r>
      <w:r>
        <w:rPr>
          <w:rFonts w:hint="eastAsia" w:ascii="仿宋" w:hAnsi="仿宋" w:eastAsia="仿宋" w:cs="仿宋"/>
          <w:color w:val="auto"/>
          <w:spacing w:val="2"/>
          <w:w w:val="100"/>
          <w:sz w:val="28"/>
          <w:szCs w:val="28"/>
        </w:rPr>
        <w:t>准备</w:t>
      </w:r>
      <w:r>
        <w:rPr>
          <w:rFonts w:hint="eastAsia" w:ascii="仿宋" w:hAnsi="仿宋" w:eastAsia="仿宋" w:cs="仿宋"/>
          <w:color w:val="auto"/>
          <w:spacing w:val="0"/>
          <w:w w:val="100"/>
          <w:sz w:val="28"/>
          <w:szCs w:val="28"/>
        </w:rPr>
        <w:t>工</w:t>
      </w:r>
      <w:r>
        <w:rPr>
          <w:rFonts w:hint="eastAsia" w:ascii="仿宋" w:hAnsi="仿宋" w:eastAsia="仿宋" w:cs="仿宋"/>
          <w:color w:val="auto"/>
          <w:spacing w:val="2"/>
          <w:w w:val="100"/>
          <w:sz w:val="28"/>
          <w:szCs w:val="28"/>
        </w:rPr>
        <w:t>作</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如</w:t>
      </w:r>
      <w:r>
        <w:rPr>
          <w:rFonts w:hint="eastAsia" w:ascii="仿宋" w:hAnsi="仿宋" w:eastAsia="仿宋" w:cs="仿宋"/>
          <w:color w:val="auto"/>
          <w:spacing w:val="0"/>
          <w:w w:val="100"/>
          <w:sz w:val="28"/>
          <w:szCs w:val="28"/>
        </w:rPr>
        <w:t>发</w:t>
      </w:r>
      <w:r>
        <w:rPr>
          <w:rFonts w:hint="eastAsia" w:ascii="仿宋" w:hAnsi="仿宋" w:eastAsia="仿宋" w:cs="仿宋"/>
          <w:color w:val="auto"/>
          <w:spacing w:val="2"/>
          <w:w w:val="100"/>
          <w:sz w:val="28"/>
          <w:szCs w:val="28"/>
        </w:rPr>
        <w:t>现部</w:t>
      </w:r>
      <w:r>
        <w:rPr>
          <w:rFonts w:hint="eastAsia" w:ascii="仿宋" w:hAnsi="仿宋" w:eastAsia="仿宋" w:cs="仿宋"/>
          <w:color w:val="auto"/>
          <w:spacing w:val="0"/>
          <w:w w:val="100"/>
          <w:sz w:val="28"/>
          <w:szCs w:val="28"/>
        </w:rPr>
        <w:t>件</w:t>
      </w:r>
      <w:r>
        <w:rPr>
          <w:rFonts w:hint="eastAsia" w:ascii="仿宋" w:hAnsi="仿宋" w:eastAsia="仿宋" w:cs="仿宋"/>
          <w:color w:val="auto"/>
          <w:spacing w:val="2"/>
          <w:w w:val="100"/>
          <w:sz w:val="28"/>
          <w:szCs w:val="28"/>
        </w:rPr>
        <w:t>有</w:t>
      </w:r>
      <w:r>
        <w:rPr>
          <w:rFonts w:hint="eastAsia" w:ascii="仿宋" w:hAnsi="仿宋" w:eastAsia="仿宋" w:cs="仿宋"/>
          <w:color w:val="auto"/>
          <w:spacing w:val="0"/>
          <w:w w:val="100"/>
          <w:sz w:val="28"/>
          <w:szCs w:val="28"/>
        </w:rPr>
        <w:t>故</w:t>
      </w:r>
      <w:r>
        <w:rPr>
          <w:rFonts w:hint="eastAsia" w:ascii="仿宋" w:hAnsi="仿宋" w:eastAsia="仿宋" w:cs="仿宋"/>
          <w:color w:val="auto"/>
          <w:spacing w:val="2"/>
          <w:w w:val="100"/>
          <w:sz w:val="28"/>
          <w:szCs w:val="28"/>
        </w:rPr>
        <w:t>障时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予</w:t>
      </w:r>
      <w:r>
        <w:rPr>
          <w:rFonts w:hint="eastAsia" w:ascii="仿宋" w:hAnsi="仿宋" w:eastAsia="仿宋" w:cs="仿宋"/>
          <w:color w:val="auto"/>
          <w:spacing w:val="2"/>
          <w:w w:val="100"/>
          <w:sz w:val="28"/>
          <w:szCs w:val="28"/>
        </w:rPr>
        <w:t>排除</w:t>
      </w:r>
      <w:r>
        <w:rPr>
          <w:rFonts w:hint="eastAsia" w:ascii="仿宋" w:hAnsi="仿宋" w:eastAsia="仿宋" w:cs="仿宋"/>
          <w:color w:val="auto"/>
          <w:spacing w:val="0"/>
          <w:w w:val="100"/>
          <w:sz w:val="28"/>
          <w:szCs w:val="28"/>
        </w:rPr>
        <w:t>和修 理</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否</w:t>
      </w:r>
      <w:r>
        <w:rPr>
          <w:rFonts w:hint="eastAsia" w:ascii="仿宋" w:hAnsi="仿宋" w:eastAsia="仿宋" w:cs="仿宋"/>
          <w:color w:val="auto"/>
          <w:spacing w:val="2"/>
          <w:w w:val="100"/>
          <w:sz w:val="28"/>
          <w:szCs w:val="28"/>
        </w:rPr>
        <w:t>则</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出</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w:t>
      </w:r>
    </w:p>
    <w:p w14:paraId="37B2F124">
      <w:pPr>
        <w:keepNext w:val="0"/>
        <w:keepLines w:val="0"/>
        <w:pageBreakBefore w:val="0"/>
        <w:widowControl w:val="0"/>
        <w:kinsoku/>
        <w:wordWrap/>
        <w:overflowPunct/>
        <w:topLinePunct w:val="0"/>
        <w:autoSpaceDE/>
        <w:autoSpaceDN/>
        <w:bidi w:val="0"/>
        <w:adjustRightInd/>
        <w:snapToGrid/>
        <w:spacing w:before="31"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3</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起</w:t>
      </w:r>
      <w:r>
        <w:rPr>
          <w:rFonts w:hint="eastAsia" w:ascii="仿宋" w:hAnsi="仿宋" w:eastAsia="仿宋" w:cs="仿宋"/>
          <w:color w:val="auto"/>
          <w:spacing w:val="0"/>
          <w:w w:val="100"/>
          <w:sz w:val="28"/>
          <w:szCs w:val="28"/>
        </w:rPr>
        <w:t>步</w:t>
      </w:r>
      <w:r>
        <w:rPr>
          <w:rFonts w:hint="eastAsia" w:ascii="仿宋" w:hAnsi="仿宋" w:eastAsia="仿宋" w:cs="仿宋"/>
          <w:color w:val="auto"/>
          <w:spacing w:val="2"/>
          <w:w w:val="100"/>
          <w:sz w:val="28"/>
          <w:szCs w:val="28"/>
        </w:rPr>
        <w:t>和</w:t>
      </w:r>
      <w:r>
        <w:rPr>
          <w:rFonts w:hint="eastAsia" w:ascii="仿宋" w:hAnsi="仿宋" w:eastAsia="仿宋" w:cs="仿宋"/>
          <w:color w:val="auto"/>
          <w:spacing w:val="0"/>
          <w:w w:val="100"/>
          <w:sz w:val="28"/>
          <w:szCs w:val="28"/>
        </w:rPr>
        <w:t>操</w:t>
      </w:r>
      <w:r>
        <w:rPr>
          <w:rFonts w:hint="eastAsia" w:ascii="仿宋" w:hAnsi="仿宋" w:eastAsia="仿宋" w:cs="仿宋"/>
          <w:color w:val="auto"/>
          <w:spacing w:val="2"/>
          <w:w w:val="100"/>
          <w:sz w:val="28"/>
          <w:szCs w:val="28"/>
        </w:rPr>
        <w:t>作</w:t>
      </w:r>
      <w:r>
        <w:rPr>
          <w:rFonts w:hint="eastAsia" w:ascii="仿宋" w:hAnsi="仿宋" w:eastAsia="仿宋" w:cs="仿宋"/>
          <w:color w:val="auto"/>
          <w:spacing w:val="0"/>
          <w:w w:val="100"/>
          <w:sz w:val="28"/>
          <w:szCs w:val="28"/>
        </w:rPr>
        <w:t>工</w:t>
      </w:r>
      <w:r>
        <w:rPr>
          <w:rFonts w:hint="eastAsia" w:ascii="仿宋" w:hAnsi="仿宋" w:eastAsia="仿宋" w:cs="仿宋"/>
          <w:color w:val="auto"/>
          <w:spacing w:val="2"/>
          <w:w w:val="100"/>
          <w:sz w:val="28"/>
          <w:szCs w:val="28"/>
        </w:rPr>
        <w:t>作</w:t>
      </w:r>
      <w:r>
        <w:rPr>
          <w:rFonts w:hint="eastAsia" w:ascii="仿宋" w:hAnsi="仿宋" w:eastAsia="仿宋" w:cs="仿宋"/>
          <w:color w:val="auto"/>
          <w:spacing w:val="0"/>
          <w:w w:val="100"/>
          <w:sz w:val="28"/>
          <w:szCs w:val="28"/>
        </w:rPr>
        <w:t>装</w:t>
      </w:r>
      <w:r>
        <w:rPr>
          <w:rFonts w:hint="eastAsia" w:ascii="仿宋" w:hAnsi="仿宋" w:eastAsia="仿宋" w:cs="仿宋"/>
          <w:color w:val="auto"/>
          <w:spacing w:val="2"/>
          <w:w w:val="100"/>
          <w:sz w:val="28"/>
          <w:szCs w:val="28"/>
        </w:rPr>
        <w:t>置</w:t>
      </w:r>
      <w:r>
        <w:rPr>
          <w:rFonts w:hint="eastAsia" w:ascii="仿宋" w:hAnsi="仿宋" w:eastAsia="仿宋" w:cs="仿宋"/>
          <w:color w:val="auto"/>
          <w:spacing w:val="0"/>
          <w:w w:val="100"/>
          <w:sz w:val="28"/>
          <w:szCs w:val="28"/>
        </w:rPr>
        <w:t>前</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应</w:t>
      </w:r>
      <w:r>
        <w:rPr>
          <w:rFonts w:hint="eastAsia" w:ascii="仿宋" w:hAnsi="仿宋" w:eastAsia="仿宋" w:cs="仿宋"/>
          <w:color w:val="auto"/>
          <w:spacing w:val="2"/>
          <w:w w:val="100"/>
          <w:sz w:val="28"/>
          <w:szCs w:val="28"/>
        </w:rPr>
        <w:t>观</w:t>
      </w:r>
      <w:r>
        <w:rPr>
          <w:rFonts w:hint="eastAsia" w:ascii="仿宋" w:hAnsi="仿宋" w:eastAsia="仿宋" w:cs="仿宋"/>
          <w:color w:val="auto"/>
          <w:spacing w:val="0"/>
          <w:w w:val="100"/>
          <w:sz w:val="28"/>
          <w:szCs w:val="28"/>
        </w:rPr>
        <w:t>察</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辆</w:t>
      </w:r>
      <w:r>
        <w:rPr>
          <w:rFonts w:hint="eastAsia" w:ascii="仿宋" w:hAnsi="仿宋" w:eastAsia="仿宋" w:cs="仿宋"/>
          <w:color w:val="auto"/>
          <w:spacing w:val="2"/>
          <w:w w:val="100"/>
          <w:sz w:val="28"/>
          <w:szCs w:val="28"/>
        </w:rPr>
        <w:t>周</w:t>
      </w:r>
      <w:r>
        <w:rPr>
          <w:rFonts w:hint="eastAsia" w:ascii="仿宋" w:hAnsi="仿宋" w:eastAsia="仿宋" w:cs="仿宋"/>
          <w:color w:val="auto"/>
          <w:spacing w:val="0"/>
          <w:w w:val="100"/>
          <w:sz w:val="28"/>
          <w:szCs w:val="28"/>
        </w:rPr>
        <w:t>围</w:t>
      </w:r>
      <w:r>
        <w:rPr>
          <w:rFonts w:hint="eastAsia" w:ascii="仿宋" w:hAnsi="仿宋" w:eastAsia="仿宋" w:cs="仿宋"/>
          <w:color w:val="auto"/>
          <w:spacing w:val="2"/>
          <w:w w:val="100"/>
          <w:sz w:val="28"/>
          <w:szCs w:val="28"/>
        </w:rPr>
        <w:t>有</w:t>
      </w:r>
      <w:r>
        <w:rPr>
          <w:rFonts w:hint="eastAsia" w:ascii="仿宋" w:hAnsi="仿宋" w:eastAsia="仿宋" w:cs="仿宋"/>
          <w:color w:val="auto"/>
          <w:spacing w:val="0"/>
          <w:w w:val="100"/>
          <w:sz w:val="28"/>
          <w:szCs w:val="28"/>
        </w:rPr>
        <w:t>无</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员</w:t>
      </w:r>
      <w:r>
        <w:rPr>
          <w:rFonts w:hint="eastAsia" w:ascii="仿宋" w:hAnsi="仿宋" w:eastAsia="仿宋" w:cs="仿宋"/>
          <w:color w:val="auto"/>
          <w:spacing w:val="2"/>
          <w:w w:val="100"/>
          <w:sz w:val="28"/>
          <w:szCs w:val="28"/>
        </w:rPr>
        <w:t>和</w:t>
      </w:r>
      <w:r>
        <w:rPr>
          <w:rFonts w:hint="eastAsia" w:ascii="仿宋" w:hAnsi="仿宋" w:eastAsia="仿宋" w:cs="仿宋"/>
          <w:color w:val="auto"/>
          <w:spacing w:val="0"/>
          <w:w w:val="100"/>
          <w:sz w:val="28"/>
          <w:szCs w:val="28"/>
        </w:rPr>
        <w:t>阻</w:t>
      </w:r>
      <w:r>
        <w:rPr>
          <w:rFonts w:hint="eastAsia" w:ascii="仿宋" w:hAnsi="仿宋" w:eastAsia="仿宋" w:cs="仿宋"/>
          <w:color w:val="auto"/>
          <w:spacing w:val="2"/>
          <w:w w:val="100"/>
          <w:sz w:val="28"/>
          <w:szCs w:val="28"/>
        </w:rPr>
        <w:t>碍</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物</w:t>
      </w:r>
      <w:r>
        <w:rPr>
          <w:rFonts w:hint="eastAsia" w:ascii="仿宋" w:hAnsi="仿宋" w:eastAsia="仿宋" w:cs="仿宋"/>
          <w:color w:val="auto"/>
          <w:spacing w:val="0"/>
          <w:w w:val="100"/>
          <w:sz w:val="28"/>
          <w:szCs w:val="28"/>
        </w:rPr>
        <w:t>料</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同</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鸣</w:t>
      </w:r>
      <w:r>
        <w:rPr>
          <w:rFonts w:hint="eastAsia" w:ascii="仿宋" w:hAnsi="仿宋" w:eastAsia="仿宋" w:cs="仿宋"/>
          <w:color w:val="auto"/>
          <w:spacing w:val="2"/>
          <w:w w:val="100"/>
          <w:sz w:val="28"/>
          <w:szCs w:val="28"/>
        </w:rPr>
        <w:t>喇</w:t>
      </w:r>
      <w:r>
        <w:rPr>
          <w:rFonts w:hint="eastAsia" w:ascii="仿宋" w:hAnsi="仿宋" w:eastAsia="仿宋" w:cs="仿宋"/>
          <w:color w:val="auto"/>
          <w:spacing w:val="0"/>
          <w:w w:val="100"/>
          <w:sz w:val="28"/>
          <w:szCs w:val="28"/>
        </w:rPr>
        <w:t>叭</w:t>
      </w:r>
      <w:r>
        <w:rPr>
          <w:rFonts w:hint="eastAsia" w:ascii="仿宋" w:hAnsi="仿宋" w:eastAsia="仿宋" w:cs="仿宋"/>
          <w:color w:val="auto"/>
          <w:spacing w:val="2"/>
          <w:w w:val="100"/>
          <w:sz w:val="28"/>
          <w:szCs w:val="28"/>
        </w:rPr>
        <w:t>发</w:t>
      </w:r>
      <w:r>
        <w:rPr>
          <w:rFonts w:hint="eastAsia" w:ascii="仿宋" w:hAnsi="仿宋" w:eastAsia="仿宋" w:cs="仿宋"/>
          <w:color w:val="auto"/>
          <w:spacing w:val="0"/>
          <w:w w:val="100"/>
          <w:sz w:val="28"/>
          <w:szCs w:val="28"/>
        </w:rPr>
        <w:t>出</w:t>
      </w:r>
      <w:r>
        <w:rPr>
          <w:rFonts w:hint="eastAsia" w:ascii="仿宋" w:hAnsi="仿宋" w:eastAsia="仿宋" w:cs="仿宋"/>
          <w:color w:val="auto"/>
          <w:spacing w:val="2"/>
          <w:w w:val="100"/>
          <w:sz w:val="28"/>
          <w:szCs w:val="28"/>
        </w:rPr>
        <w:t>信</w:t>
      </w:r>
      <w:r>
        <w:rPr>
          <w:rFonts w:hint="eastAsia" w:ascii="仿宋" w:hAnsi="仿宋" w:eastAsia="仿宋" w:cs="仿宋"/>
          <w:color w:val="auto"/>
          <w:spacing w:val="0"/>
          <w:w w:val="100"/>
          <w:sz w:val="28"/>
          <w:szCs w:val="28"/>
        </w:rPr>
        <w:t>号。</w:t>
      </w:r>
    </w:p>
    <w:p w14:paraId="4447F023">
      <w:pPr>
        <w:keepNext w:val="0"/>
        <w:keepLines w:val="0"/>
        <w:pageBreakBefore w:val="0"/>
        <w:widowControl w:val="0"/>
        <w:kinsoku/>
        <w:wordWrap/>
        <w:overflowPunct/>
        <w:topLinePunct w:val="0"/>
        <w:autoSpaceDE/>
        <w:autoSpaceDN/>
        <w:bidi w:val="0"/>
        <w:adjustRightInd/>
        <w:snapToGrid/>
        <w:spacing w:before="91"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4</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发</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运</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严</w:t>
      </w:r>
      <w:r>
        <w:rPr>
          <w:rFonts w:hint="eastAsia" w:ascii="仿宋" w:hAnsi="仿宋" w:eastAsia="仿宋" w:cs="仿宋"/>
          <w:color w:val="auto"/>
          <w:spacing w:val="2"/>
          <w:w w:val="100"/>
          <w:sz w:val="28"/>
          <w:szCs w:val="28"/>
        </w:rPr>
        <w:t>禁</w:t>
      </w:r>
      <w:r>
        <w:rPr>
          <w:rFonts w:hint="eastAsia" w:ascii="仿宋" w:hAnsi="仿宋" w:eastAsia="仿宋" w:cs="仿宋"/>
          <w:color w:val="auto"/>
          <w:spacing w:val="0"/>
          <w:w w:val="100"/>
          <w:sz w:val="28"/>
          <w:szCs w:val="28"/>
        </w:rPr>
        <w:t>站</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车</w:t>
      </w:r>
      <w:r>
        <w:rPr>
          <w:rFonts w:hint="eastAsia" w:ascii="仿宋" w:hAnsi="仿宋" w:eastAsia="仿宋" w:cs="仿宋"/>
          <w:color w:val="auto"/>
          <w:spacing w:val="2"/>
          <w:w w:val="100"/>
          <w:sz w:val="28"/>
          <w:szCs w:val="28"/>
        </w:rPr>
        <w:t>子</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前</w:t>
      </w:r>
      <w:r>
        <w:rPr>
          <w:rFonts w:hint="eastAsia" w:ascii="仿宋" w:hAnsi="仿宋" w:eastAsia="仿宋" w:cs="仿宋"/>
          <w:color w:val="auto"/>
          <w:spacing w:val="0"/>
          <w:w w:val="100"/>
          <w:sz w:val="28"/>
          <w:szCs w:val="28"/>
        </w:rPr>
        <w:t>后</w:t>
      </w:r>
      <w:r>
        <w:rPr>
          <w:rFonts w:hint="eastAsia" w:ascii="仿宋" w:hAnsi="仿宋" w:eastAsia="仿宋" w:cs="仿宋"/>
          <w:color w:val="auto"/>
          <w:spacing w:val="2"/>
          <w:w w:val="100"/>
          <w:sz w:val="28"/>
          <w:szCs w:val="28"/>
        </w:rPr>
        <w:t>轮</w:t>
      </w:r>
      <w:r>
        <w:rPr>
          <w:rFonts w:hint="eastAsia" w:ascii="仿宋" w:hAnsi="仿宋" w:eastAsia="仿宋" w:cs="仿宋"/>
          <w:color w:val="auto"/>
          <w:spacing w:val="0"/>
          <w:w w:val="100"/>
          <w:sz w:val="28"/>
          <w:szCs w:val="28"/>
        </w:rPr>
        <w:t>胎</w:t>
      </w:r>
      <w:r>
        <w:rPr>
          <w:rFonts w:hint="eastAsia" w:ascii="仿宋" w:hAnsi="仿宋" w:eastAsia="仿宋" w:cs="仿宋"/>
          <w:color w:val="auto"/>
          <w:spacing w:val="2"/>
          <w:w w:val="100"/>
          <w:sz w:val="28"/>
          <w:szCs w:val="28"/>
        </w:rPr>
        <w:t>之</w:t>
      </w:r>
      <w:r>
        <w:rPr>
          <w:rFonts w:hint="eastAsia" w:ascii="仿宋" w:hAnsi="仿宋" w:eastAsia="仿宋" w:cs="仿宋"/>
          <w:color w:val="auto"/>
          <w:spacing w:val="0"/>
          <w:w w:val="100"/>
          <w:sz w:val="28"/>
          <w:szCs w:val="28"/>
        </w:rPr>
        <w:t>间</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大</w:t>
      </w:r>
      <w:r>
        <w:rPr>
          <w:rFonts w:hint="eastAsia" w:ascii="仿宋" w:hAnsi="仿宋" w:eastAsia="仿宋" w:cs="仿宋"/>
          <w:color w:val="auto"/>
          <w:spacing w:val="2"/>
          <w:w w:val="100"/>
          <w:sz w:val="28"/>
          <w:szCs w:val="28"/>
        </w:rPr>
        <w:t>臂</w:t>
      </w:r>
      <w:r>
        <w:rPr>
          <w:rFonts w:hint="eastAsia" w:ascii="仿宋" w:hAnsi="仿宋" w:eastAsia="仿宋" w:cs="仿宋"/>
          <w:color w:val="auto"/>
          <w:spacing w:val="0"/>
          <w:w w:val="100"/>
          <w:sz w:val="28"/>
          <w:szCs w:val="28"/>
        </w:rPr>
        <w:t>与</w:t>
      </w:r>
      <w:r>
        <w:rPr>
          <w:rFonts w:hint="eastAsia" w:ascii="仿宋" w:hAnsi="仿宋" w:eastAsia="仿宋" w:cs="仿宋"/>
          <w:color w:val="auto"/>
          <w:spacing w:val="2"/>
          <w:w w:val="100"/>
          <w:sz w:val="28"/>
          <w:szCs w:val="28"/>
        </w:rPr>
        <w:t>前</w:t>
      </w:r>
      <w:r>
        <w:rPr>
          <w:rFonts w:hint="eastAsia" w:ascii="仿宋" w:hAnsi="仿宋" w:eastAsia="仿宋" w:cs="仿宋"/>
          <w:color w:val="auto"/>
          <w:spacing w:val="0"/>
          <w:w w:val="100"/>
          <w:sz w:val="28"/>
          <w:szCs w:val="28"/>
        </w:rPr>
        <w:t>车</w:t>
      </w:r>
      <w:r>
        <w:rPr>
          <w:rFonts w:hint="eastAsia" w:ascii="仿宋" w:hAnsi="仿宋" w:eastAsia="仿宋" w:cs="仿宋"/>
          <w:color w:val="auto"/>
          <w:spacing w:val="2"/>
          <w:w w:val="100"/>
          <w:sz w:val="28"/>
          <w:szCs w:val="28"/>
        </w:rPr>
        <w:t>架</w:t>
      </w:r>
      <w:r>
        <w:rPr>
          <w:rFonts w:hint="eastAsia" w:ascii="仿宋" w:hAnsi="仿宋" w:eastAsia="仿宋" w:cs="仿宋"/>
          <w:color w:val="auto"/>
          <w:spacing w:val="0"/>
          <w:w w:val="100"/>
          <w:sz w:val="28"/>
          <w:szCs w:val="28"/>
        </w:rPr>
        <w:t>之</w:t>
      </w:r>
      <w:r>
        <w:rPr>
          <w:rFonts w:hint="eastAsia" w:ascii="仿宋" w:hAnsi="仿宋" w:eastAsia="仿宋" w:cs="仿宋"/>
          <w:color w:val="auto"/>
          <w:spacing w:val="2"/>
          <w:w w:val="100"/>
          <w:sz w:val="28"/>
          <w:szCs w:val="28"/>
        </w:rPr>
        <w:t>间</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或</w:t>
      </w:r>
      <w:r>
        <w:rPr>
          <w:rFonts w:hint="eastAsia" w:ascii="仿宋" w:hAnsi="仿宋" w:eastAsia="仿宋" w:cs="仿宋"/>
          <w:color w:val="auto"/>
          <w:spacing w:val="0"/>
          <w:w w:val="100"/>
          <w:sz w:val="28"/>
          <w:szCs w:val="28"/>
        </w:rPr>
        <w:t>站</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0"/>
          <w:w w:val="100"/>
          <w:sz w:val="28"/>
          <w:szCs w:val="28"/>
        </w:rPr>
        <w:t>里。</w:t>
      </w:r>
    </w:p>
    <w:p w14:paraId="062C292E">
      <w:pPr>
        <w:keepNext w:val="0"/>
        <w:keepLines w:val="0"/>
        <w:pageBreakBefore w:val="0"/>
        <w:widowControl w:val="0"/>
        <w:kinsoku/>
        <w:wordWrap/>
        <w:overflowPunct/>
        <w:topLinePunct w:val="0"/>
        <w:autoSpaceDE/>
        <w:autoSpaceDN/>
        <w:bidi w:val="0"/>
        <w:adjustRightInd/>
        <w:snapToGrid/>
        <w:spacing w:before="88" w:after="0" w:line="500" w:lineRule="exact"/>
        <w:ind w:right="148"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5</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0"/>
          <w:w w:val="100"/>
          <w:sz w:val="28"/>
          <w:szCs w:val="28"/>
        </w:rPr>
        <w:t>发</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机</w:t>
      </w:r>
      <w:r>
        <w:rPr>
          <w:rFonts w:hint="eastAsia" w:ascii="仿宋" w:hAnsi="仿宋" w:eastAsia="仿宋" w:cs="仿宋"/>
          <w:color w:val="auto"/>
          <w:spacing w:val="2"/>
          <w:w w:val="100"/>
          <w:sz w:val="28"/>
          <w:szCs w:val="28"/>
        </w:rPr>
        <w:t>在运</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不</w:t>
      </w:r>
      <w:r>
        <w:rPr>
          <w:rFonts w:hint="eastAsia" w:ascii="仿宋" w:hAnsi="仿宋" w:eastAsia="仿宋" w:cs="仿宋"/>
          <w:color w:val="auto"/>
          <w:spacing w:val="0"/>
          <w:w w:val="100"/>
          <w:sz w:val="28"/>
          <w:szCs w:val="28"/>
        </w:rPr>
        <w:t>允</w:t>
      </w:r>
      <w:r>
        <w:rPr>
          <w:rFonts w:hint="eastAsia" w:ascii="仿宋" w:hAnsi="仿宋" w:eastAsia="仿宋" w:cs="仿宋"/>
          <w:color w:val="auto"/>
          <w:spacing w:val="2"/>
          <w:w w:val="100"/>
          <w:sz w:val="28"/>
          <w:szCs w:val="28"/>
        </w:rPr>
        <w:t>许去</w:t>
      </w:r>
      <w:r>
        <w:rPr>
          <w:rFonts w:hint="eastAsia" w:ascii="仿宋" w:hAnsi="仿宋" w:eastAsia="仿宋" w:cs="仿宋"/>
          <w:color w:val="auto"/>
          <w:spacing w:val="0"/>
          <w:w w:val="100"/>
          <w:sz w:val="28"/>
          <w:szCs w:val="28"/>
        </w:rPr>
        <w:t>检</w:t>
      </w:r>
      <w:r>
        <w:rPr>
          <w:rFonts w:hint="eastAsia" w:ascii="仿宋" w:hAnsi="仿宋" w:eastAsia="仿宋" w:cs="仿宋"/>
          <w:color w:val="auto"/>
          <w:spacing w:val="2"/>
          <w:w w:val="100"/>
          <w:sz w:val="28"/>
          <w:szCs w:val="28"/>
        </w:rPr>
        <w:t>修</w:t>
      </w:r>
      <w:r>
        <w:rPr>
          <w:rFonts w:hint="eastAsia" w:ascii="仿宋" w:hAnsi="仿宋" w:eastAsia="仿宋" w:cs="仿宋"/>
          <w:color w:val="auto"/>
          <w:spacing w:val="0"/>
          <w:w w:val="100"/>
          <w:sz w:val="28"/>
          <w:szCs w:val="28"/>
        </w:rPr>
        <w:t>和</w:t>
      </w:r>
      <w:r>
        <w:rPr>
          <w:rFonts w:hint="eastAsia" w:ascii="仿宋" w:hAnsi="仿宋" w:eastAsia="仿宋" w:cs="仿宋"/>
          <w:color w:val="auto"/>
          <w:spacing w:val="2"/>
          <w:w w:val="100"/>
          <w:sz w:val="28"/>
          <w:szCs w:val="28"/>
        </w:rPr>
        <w:t>保养</w:t>
      </w:r>
      <w:r>
        <w:rPr>
          <w:rFonts w:hint="eastAsia" w:ascii="仿宋" w:hAnsi="仿宋" w:eastAsia="仿宋" w:cs="仿宋"/>
          <w:color w:val="auto"/>
          <w:spacing w:val="0"/>
          <w:w w:val="100"/>
          <w:sz w:val="28"/>
          <w:szCs w:val="28"/>
        </w:rPr>
        <w:t>车</w:t>
      </w:r>
      <w:r>
        <w:rPr>
          <w:rFonts w:hint="eastAsia" w:ascii="仿宋" w:hAnsi="仿宋" w:eastAsia="仿宋" w:cs="仿宋"/>
          <w:color w:val="auto"/>
          <w:spacing w:val="2"/>
          <w:w w:val="100"/>
          <w:sz w:val="28"/>
          <w:szCs w:val="28"/>
        </w:rPr>
        <w:t>子</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确实</w:t>
      </w:r>
      <w:r>
        <w:rPr>
          <w:rFonts w:hint="eastAsia" w:ascii="仿宋" w:hAnsi="仿宋" w:eastAsia="仿宋" w:cs="仿宋"/>
          <w:color w:val="auto"/>
          <w:spacing w:val="0"/>
          <w:w w:val="100"/>
          <w:sz w:val="28"/>
          <w:szCs w:val="28"/>
        </w:rPr>
        <w:t>需</w:t>
      </w:r>
      <w:r>
        <w:rPr>
          <w:rFonts w:hint="eastAsia" w:ascii="仿宋" w:hAnsi="仿宋" w:eastAsia="仿宋" w:cs="仿宋"/>
          <w:color w:val="auto"/>
          <w:spacing w:val="2"/>
          <w:w w:val="100"/>
          <w:sz w:val="28"/>
          <w:szCs w:val="28"/>
        </w:rPr>
        <w:t>要</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发</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机运</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情</w:t>
      </w:r>
      <w:r>
        <w:rPr>
          <w:rFonts w:hint="eastAsia" w:ascii="仿宋" w:hAnsi="仿宋" w:eastAsia="仿宋" w:cs="仿宋"/>
          <w:color w:val="auto"/>
          <w:spacing w:val="0"/>
          <w:w w:val="100"/>
          <w:sz w:val="28"/>
          <w:szCs w:val="28"/>
        </w:rPr>
        <w:t>况</w:t>
      </w:r>
      <w:r>
        <w:rPr>
          <w:rFonts w:hint="eastAsia" w:ascii="仿宋" w:hAnsi="仿宋" w:eastAsia="仿宋" w:cs="仿宋"/>
          <w:color w:val="auto"/>
          <w:spacing w:val="2"/>
          <w:w w:val="100"/>
          <w:sz w:val="28"/>
          <w:szCs w:val="28"/>
        </w:rPr>
        <w:t>下进</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检</w:t>
      </w:r>
      <w:r>
        <w:rPr>
          <w:rFonts w:hint="eastAsia" w:ascii="仿宋" w:hAnsi="仿宋" w:eastAsia="仿宋" w:cs="仿宋"/>
          <w:color w:val="auto"/>
          <w:spacing w:val="0"/>
          <w:w w:val="100"/>
          <w:sz w:val="28"/>
          <w:szCs w:val="28"/>
        </w:rPr>
        <w:t>查</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车上 必</w:t>
      </w:r>
      <w:r>
        <w:rPr>
          <w:rFonts w:hint="eastAsia" w:ascii="仿宋" w:hAnsi="仿宋" w:eastAsia="仿宋" w:cs="仿宋"/>
          <w:color w:val="auto"/>
          <w:spacing w:val="2"/>
          <w:w w:val="100"/>
          <w:sz w:val="28"/>
          <w:szCs w:val="28"/>
        </w:rPr>
        <w:t>须</w:t>
      </w:r>
      <w:r>
        <w:rPr>
          <w:rFonts w:hint="eastAsia" w:ascii="仿宋" w:hAnsi="仿宋" w:eastAsia="仿宋" w:cs="仿宋"/>
          <w:color w:val="auto"/>
          <w:spacing w:val="0"/>
          <w:w w:val="100"/>
          <w:sz w:val="28"/>
          <w:szCs w:val="28"/>
        </w:rPr>
        <w:t>有</w:t>
      </w:r>
      <w:r>
        <w:rPr>
          <w:rFonts w:hint="eastAsia" w:ascii="仿宋" w:hAnsi="仿宋" w:eastAsia="仿宋" w:cs="仿宋"/>
          <w:color w:val="auto"/>
          <w:spacing w:val="2"/>
          <w:w w:val="100"/>
          <w:sz w:val="28"/>
          <w:szCs w:val="28"/>
        </w:rPr>
        <w:t>驾</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员</w:t>
      </w:r>
      <w:r>
        <w:rPr>
          <w:rFonts w:hint="eastAsia" w:ascii="仿宋" w:hAnsi="仿宋" w:eastAsia="仿宋" w:cs="仿宋"/>
          <w:color w:val="auto"/>
          <w:spacing w:val="0"/>
          <w:w w:val="100"/>
          <w:sz w:val="28"/>
          <w:szCs w:val="28"/>
        </w:rPr>
        <w:t>监</w:t>
      </w:r>
      <w:r>
        <w:rPr>
          <w:rFonts w:hint="eastAsia" w:ascii="仿宋" w:hAnsi="仿宋" w:eastAsia="仿宋" w:cs="仿宋"/>
          <w:color w:val="auto"/>
          <w:spacing w:val="2"/>
          <w:w w:val="100"/>
          <w:sz w:val="28"/>
          <w:szCs w:val="28"/>
        </w:rPr>
        <w:t>护</w:t>
      </w:r>
      <w:r>
        <w:rPr>
          <w:rFonts w:hint="eastAsia" w:ascii="仿宋" w:hAnsi="仿宋" w:eastAsia="仿宋" w:cs="仿宋"/>
          <w:color w:val="auto"/>
          <w:spacing w:val="0"/>
          <w:w w:val="100"/>
          <w:sz w:val="28"/>
          <w:szCs w:val="28"/>
        </w:rPr>
        <w:t>。</w:t>
      </w:r>
    </w:p>
    <w:p w14:paraId="162DF743">
      <w:pPr>
        <w:keepNext w:val="0"/>
        <w:keepLines w:val="0"/>
        <w:pageBreakBefore w:val="0"/>
        <w:widowControl w:val="0"/>
        <w:kinsoku/>
        <w:wordWrap/>
        <w:overflowPunct/>
        <w:topLinePunct w:val="0"/>
        <w:autoSpaceDE/>
        <w:autoSpaceDN/>
        <w:bidi w:val="0"/>
        <w:adjustRightInd/>
        <w:snapToGrid/>
        <w:spacing w:before="29"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6</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防</w:t>
      </w:r>
      <w:r>
        <w:rPr>
          <w:rFonts w:hint="eastAsia" w:ascii="仿宋" w:hAnsi="仿宋" w:eastAsia="仿宋" w:cs="仿宋"/>
          <w:color w:val="auto"/>
          <w:spacing w:val="0"/>
          <w:w w:val="100"/>
          <w:sz w:val="28"/>
          <w:szCs w:val="28"/>
        </w:rPr>
        <w:t>爆</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载</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开</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禁</w:t>
      </w:r>
      <w:r>
        <w:rPr>
          <w:rFonts w:hint="eastAsia" w:ascii="仿宋" w:hAnsi="仿宋" w:eastAsia="仿宋" w:cs="仿宋"/>
          <w:color w:val="auto"/>
          <w:spacing w:val="0"/>
          <w:w w:val="100"/>
          <w:sz w:val="28"/>
          <w:szCs w:val="28"/>
        </w:rPr>
        <w:t>止</w:t>
      </w:r>
      <w:r>
        <w:rPr>
          <w:rFonts w:hint="eastAsia" w:ascii="仿宋" w:hAnsi="仿宋" w:eastAsia="仿宋" w:cs="仿宋"/>
          <w:color w:val="auto"/>
          <w:spacing w:val="2"/>
          <w:w w:val="100"/>
          <w:sz w:val="28"/>
          <w:szCs w:val="28"/>
        </w:rPr>
        <w:t>任</w:t>
      </w:r>
      <w:r>
        <w:rPr>
          <w:rFonts w:hint="eastAsia" w:ascii="仿宋" w:hAnsi="仿宋" w:eastAsia="仿宋" w:cs="仿宋"/>
          <w:color w:val="auto"/>
          <w:spacing w:val="0"/>
          <w:w w:val="100"/>
          <w:sz w:val="28"/>
          <w:szCs w:val="28"/>
        </w:rPr>
        <w:t>何</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上</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下</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w:t>
      </w:r>
    </w:p>
    <w:p w14:paraId="39F133C2">
      <w:pPr>
        <w:keepNext w:val="0"/>
        <w:keepLines w:val="0"/>
        <w:pageBreakBefore w:val="0"/>
        <w:widowControl w:val="0"/>
        <w:kinsoku/>
        <w:wordWrap/>
        <w:overflowPunct/>
        <w:topLinePunct w:val="0"/>
        <w:autoSpaceDE/>
        <w:autoSpaceDN/>
        <w:bidi w:val="0"/>
        <w:adjustRightInd/>
        <w:snapToGrid/>
        <w:spacing w:before="88"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7</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防</w:t>
      </w:r>
      <w:r>
        <w:rPr>
          <w:rFonts w:hint="eastAsia" w:ascii="仿宋" w:hAnsi="仿宋" w:eastAsia="仿宋" w:cs="仿宋"/>
          <w:color w:val="auto"/>
          <w:spacing w:val="0"/>
          <w:w w:val="100"/>
          <w:sz w:val="28"/>
          <w:szCs w:val="28"/>
        </w:rPr>
        <w:t>爆</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载</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开</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除</w:t>
      </w:r>
      <w:r>
        <w:rPr>
          <w:rFonts w:hint="eastAsia" w:ascii="仿宋" w:hAnsi="仿宋" w:eastAsia="仿宋" w:cs="仿宋"/>
          <w:color w:val="auto"/>
          <w:spacing w:val="0"/>
          <w:w w:val="100"/>
          <w:sz w:val="28"/>
          <w:szCs w:val="28"/>
        </w:rPr>
        <w:t>驾</w:t>
      </w:r>
      <w:r>
        <w:rPr>
          <w:rFonts w:hint="eastAsia" w:ascii="仿宋" w:hAnsi="仿宋" w:eastAsia="仿宋" w:cs="仿宋"/>
          <w:color w:val="auto"/>
          <w:spacing w:val="2"/>
          <w:w w:val="100"/>
          <w:sz w:val="28"/>
          <w:szCs w:val="28"/>
        </w:rPr>
        <w:t>驶</w:t>
      </w:r>
      <w:r>
        <w:rPr>
          <w:rFonts w:hint="eastAsia" w:ascii="仿宋" w:hAnsi="仿宋" w:eastAsia="仿宋" w:cs="仿宋"/>
          <w:color w:val="auto"/>
          <w:spacing w:val="0"/>
          <w:w w:val="100"/>
          <w:sz w:val="28"/>
          <w:szCs w:val="28"/>
        </w:rPr>
        <w:t>室</w:t>
      </w:r>
      <w:r>
        <w:rPr>
          <w:rFonts w:hint="eastAsia" w:ascii="仿宋" w:hAnsi="仿宋" w:eastAsia="仿宋" w:cs="仿宋"/>
          <w:color w:val="auto"/>
          <w:spacing w:val="2"/>
          <w:w w:val="100"/>
          <w:sz w:val="28"/>
          <w:szCs w:val="28"/>
        </w:rPr>
        <w:t>以</w:t>
      </w:r>
      <w:r>
        <w:rPr>
          <w:rFonts w:hint="eastAsia" w:ascii="仿宋" w:hAnsi="仿宋" w:eastAsia="仿宋" w:cs="仿宋"/>
          <w:color w:val="auto"/>
          <w:spacing w:val="0"/>
          <w:w w:val="100"/>
          <w:sz w:val="28"/>
          <w:szCs w:val="28"/>
        </w:rPr>
        <w:t>外</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任</w:t>
      </w:r>
      <w:r>
        <w:rPr>
          <w:rFonts w:hint="eastAsia" w:ascii="仿宋" w:hAnsi="仿宋" w:eastAsia="仿宋" w:cs="仿宋"/>
          <w:color w:val="auto"/>
          <w:spacing w:val="2"/>
          <w:w w:val="100"/>
          <w:sz w:val="28"/>
          <w:szCs w:val="28"/>
        </w:rPr>
        <w:t>何</w:t>
      </w:r>
      <w:r>
        <w:rPr>
          <w:rFonts w:hint="eastAsia" w:ascii="仿宋" w:hAnsi="仿宋" w:eastAsia="仿宋" w:cs="仿宋"/>
          <w:color w:val="auto"/>
          <w:spacing w:val="0"/>
          <w:w w:val="100"/>
          <w:sz w:val="28"/>
          <w:szCs w:val="28"/>
        </w:rPr>
        <w:t>地</w:t>
      </w:r>
      <w:r>
        <w:rPr>
          <w:rFonts w:hint="eastAsia" w:ascii="仿宋" w:hAnsi="仿宋" w:eastAsia="仿宋" w:cs="仿宋"/>
          <w:color w:val="auto"/>
          <w:spacing w:val="2"/>
          <w:w w:val="100"/>
          <w:sz w:val="28"/>
          <w:szCs w:val="28"/>
        </w:rPr>
        <w:t>方</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得</w:t>
      </w:r>
      <w:r>
        <w:rPr>
          <w:rFonts w:hint="eastAsia" w:ascii="仿宋" w:hAnsi="仿宋" w:eastAsia="仿宋" w:cs="仿宋"/>
          <w:color w:val="auto"/>
          <w:spacing w:val="0"/>
          <w:w w:val="100"/>
          <w:sz w:val="28"/>
          <w:szCs w:val="28"/>
        </w:rPr>
        <w:t>乘</w:t>
      </w:r>
      <w:r>
        <w:rPr>
          <w:rFonts w:hint="eastAsia" w:ascii="仿宋" w:hAnsi="仿宋" w:eastAsia="仿宋" w:cs="仿宋"/>
          <w:color w:val="auto"/>
          <w:spacing w:val="2"/>
          <w:w w:val="100"/>
          <w:sz w:val="28"/>
          <w:szCs w:val="28"/>
        </w:rPr>
        <w:t>坐</w:t>
      </w:r>
      <w:r>
        <w:rPr>
          <w:rFonts w:hint="eastAsia" w:ascii="仿宋" w:hAnsi="仿宋" w:eastAsia="仿宋" w:cs="仿宋"/>
          <w:color w:val="auto"/>
          <w:spacing w:val="0"/>
          <w:w w:val="100"/>
          <w:sz w:val="28"/>
          <w:szCs w:val="28"/>
        </w:rPr>
        <w:t>或</w:t>
      </w:r>
      <w:r>
        <w:rPr>
          <w:rFonts w:hint="eastAsia" w:ascii="仿宋" w:hAnsi="仿宋" w:eastAsia="仿宋" w:cs="仿宋"/>
          <w:color w:val="auto"/>
          <w:spacing w:val="2"/>
          <w:w w:val="100"/>
          <w:sz w:val="28"/>
          <w:szCs w:val="28"/>
        </w:rPr>
        <w:t>站</w:t>
      </w:r>
      <w:r>
        <w:rPr>
          <w:rFonts w:hint="eastAsia" w:ascii="仿宋" w:hAnsi="仿宋" w:eastAsia="仿宋" w:cs="仿宋"/>
          <w:color w:val="auto"/>
          <w:spacing w:val="0"/>
          <w:w w:val="100"/>
          <w:sz w:val="28"/>
          <w:szCs w:val="28"/>
        </w:rPr>
        <w:t>立</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员</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允</w:t>
      </w:r>
      <w:r>
        <w:rPr>
          <w:rFonts w:hint="eastAsia" w:ascii="仿宋" w:hAnsi="仿宋" w:eastAsia="仿宋" w:cs="仿宋"/>
          <w:color w:val="auto"/>
          <w:spacing w:val="0"/>
          <w:w w:val="100"/>
          <w:sz w:val="28"/>
          <w:szCs w:val="28"/>
        </w:rPr>
        <w:t>许</w:t>
      </w:r>
      <w:r>
        <w:rPr>
          <w:rFonts w:hint="eastAsia" w:ascii="仿宋" w:hAnsi="仿宋" w:eastAsia="仿宋" w:cs="仿宋"/>
          <w:color w:val="auto"/>
          <w:spacing w:val="2"/>
          <w:w w:val="100"/>
          <w:sz w:val="28"/>
          <w:szCs w:val="28"/>
        </w:rPr>
        <w:t>乘</w:t>
      </w:r>
      <w:r>
        <w:rPr>
          <w:rFonts w:hint="eastAsia" w:ascii="仿宋" w:hAnsi="仿宋" w:eastAsia="仿宋" w:cs="仿宋"/>
          <w:color w:val="auto"/>
          <w:spacing w:val="0"/>
          <w:w w:val="100"/>
          <w:sz w:val="28"/>
          <w:szCs w:val="28"/>
        </w:rPr>
        <w:t>坐</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3"/>
          <w:w w:val="100"/>
          <w:sz w:val="28"/>
          <w:szCs w:val="28"/>
        </w:rPr>
        <w:t>内</w:t>
      </w:r>
      <w:r>
        <w:rPr>
          <w:rFonts w:hint="eastAsia" w:ascii="仿宋" w:hAnsi="仿宋" w:eastAsia="仿宋" w:cs="仿宋"/>
          <w:color w:val="auto"/>
          <w:spacing w:val="0"/>
          <w:w w:val="100"/>
          <w:sz w:val="28"/>
          <w:szCs w:val="28"/>
        </w:rPr>
        <w:t>。</w:t>
      </w:r>
    </w:p>
    <w:p w14:paraId="0048C7A9">
      <w:pPr>
        <w:keepNext w:val="0"/>
        <w:keepLines w:val="0"/>
        <w:pageBreakBefore w:val="0"/>
        <w:widowControl w:val="0"/>
        <w:kinsoku/>
        <w:wordWrap/>
        <w:overflowPunct/>
        <w:topLinePunct w:val="0"/>
        <w:autoSpaceDE/>
        <w:autoSpaceDN/>
        <w:bidi w:val="0"/>
        <w:adjustRightInd/>
        <w:snapToGrid/>
        <w:spacing w:before="91" w:after="0" w:line="500" w:lineRule="exact"/>
        <w:ind w:right="115"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8</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防</w:t>
      </w:r>
      <w:r>
        <w:rPr>
          <w:rFonts w:hint="eastAsia" w:ascii="仿宋" w:hAnsi="仿宋" w:eastAsia="仿宋" w:cs="仿宋"/>
          <w:color w:val="auto"/>
          <w:spacing w:val="0"/>
          <w:w w:val="100"/>
          <w:sz w:val="28"/>
          <w:szCs w:val="28"/>
        </w:rPr>
        <w:t>爆</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载</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行</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避</w:t>
      </w:r>
      <w:r>
        <w:rPr>
          <w:rFonts w:hint="eastAsia" w:ascii="仿宋" w:hAnsi="仿宋" w:eastAsia="仿宋" w:cs="仿宋"/>
          <w:color w:val="auto"/>
          <w:spacing w:val="2"/>
          <w:w w:val="100"/>
          <w:sz w:val="28"/>
          <w:szCs w:val="28"/>
        </w:rPr>
        <w:t>免</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适</w:t>
      </w:r>
      <w:r>
        <w:rPr>
          <w:rFonts w:hint="eastAsia" w:ascii="仿宋" w:hAnsi="仿宋" w:eastAsia="仿宋" w:cs="仿宋"/>
          <w:color w:val="auto"/>
          <w:spacing w:val="0"/>
          <w:w w:val="100"/>
          <w:sz w:val="28"/>
          <w:szCs w:val="28"/>
        </w:rPr>
        <w:t>当</w:t>
      </w:r>
      <w:r>
        <w:rPr>
          <w:rFonts w:hint="eastAsia" w:ascii="仿宋" w:hAnsi="仿宋" w:eastAsia="仿宋" w:cs="仿宋"/>
          <w:color w:val="auto"/>
          <w:spacing w:val="2"/>
          <w:w w:val="100"/>
          <w:sz w:val="28"/>
          <w:szCs w:val="28"/>
        </w:rPr>
        <w:t>的</w:t>
      </w:r>
      <w:r>
        <w:rPr>
          <w:rFonts w:hint="eastAsia" w:ascii="仿宋" w:hAnsi="仿宋" w:eastAsia="仿宋" w:cs="仿宋"/>
          <w:color w:val="auto"/>
          <w:spacing w:val="0"/>
          <w:w w:val="100"/>
          <w:sz w:val="28"/>
          <w:szCs w:val="28"/>
        </w:rPr>
        <w:t>高</w:t>
      </w:r>
      <w:r>
        <w:rPr>
          <w:rFonts w:hint="eastAsia" w:ascii="仿宋" w:hAnsi="仿宋" w:eastAsia="仿宋" w:cs="仿宋"/>
          <w:color w:val="auto"/>
          <w:spacing w:val="2"/>
          <w:w w:val="100"/>
          <w:sz w:val="28"/>
          <w:szCs w:val="28"/>
        </w:rPr>
        <w:t>速</w:t>
      </w:r>
      <w:r>
        <w:rPr>
          <w:rFonts w:hint="eastAsia" w:ascii="仿宋" w:hAnsi="仿宋" w:eastAsia="仿宋" w:cs="仿宋"/>
          <w:color w:val="auto"/>
          <w:spacing w:val="0"/>
          <w:w w:val="100"/>
          <w:sz w:val="28"/>
          <w:szCs w:val="28"/>
        </w:rPr>
        <w:t>与</w:t>
      </w:r>
      <w:r>
        <w:rPr>
          <w:rFonts w:hint="eastAsia" w:ascii="仿宋" w:hAnsi="仿宋" w:eastAsia="仿宋" w:cs="仿宋"/>
          <w:color w:val="auto"/>
          <w:spacing w:val="2"/>
          <w:w w:val="100"/>
          <w:sz w:val="28"/>
          <w:szCs w:val="28"/>
        </w:rPr>
        <w:t>急</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弯</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道</w:t>
      </w:r>
      <w:r>
        <w:rPr>
          <w:rFonts w:hint="eastAsia" w:ascii="仿宋" w:hAnsi="仿宋" w:eastAsia="仿宋" w:cs="仿宋"/>
          <w:color w:val="auto"/>
          <w:spacing w:val="2"/>
          <w:w w:val="100"/>
          <w:sz w:val="28"/>
          <w:szCs w:val="28"/>
        </w:rPr>
        <w:t>路</w:t>
      </w:r>
      <w:r>
        <w:rPr>
          <w:rFonts w:hint="eastAsia" w:ascii="仿宋" w:hAnsi="仿宋" w:eastAsia="仿宋" w:cs="仿宋"/>
          <w:color w:val="auto"/>
          <w:spacing w:val="0"/>
          <w:w w:val="100"/>
          <w:sz w:val="28"/>
          <w:szCs w:val="28"/>
        </w:rPr>
        <w:t>条</w:t>
      </w:r>
      <w:r>
        <w:rPr>
          <w:rFonts w:hint="eastAsia" w:ascii="仿宋" w:hAnsi="仿宋" w:eastAsia="仿宋" w:cs="仿宋"/>
          <w:color w:val="auto"/>
          <w:spacing w:val="2"/>
          <w:w w:val="100"/>
          <w:sz w:val="28"/>
          <w:szCs w:val="28"/>
        </w:rPr>
        <w:t>件</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好</w:t>
      </w:r>
      <w:r>
        <w:rPr>
          <w:rFonts w:hint="eastAsia" w:ascii="仿宋" w:hAnsi="仿宋" w:eastAsia="仿宋" w:cs="仿宋"/>
          <w:color w:val="auto"/>
          <w:spacing w:val="0"/>
          <w:w w:val="100"/>
          <w:sz w:val="28"/>
          <w:szCs w:val="28"/>
        </w:rPr>
        <w:t>或</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山</w:t>
      </w:r>
      <w:r>
        <w:rPr>
          <w:rFonts w:hint="eastAsia" w:ascii="仿宋" w:hAnsi="仿宋" w:eastAsia="仿宋" w:cs="仿宋"/>
          <w:color w:val="auto"/>
          <w:spacing w:val="2"/>
          <w:w w:val="100"/>
          <w:sz w:val="28"/>
          <w:szCs w:val="28"/>
        </w:rPr>
        <w:t>区</w:t>
      </w:r>
      <w:r>
        <w:rPr>
          <w:rFonts w:hint="eastAsia" w:ascii="仿宋" w:hAnsi="仿宋" w:eastAsia="仿宋" w:cs="仿宋"/>
          <w:color w:val="auto"/>
          <w:spacing w:val="0"/>
          <w:w w:val="100"/>
          <w:sz w:val="28"/>
          <w:szCs w:val="28"/>
        </w:rPr>
        <w:t>路</w:t>
      </w:r>
      <w:r>
        <w:rPr>
          <w:rFonts w:hint="eastAsia" w:ascii="仿宋" w:hAnsi="仿宋" w:eastAsia="仿宋" w:cs="仿宋"/>
          <w:color w:val="auto"/>
          <w:spacing w:val="2"/>
          <w:w w:val="100"/>
          <w:sz w:val="28"/>
          <w:szCs w:val="28"/>
        </w:rPr>
        <w:t>窄</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坡</w:t>
      </w:r>
      <w:r>
        <w:rPr>
          <w:rFonts w:hint="eastAsia" w:ascii="仿宋" w:hAnsi="仿宋" w:eastAsia="仿宋" w:cs="仿宋"/>
          <w:color w:val="auto"/>
          <w:spacing w:val="3"/>
          <w:w w:val="100"/>
          <w:sz w:val="28"/>
          <w:szCs w:val="28"/>
        </w:rPr>
        <w:t>陡</w:t>
      </w:r>
      <w:r>
        <w:rPr>
          <w:rFonts w:hint="eastAsia" w:ascii="仿宋" w:hAnsi="仿宋" w:eastAsia="仿宋" w:cs="仿宋"/>
          <w:color w:val="auto"/>
          <w:spacing w:val="0"/>
          <w:w w:val="100"/>
          <w:sz w:val="28"/>
          <w:szCs w:val="28"/>
        </w:rPr>
        <w:t>、 弯</w:t>
      </w:r>
      <w:r>
        <w:rPr>
          <w:rFonts w:hint="eastAsia" w:ascii="仿宋" w:hAnsi="仿宋" w:eastAsia="仿宋" w:cs="仿宋"/>
          <w:color w:val="auto"/>
          <w:spacing w:val="2"/>
          <w:w w:val="100"/>
          <w:sz w:val="28"/>
          <w:szCs w:val="28"/>
        </w:rPr>
        <w:t>多</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情</w:t>
      </w:r>
      <w:r>
        <w:rPr>
          <w:rFonts w:hint="eastAsia" w:ascii="仿宋" w:hAnsi="仿宋" w:eastAsia="仿宋" w:cs="仿宋"/>
          <w:color w:val="auto"/>
          <w:spacing w:val="0"/>
          <w:w w:val="100"/>
          <w:sz w:val="28"/>
          <w:szCs w:val="28"/>
        </w:rPr>
        <w:t>况</w:t>
      </w:r>
      <w:r>
        <w:rPr>
          <w:rFonts w:hint="eastAsia" w:ascii="仿宋" w:hAnsi="仿宋" w:eastAsia="仿宋" w:cs="仿宋"/>
          <w:color w:val="auto"/>
          <w:spacing w:val="2"/>
          <w:w w:val="100"/>
          <w:sz w:val="28"/>
          <w:szCs w:val="28"/>
        </w:rPr>
        <w:t>下</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驶</w:t>
      </w:r>
      <w:r>
        <w:rPr>
          <w:rFonts w:hint="eastAsia" w:ascii="仿宋" w:hAnsi="仿宋" w:eastAsia="仿宋" w:cs="仿宋"/>
          <w:color w:val="auto"/>
          <w:spacing w:val="0"/>
          <w:w w:val="100"/>
          <w:sz w:val="28"/>
          <w:szCs w:val="28"/>
        </w:rPr>
        <w:t>时</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只</w:t>
      </w:r>
      <w:r>
        <w:rPr>
          <w:rFonts w:hint="eastAsia" w:ascii="仿宋" w:hAnsi="仿宋" w:eastAsia="仿宋" w:cs="仿宋"/>
          <w:color w:val="auto"/>
          <w:spacing w:val="2"/>
          <w:w w:val="100"/>
          <w:sz w:val="28"/>
          <w:szCs w:val="28"/>
        </w:rPr>
        <w:t>允</w:t>
      </w:r>
      <w:r>
        <w:rPr>
          <w:rFonts w:hint="eastAsia" w:ascii="仿宋" w:hAnsi="仿宋" w:eastAsia="仿宋" w:cs="仿宋"/>
          <w:color w:val="auto"/>
          <w:spacing w:val="0"/>
          <w:w w:val="100"/>
          <w:sz w:val="28"/>
          <w:szCs w:val="28"/>
        </w:rPr>
        <w:t>许</w:t>
      </w:r>
      <w:r>
        <w:rPr>
          <w:rFonts w:hint="eastAsia" w:ascii="仿宋" w:hAnsi="仿宋" w:eastAsia="仿宋" w:cs="仿宋"/>
          <w:color w:val="auto"/>
          <w:spacing w:val="2"/>
          <w:w w:val="100"/>
          <w:sz w:val="28"/>
          <w:szCs w:val="28"/>
        </w:rPr>
        <w:t>用</w:t>
      </w:r>
      <w:r>
        <w:rPr>
          <w:rFonts w:hint="eastAsia" w:ascii="仿宋" w:hAnsi="仿宋" w:eastAsia="仿宋" w:cs="仿宋"/>
          <w:color w:val="auto"/>
          <w:spacing w:val="0"/>
          <w:w w:val="100"/>
          <w:sz w:val="28"/>
          <w:szCs w:val="28"/>
        </w:rPr>
        <w:t>Ⅰ速</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平</w:t>
      </w:r>
      <w:r>
        <w:rPr>
          <w:rFonts w:hint="eastAsia" w:ascii="仿宋" w:hAnsi="仿宋" w:eastAsia="仿宋" w:cs="仿宋"/>
          <w:color w:val="auto"/>
          <w:spacing w:val="0"/>
          <w:w w:val="100"/>
          <w:sz w:val="28"/>
          <w:szCs w:val="28"/>
        </w:rPr>
        <w:t>直</w:t>
      </w:r>
      <w:r>
        <w:rPr>
          <w:rFonts w:hint="eastAsia" w:ascii="仿宋" w:hAnsi="仿宋" w:eastAsia="仿宋" w:cs="仿宋"/>
          <w:color w:val="auto"/>
          <w:spacing w:val="2"/>
          <w:w w:val="100"/>
          <w:sz w:val="28"/>
          <w:szCs w:val="28"/>
        </w:rPr>
        <w:t>公</w:t>
      </w:r>
      <w:r>
        <w:rPr>
          <w:rFonts w:hint="eastAsia" w:ascii="仿宋" w:hAnsi="仿宋" w:eastAsia="仿宋" w:cs="仿宋"/>
          <w:color w:val="auto"/>
          <w:spacing w:val="0"/>
          <w:w w:val="100"/>
          <w:sz w:val="28"/>
          <w:szCs w:val="28"/>
        </w:rPr>
        <w:t>路</w:t>
      </w:r>
      <w:r>
        <w:rPr>
          <w:rFonts w:hint="eastAsia" w:ascii="仿宋" w:hAnsi="仿宋" w:eastAsia="仿宋" w:cs="仿宋"/>
          <w:color w:val="auto"/>
          <w:spacing w:val="2"/>
          <w:w w:val="100"/>
          <w:sz w:val="28"/>
          <w:szCs w:val="28"/>
        </w:rPr>
        <w:t>上</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驶</w:t>
      </w:r>
      <w:r>
        <w:rPr>
          <w:rFonts w:hint="eastAsia" w:ascii="仿宋" w:hAnsi="仿宋" w:eastAsia="仿宋" w:cs="仿宋"/>
          <w:color w:val="auto"/>
          <w:spacing w:val="0"/>
          <w:w w:val="100"/>
          <w:sz w:val="28"/>
          <w:szCs w:val="28"/>
        </w:rPr>
        <w:t>时</w:t>
      </w:r>
      <w:r>
        <w:rPr>
          <w:rFonts w:hint="eastAsia" w:ascii="仿宋" w:hAnsi="仿宋" w:eastAsia="仿宋" w:cs="仿宋"/>
          <w:color w:val="auto"/>
          <w:spacing w:val="2"/>
          <w:w w:val="100"/>
          <w:sz w:val="28"/>
          <w:szCs w:val="28"/>
        </w:rPr>
        <w:t>用Ⅱ</w:t>
      </w:r>
      <w:r>
        <w:rPr>
          <w:rFonts w:hint="eastAsia" w:ascii="仿宋" w:hAnsi="仿宋" w:eastAsia="仿宋" w:cs="仿宋"/>
          <w:color w:val="auto"/>
          <w:spacing w:val="0"/>
          <w:w w:val="100"/>
          <w:sz w:val="28"/>
          <w:szCs w:val="28"/>
        </w:rPr>
        <w:t>速。</w:t>
      </w:r>
    </w:p>
    <w:p w14:paraId="5FCCB703">
      <w:pPr>
        <w:keepNext w:val="0"/>
        <w:keepLines w:val="0"/>
        <w:pageBreakBefore w:val="0"/>
        <w:widowControl w:val="0"/>
        <w:kinsoku/>
        <w:wordWrap/>
        <w:overflowPunct/>
        <w:topLinePunct w:val="0"/>
        <w:autoSpaceDE/>
        <w:autoSpaceDN/>
        <w:bidi w:val="0"/>
        <w:adjustRightInd/>
        <w:snapToGrid/>
        <w:spacing w:before="27"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9</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下</w:t>
      </w:r>
      <w:r>
        <w:rPr>
          <w:rFonts w:hint="eastAsia" w:ascii="仿宋" w:hAnsi="仿宋" w:eastAsia="仿宋" w:cs="仿宋"/>
          <w:color w:val="auto"/>
          <w:spacing w:val="0"/>
          <w:w w:val="100"/>
          <w:sz w:val="28"/>
          <w:szCs w:val="28"/>
        </w:rPr>
        <w:t>坡</w:t>
      </w:r>
      <w:r>
        <w:rPr>
          <w:rFonts w:hint="eastAsia" w:ascii="仿宋" w:hAnsi="仿宋" w:eastAsia="仿宋" w:cs="仿宋"/>
          <w:color w:val="auto"/>
          <w:spacing w:val="2"/>
          <w:w w:val="100"/>
          <w:sz w:val="28"/>
          <w:szCs w:val="28"/>
        </w:rPr>
        <w:t>行</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严</w:t>
      </w:r>
      <w:r>
        <w:rPr>
          <w:rFonts w:hint="eastAsia" w:ascii="仿宋" w:hAnsi="仿宋" w:eastAsia="仿宋" w:cs="仿宋"/>
          <w:color w:val="auto"/>
          <w:spacing w:val="2"/>
          <w:w w:val="100"/>
          <w:sz w:val="28"/>
          <w:szCs w:val="28"/>
        </w:rPr>
        <w:t>禁</w:t>
      </w:r>
      <w:r>
        <w:rPr>
          <w:rFonts w:hint="eastAsia" w:ascii="仿宋" w:hAnsi="仿宋" w:eastAsia="仿宋" w:cs="仿宋"/>
          <w:color w:val="auto"/>
          <w:spacing w:val="0"/>
          <w:w w:val="100"/>
          <w:sz w:val="28"/>
          <w:szCs w:val="28"/>
        </w:rPr>
        <w:t>发</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机</w:t>
      </w:r>
      <w:r>
        <w:rPr>
          <w:rFonts w:hint="eastAsia" w:ascii="仿宋" w:hAnsi="仿宋" w:eastAsia="仿宋" w:cs="仿宋"/>
          <w:color w:val="auto"/>
          <w:spacing w:val="2"/>
          <w:w w:val="100"/>
          <w:sz w:val="28"/>
          <w:szCs w:val="28"/>
        </w:rPr>
        <w:t>熄</w:t>
      </w:r>
      <w:r>
        <w:rPr>
          <w:rFonts w:hint="eastAsia" w:ascii="仿宋" w:hAnsi="仿宋" w:eastAsia="仿宋" w:cs="仿宋"/>
          <w:color w:val="auto"/>
          <w:spacing w:val="0"/>
          <w:w w:val="100"/>
          <w:sz w:val="28"/>
          <w:szCs w:val="28"/>
        </w:rPr>
        <w:t>灭</w:t>
      </w:r>
      <w:r>
        <w:rPr>
          <w:rFonts w:hint="eastAsia" w:ascii="仿宋" w:hAnsi="仿宋" w:eastAsia="仿宋" w:cs="仿宋"/>
          <w:color w:val="auto"/>
          <w:spacing w:val="2"/>
          <w:w w:val="100"/>
          <w:sz w:val="28"/>
          <w:szCs w:val="28"/>
        </w:rPr>
        <w:t>脱</w:t>
      </w:r>
      <w:r>
        <w:rPr>
          <w:rFonts w:hint="eastAsia" w:ascii="仿宋" w:hAnsi="仿宋" w:eastAsia="仿宋" w:cs="仿宋"/>
          <w:color w:val="auto"/>
          <w:spacing w:val="0"/>
          <w:w w:val="100"/>
          <w:sz w:val="28"/>
          <w:szCs w:val="28"/>
        </w:rPr>
        <w:t>档</w:t>
      </w:r>
      <w:r>
        <w:rPr>
          <w:rFonts w:hint="eastAsia" w:ascii="仿宋" w:hAnsi="仿宋" w:eastAsia="仿宋" w:cs="仿宋"/>
          <w:color w:val="auto"/>
          <w:spacing w:val="2"/>
          <w:w w:val="100"/>
          <w:sz w:val="28"/>
          <w:szCs w:val="28"/>
        </w:rPr>
        <w:t>滑</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否</w:t>
      </w:r>
      <w:r>
        <w:rPr>
          <w:rFonts w:hint="eastAsia" w:ascii="仿宋" w:hAnsi="仿宋" w:eastAsia="仿宋" w:cs="仿宋"/>
          <w:color w:val="auto"/>
          <w:spacing w:val="2"/>
          <w:w w:val="100"/>
          <w:sz w:val="28"/>
          <w:szCs w:val="28"/>
        </w:rPr>
        <w:t>则</w:t>
      </w:r>
      <w:r>
        <w:rPr>
          <w:rFonts w:hint="eastAsia" w:ascii="仿宋" w:hAnsi="仿宋" w:eastAsia="仿宋" w:cs="仿宋"/>
          <w:color w:val="auto"/>
          <w:spacing w:val="0"/>
          <w:w w:val="100"/>
          <w:sz w:val="28"/>
          <w:szCs w:val="28"/>
        </w:rPr>
        <w:t>液</w:t>
      </w:r>
      <w:r>
        <w:rPr>
          <w:rFonts w:hint="eastAsia" w:ascii="仿宋" w:hAnsi="仿宋" w:eastAsia="仿宋" w:cs="仿宋"/>
          <w:color w:val="auto"/>
          <w:spacing w:val="2"/>
          <w:w w:val="100"/>
          <w:sz w:val="28"/>
          <w:szCs w:val="28"/>
        </w:rPr>
        <w:t>压</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向</w:t>
      </w:r>
      <w:r>
        <w:rPr>
          <w:rFonts w:hint="eastAsia" w:ascii="仿宋" w:hAnsi="仿宋" w:eastAsia="仿宋" w:cs="仿宋"/>
          <w:color w:val="auto"/>
          <w:spacing w:val="0"/>
          <w:w w:val="100"/>
          <w:sz w:val="28"/>
          <w:szCs w:val="28"/>
        </w:rPr>
        <w:t>失</w:t>
      </w:r>
      <w:r>
        <w:rPr>
          <w:rFonts w:hint="eastAsia" w:ascii="仿宋" w:hAnsi="仿宋" w:eastAsia="仿宋" w:cs="仿宋"/>
          <w:color w:val="auto"/>
          <w:spacing w:val="2"/>
          <w:w w:val="100"/>
          <w:sz w:val="28"/>
          <w:szCs w:val="28"/>
        </w:rPr>
        <w:t>灵</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将</w:t>
      </w:r>
      <w:r>
        <w:rPr>
          <w:rFonts w:hint="eastAsia" w:ascii="仿宋" w:hAnsi="仿宋" w:eastAsia="仿宋" w:cs="仿宋"/>
          <w:color w:val="auto"/>
          <w:spacing w:val="0"/>
          <w:w w:val="100"/>
          <w:sz w:val="28"/>
          <w:szCs w:val="28"/>
        </w:rPr>
        <w:t>造</w:t>
      </w:r>
      <w:r>
        <w:rPr>
          <w:rFonts w:hint="eastAsia" w:ascii="仿宋" w:hAnsi="仿宋" w:eastAsia="仿宋" w:cs="仿宋"/>
          <w:color w:val="auto"/>
          <w:spacing w:val="2"/>
          <w:w w:val="100"/>
          <w:sz w:val="28"/>
          <w:szCs w:val="28"/>
        </w:rPr>
        <w:t>成</w:t>
      </w:r>
      <w:r>
        <w:rPr>
          <w:rFonts w:hint="eastAsia" w:ascii="仿宋" w:hAnsi="仿宋" w:eastAsia="仿宋" w:cs="仿宋"/>
          <w:color w:val="auto"/>
          <w:spacing w:val="0"/>
          <w:w w:val="100"/>
          <w:sz w:val="28"/>
          <w:szCs w:val="28"/>
        </w:rPr>
        <w:t>重</w:t>
      </w:r>
      <w:r>
        <w:rPr>
          <w:rFonts w:hint="eastAsia" w:ascii="仿宋" w:hAnsi="仿宋" w:eastAsia="仿宋" w:cs="仿宋"/>
          <w:color w:val="auto"/>
          <w:spacing w:val="2"/>
          <w:w w:val="100"/>
          <w:sz w:val="28"/>
          <w:szCs w:val="28"/>
        </w:rPr>
        <w:t>大</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事</w:t>
      </w:r>
      <w:r>
        <w:rPr>
          <w:rFonts w:hint="eastAsia" w:ascii="仿宋" w:hAnsi="仿宋" w:eastAsia="仿宋" w:cs="仿宋"/>
          <w:color w:val="auto"/>
          <w:spacing w:val="2"/>
          <w:w w:val="100"/>
          <w:sz w:val="28"/>
          <w:szCs w:val="28"/>
        </w:rPr>
        <w:t>故</w:t>
      </w:r>
      <w:r>
        <w:rPr>
          <w:rFonts w:hint="eastAsia" w:ascii="仿宋" w:hAnsi="仿宋" w:eastAsia="仿宋" w:cs="仿宋"/>
          <w:color w:val="auto"/>
          <w:spacing w:val="0"/>
          <w:w w:val="100"/>
          <w:sz w:val="28"/>
          <w:szCs w:val="28"/>
        </w:rPr>
        <w:t>。</w:t>
      </w:r>
    </w:p>
    <w:p w14:paraId="4A9412D7">
      <w:pPr>
        <w:keepNext w:val="0"/>
        <w:keepLines w:val="0"/>
        <w:pageBreakBefore w:val="0"/>
        <w:widowControl w:val="0"/>
        <w:kinsoku/>
        <w:wordWrap/>
        <w:overflowPunct/>
        <w:topLinePunct w:val="0"/>
        <w:autoSpaceDE/>
        <w:autoSpaceDN/>
        <w:bidi w:val="0"/>
        <w:adjustRightInd/>
        <w:snapToGrid/>
        <w:spacing w:before="91"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10</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防</w:t>
      </w:r>
      <w:r>
        <w:rPr>
          <w:rFonts w:hint="eastAsia" w:ascii="仿宋" w:hAnsi="仿宋" w:eastAsia="仿宋" w:cs="仿宋"/>
          <w:color w:val="auto"/>
          <w:spacing w:val="0"/>
          <w:w w:val="100"/>
          <w:sz w:val="28"/>
          <w:szCs w:val="28"/>
        </w:rPr>
        <w:t>爆</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载</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进</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卸</w:t>
      </w:r>
      <w:r>
        <w:rPr>
          <w:rFonts w:hint="eastAsia" w:ascii="仿宋" w:hAnsi="仿宋" w:eastAsia="仿宋" w:cs="仿宋"/>
          <w:color w:val="auto"/>
          <w:spacing w:val="2"/>
          <w:w w:val="100"/>
          <w:sz w:val="28"/>
          <w:szCs w:val="28"/>
        </w:rPr>
        <w:t>等</w:t>
      </w:r>
      <w:r>
        <w:rPr>
          <w:rFonts w:hint="eastAsia" w:ascii="仿宋" w:hAnsi="仿宋" w:eastAsia="仿宋" w:cs="仿宋"/>
          <w:color w:val="auto"/>
          <w:spacing w:val="0"/>
          <w:w w:val="100"/>
          <w:sz w:val="28"/>
          <w:szCs w:val="28"/>
        </w:rPr>
        <w:t>作</w:t>
      </w:r>
      <w:r>
        <w:rPr>
          <w:rFonts w:hint="eastAsia" w:ascii="仿宋" w:hAnsi="仿宋" w:eastAsia="仿宋" w:cs="仿宋"/>
          <w:color w:val="auto"/>
          <w:spacing w:val="2"/>
          <w:w w:val="100"/>
          <w:sz w:val="28"/>
          <w:szCs w:val="28"/>
        </w:rPr>
        <w:t>业</w:t>
      </w:r>
      <w:r>
        <w:rPr>
          <w:rFonts w:hint="eastAsia" w:ascii="仿宋" w:hAnsi="仿宋" w:eastAsia="仿宋" w:cs="仿宋"/>
          <w:color w:val="auto"/>
          <w:spacing w:val="0"/>
          <w:w w:val="100"/>
          <w:sz w:val="28"/>
          <w:szCs w:val="28"/>
        </w:rPr>
        <w:t>时</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只</w:t>
      </w:r>
      <w:r>
        <w:rPr>
          <w:rFonts w:hint="eastAsia" w:ascii="仿宋" w:hAnsi="仿宋" w:eastAsia="仿宋" w:cs="仿宋"/>
          <w:color w:val="auto"/>
          <w:spacing w:val="2"/>
          <w:w w:val="100"/>
          <w:sz w:val="28"/>
          <w:szCs w:val="28"/>
        </w:rPr>
        <w:t>宜</w:t>
      </w:r>
      <w:r>
        <w:rPr>
          <w:rFonts w:hint="eastAsia" w:ascii="仿宋" w:hAnsi="仿宋" w:eastAsia="仿宋" w:cs="仿宋"/>
          <w:color w:val="auto"/>
          <w:spacing w:val="0"/>
          <w:w w:val="100"/>
          <w:sz w:val="28"/>
          <w:szCs w:val="28"/>
        </w:rPr>
        <w:t>使</w:t>
      </w:r>
      <w:r>
        <w:rPr>
          <w:rFonts w:hint="eastAsia" w:ascii="仿宋" w:hAnsi="仿宋" w:eastAsia="仿宋" w:cs="仿宋"/>
          <w:color w:val="auto"/>
          <w:spacing w:val="2"/>
          <w:w w:val="100"/>
          <w:sz w:val="28"/>
          <w:szCs w:val="28"/>
        </w:rPr>
        <w:t>用</w:t>
      </w:r>
      <w:r>
        <w:rPr>
          <w:rFonts w:hint="eastAsia" w:ascii="仿宋" w:hAnsi="仿宋" w:eastAsia="仿宋" w:cs="仿宋"/>
          <w:color w:val="auto"/>
          <w:spacing w:val="0"/>
          <w:w w:val="100"/>
          <w:sz w:val="28"/>
          <w:szCs w:val="28"/>
        </w:rPr>
        <w:t>Ⅰ速</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绝</w:t>
      </w:r>
      <w:r>
        <w:rPr>
          <w:rFonts w:hint="eastAsia" w:ascii="仿宋" w:hAnsi="仿宋" w:eastAsia="仿宋" w:cs="仿宋"/>
          <w:color w:val="auto"/>
          <w:spacing w:val="2"/>
          <w:w w:val="100"/>
          <w:sz w:val="28"/>
          <w:szCs w:val="28"/>
        </w:rPr>
        <w:t>不</w:t>
      </w:r>
      <w:r>
        <w:rPr>
          <w:rFonts w:hint="eastAsia" w:ascii="仿宋" w:hAnsi="仿宋" w:eastAsia="仿宋" w:cs="仿宋"/>
          <w:color w:val="auto"/>
          <w:spacing w:val="0"/>
          <w:w w:val="100"/>
          <w:sz w:val="28"/>
          <w:szCs w:val="28"/>
        </w:rPr>
        <w:t>允</w:t>
      </w:r>
      <w:r>
        <w:rPr>
          <w:rFonts w:hint="eastAsia" w:ascii="仿宋" w:hAnsi="仿宋" w:eastAsia="仿宋" w:cs="仿宋"/>
          <w:color w:val="auto"/>
          <w:spacing w:val="2"/>
          <w:w w:val="100"/>
          <w:sz w:val="28"/>
          <w:szCs w:val="28"/>
        </w:rPr>
        <w:t>许</w:t>
      </w:r>
      <w:r>
        <w:rPr>
          <w:rFonts w:hint="eastAsia" w:ascii="仿宋" w:hAnsi="仿宋" w:eastAsia="仿宋" w:cs="仿宋"/>
          <w:color w:val="auto"/>
          <w:spacing w:val="0"/>
          <w:w w:val="100"/>
          <w:sz w:val="28"/>
          <w:szCs w:val="28"/>
        </w:rPr>
        <w:t>用</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子</w:t>
      </w:r>
      <w:r>
        <w:rPr>
          <w:rFonts w:hint="eastAsia" w:ascii="仿宋" w:hAnsi="仿宋" w:eastAsia="仿宋" w:cs="仿宋"/>
          <w:color w:val="auto"/>
          <w:spacing w:val="2"/>
          <w:w w:val="100"/>
          <w:sz w:val="28"/>
          <w:szCs w:val="28"/>
        </w:rPr>
        <w:t>高</w:t>
      </w:r>
      <w:r>
        <w:rPr>
          <w:rFonts w:hint="eastAsia" w:ascii="仿宋" w:hAnsi="仿宋" w:eastAsia="仿宋" w:cs="仿宋"/>
          <w:color w:val="auto"/>
          <w:spacing w:val="0"/>
          <w:w w:val="100"/>
          <w:sz w:val="28"/>
          <w:szCs w:val="28"/>
        </w:rPr>
        <w:t>速</w:t>
      </w:r>
      <w:r>
        <w:rPr>
          <w:rFonts w:hint="eastAsia" w:ascii="仿宋" w:hAnsi="仿宋" w:eastAsia="仿宋" w:cs="仿宋"/>
          <w:color w:val="auto"/>
          <w:spacing w:val="2"/>
          <w:w w:val="100"/>
          <w:sz w:val="28"/>
          <w:szCs w:val="28"/>
        </w:rPr>
        <w:t>向</w:t>
      </w:r>
      <w:r>
        <w:rPr>
          <w:rFonts w:hint="eastAsia" w:ascii="仿宋" w:hAnsi="仿宋" w:eastAsia="仿宋" w:cs="仿宋"/>
          <w:color w:val="auto"/>
          <w:spacing w:val="0"/>
          <w:w w:val="100"/>
          <w:sz w:val="28"/>
          <w:szCs w:val="28"/>
        </w:rPr>
        <w:t>料</w:t>
      </w:r>
      <w:r>
        <w:rPr>
          <w:rFonts w:hint="eastAsia" w:ascii="仿宋" w:hAnsi="仿宋" w:eastAsia="仿宋" w:cs="仿宋"/>
          <w:color w:val="auto"/>
          <w:spacing w:val="2"/>
          <w:w w:val="100"/>
          <w:sz w:val="28"/>
          <w:szCs w:val="28"/>
        </w:rPr>
        <w:t>堆</w:t>
      </w:r>
      <w:r>
        <w:rPr>
          <w:rFonts w:hint="eastAsia" w:ascii="仿宋" w:hAnsi="仿宋" w:eastAsia="仿宋" w:cs="仿宋"/>
          <w:color w:val="auto"/>
          <w:spacing w:val="0"/>
          <w:w w:val="100"/>
          <w:sz w:val="28"/>
          <w:szCs w:val="28"/>
        </w:rPr>
        <w:t>冲</w:t>
      </w:r>
      <w:r>
        <w:rPr>
          <w:rFonts w:hint="eastAsia" w:ascii="仿宋" w:hAnsi="仿宋" w:eastAsia="仿宋" w:cs="仿宋"/>
          <w:color w:val="auto"/>
          <w:spacing w:val="2"/>
          <w:w w:val="100"/>
          <w:sz w:val="28"/>
          <w:szCs w:val="28"/>
        </w:rPr>
        <w:t>击</w:t>
      </w:r>
      <w:r>
        <w:rPr>
          <w:rFonts w:hint="eastAsia" w:ascii="仿宋" w:hAnsi="仿宋" w:eastAsia="仿宋" w:cs="仿宋"/>
          <w:color w:val="auto"/>
          <w:spacing w:val="0"/>
          <w:w w:val="100"/>
          <w:sz w:val="28"/>
          <w:szCs w:val="28"/>
        </w:rPr>
        <w:t>。</w:t>
      </w:r>
    </w:p>
    <w:p w14:paraId="34717505">
      <w:pPr>
        <w:keepNext w:val="0"/>
        <w:keepLines w:val="0"/>
        <w:pageBreakBefore w:val="0"/>
        <w:widowControl w:val="0"/>
        <w:kinsoku/>
        <w:wordWrap/>
        <w:overflowPunct/>
        <w:topLinePunct w:val="0"/>
        <w:autoSpaceDE/>
        <w:autoSpaceDN/>
        <w:bidi w:val="0"/>
        <w:adjustRightInd/>
        <w:snapToGrid/>
        <w:spacing w:before="91"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11</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作</w:t>
      </w:r>
      <w:r>
        <w:rPr>
          <w:rFonts w:hint="eastAsia" w:ascii="仿宋" w:hAnsi="仿宋" w:eastAsia="仿宋" w:cs="仿宋"/>
          <w:color w:val="auto"/>
          <w:spacing w:val="0"/>
          <w:w w:val="100"/>
          <w:sz w:val="28"/>
          <w:szCs w:val="28"/>
        </w:rPr>
        <w:t>业</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严</w:t>
      </w:r>
      <w:r>
        <w:rPr>
          <w:rFonts w:hint="eastAsia" w:ascii="仿宋" w:hAnsi="仿宋" w:eastAsia="仿宋" w:cs="仿宋"/>
          <w:color w:val="auto"/>
          <w:spacing w:val="0"/>
          <w:w w:val="100"/>
          <w:sz w:val="28"/>
          <w:szCs w:val="28"/>
        </w:rPr>
        <w:t>禁</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员</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举</w:t>
      </w:r>
      <w:r>
        <w:rPr>
          <w:rFonts w:hint="eastAsia" w:ascii="仿宋" w:hAnsi="仿宋" w:eastAsia="仿宋" w:cs="仿宋"/>
          <w:color w:val="auto"/>
          <w:spacing w:val="2"/>
          <w:w w:val="100"/>
          <w:sz w:val="28"/>
          <w:szCs w:val="28"/>
        </w:rPr>
        <w:t>升</w:t>
      </w:r>
      <w:r>
        <w:rPr>
          <w:rFonts w:hint="eastAsia" w:ascii="仿宋" w:hAnsi="仿宋" w:eastAsia="仿宋" w:cs="仿宋"/>
          <w:color w:val="auto"/>
          <w:spacing w:val="0"/>
          <w:w w:val="100"/>
          <w:sz w:val="28"/>
          <w:szCs w:val="28"/>
        </w:rPr>
        <w:t>臂</w:t>
      </w:r>
      <w:r>
        <w:rPr>
          <w:rFonts w:hint="eastAsia" w:ascii="仿宋" w:hAnsi="仿宋" w:eastAsia="仿宋" w:cs="仿宋"/>
          <w:color w:val="auto"/>
          <w:spacing w:val="2"/>
          <w:w w:val="100"/>
          <w:sz w:val="28"/>
          <w:szCs w:val="28"/>
        </w:rPr>
        <w:t>或</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0"/>
          <w:w w:val="100"/>
          <w:sz w:val="28"/>
          <w:szCs w:val="28"/>
        </w:rPr>
        <w:t>下</w:t>
      </w:r>
      <w:r>
        <w:rPr>
          <w:rFonts w:hint="eastAsia" w:ascii="仿宋" w:hAnsi="仿宋" w:eastAsia="仿宋" w:cs="仿宋"/>
          <w:color w:val="auto"/>
          <w:spacing w:val="2"/>
          <w:w w:val="100"/>
          <w:sz w:val="28"/>
          <w:szCs w:val="28"/>
        </w:rPr>
        <w:t>站</w:t>
      </w:r>
      <w:r>
        <w:rPr>
          <w:rFonts w:hint="eastAsia" w:ascii="仿宋" w:hAnsi="仿宋" w:eastAsia="仿宋" w:cs="仿宋"/>
          <w:color w:val="auto"/>
          <w:spacing w:val="0"/>
          <w:w w:val="100"/>
          <w:sz w:val="28"/>
          <w:szCs w:val="28"/>
        </w:rPr>
        <w:t>立</w:t>
      </w:r>
      <w:r>
        <w:rPr>
          <w:rFonts w:hint="eastAsia" w:ascii="仿宋" w:hAnsi="仿宋" w:eastAsia="仿宋" w:cs="仿宋"/>
          <w:color w:val="auto"/>
          <w:spacing w:val="2"/>
          <w:w w:val="100"/>
          <w:sz w:val="28"/>
          <w:szCs w:val="28"/>
        </w:rPr>
        <w:t>或</w:t>
      </w:r>
      <w:r>
        <w:rPr>
          <w:rFonts w:hint="eastAsia" w:ascii="仿宋" w:hAnsi="仿宋" w:eastAsia="仿宋" w:cs="仿宋"/>
          <w:color w:val="auto"/>
          <w:spacing w:val="0"/>
          <w:w w:val="100"/>
          <w:sz w:val="28"/>
          <w:szCs w:val="28"/>
        </w:rPr>
        <w:t>走</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w:t>
      </w:r>
    </w:p>
    <w:p w14:paraId="4F684122">
      <w:pPr>
        <w:keepNext w:val="0"/>
        <w:keepLines w:val="0"/>
        <w:pageBreakBefore w:val="0"/>
        <w:widowControl w:val="0"/>
        <w:kinsoku/>
        <w:wordWrap/>
        <w:overflowPunct/>
        <w:topLinePunct w:val="0"/>
        <w:autoSpaceDE/>
        <w:autoSpaceDN/>
        <w:bidi w:val="0"/>
        <w:adjustRightInd/>
        <w:snapToGrid/>
        <w:spacing w:before="88" w:after="0" w:line="500" w:lineRule="exact"/>
        <w:ind w:right="43"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12</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铲</w:t>
      </w:r>
      <w:r>
        <w:rPr>
          <w:rFonts w:hint="eastAsia" w:ascii="仿宋" w:hAnsi="仿宋" w:eastAsia="仿宋" w:cs="仿宋"/>
          <w:color w:val="auto"/>
          <w:spacing w:val="0"/>
          <w:w w:val="100"/>
          <w:sz w:val="28"/>
          <w:szCs w:val="28"/>
        </w:rPr>
        <w:t>运时</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避</w:t>
      </w:r>
      <w:r>
        <w:rPr>
          <w:rFonts w:hint="eastAsia" w:ascii="仿宋" w:hAnsi="仿宋" w:eastAsia="仿宋" w:cs="仿宋"/>
          <w:color w:val="auto"/>
          <w:spacing w:val="2"/>
          <w:w w:val="100"/>
          <w:sz w:val="28"/>
          <w:szCs w:val="28"/>
        </w:rPr>
        <w:t>免</w:t>
      </w:r>
      <w:r>
        <w:rPr>
          <w:rFonts w:hint="eastAsia" w:ascii="仿宋" w:hAnsi="仿宋" w:eastAsia="仿宋" w:cs="仿宋"/>
          <w:color w:val="auto"/>
          <w:spacing w:val="0"/>
          <w:w w:val="100"/>
          <w:sz w:val="28"/>
          <w:szCs w:val="28"/>
        </w:rPr>
        <w:t>过</w:t>
      </w:r>
      <w:r>
        <w:rPr>
          <w:rFonts w:hint="eastAsia" w:ascii="仿宋" w:hAnsi="仿宋" w:eastAsia="仿宋" w:cs="仿宋"/>
          <w:color w:val="auto"/>
          <w:spacing w:val="2"/>
          <w:w w:val="100"/>
          <w:sz w:val="28"/>
          <w:szCs w:val="28"/>
        </w:rPr>
        <w:t>多</w:t>
      </w:r>
      <w:r>
        <w:rPr>
          <w:rFonts w:hint="eastAsia" w:ascii="仿宋" w:hAnsi="仿宋" w:eastAsia="仿宋" w:cs="仿宋"/>
          <w:color w:val="auto"/>
          <w:spacing w:val="0"/>
          <w:w w:val="100"/>
          <w:sz w:val="28"/>
          <w:szCs w:val="28"/>
        </w:rPr>
        <w:t>地</w:t>
      </w:r>
      <w:r>
        <w:rPr>
          <w:rFonts w:hint="eastAsia" w:ascii="仿宋" w:hAnsi="仿宋" w:eastAsia="仿宋" w:cs="仿宋"/>
          <w:color w:val="auto"/>
          <w:spacing w:val="2"/>
          <w:w w:val="100"/>
          <w:sz w:val="28"/>
          <w:szCs w:val="28"/>
        </w:rPr>
        <w:t>偏</w:t>
      </w:r>
      <w:r>
        <w:rPr>
          <w:rFonts w:hint="eastAsia" w:ascii="仿宋" w:hAnsi="仿宋" w:eastAsia="仿宋" w:cs="仿宋"/>
          <w:color w:val="auto"/>
          <w:spacing w:val="0"/>
          <w:w w:val="100"/>
          <w:sz w:val="28"/>
          <w:szCs w:val="28"/>
        </w:rPr>
        <w:t>重</w:t>
      </w:r>
      <w:r>
        <w:rPr>
          <w:rFonts w:hint="eastAsia" w:ascii="仿宋" w:hAnsi="仿宋" w:eastAsia="仿宋" w:cs="仿宋"/>
          <w:color w:val="auto"/>
          <w:spacing w:val="2"/>
          <w:w w:val="100"/>
          <w:sz w:val="28"/>
          <w:szCs w:val="28"/>
        </w:rPr>
        <w:t>一侧</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避</w:t>
      </w:r>
      <w:r>
        <w:rPr>
          <w:rFonts w:hint="eastAsia" w:ascii="仿宋" w:hAnsi="仿宋" w:eastAsia="仿宋" w:cs="仿宋"/>
          <w:color w:val="auto"/>
          <w:spacing w:val="0"/>
          <w:w w:val="100"/>
          <w:sz w:val="28"/>
          <w:szCs w:val="28"/>
        </w:rPr>
        <w:t>免</w:t>
      </w:r>
      <w:r>
        <w:rPr>
          <w:rFonts w:hint="eastAsia" w:ascii="仿宋" w:hAnsi="仿宋" w:eastAsia="仿宋" w:cs="仿宋"/>
          <w:color w:val="auto"/>
          <w:spacing w:val="2"/>
          <w:w w:val="100"/>
          <w:sz w:val="28"/>
          <w:szCs w:val="28"/>
        </w:rPr>
        <w:t>提</w:t>
      </w:r>
      <w:r>
        <w:rPr>
          <w:rFonts w:hint="eastAsia" w:ascii="仿宋" w:hAnsi="仿宋" w:eastAsia="仿宋" w:cs="仿宋"/>
          <w:color w:val="auto"/>
          <w:spacing w:val="0"/>
          <w:w w:val="100"/>
          <w:sz w:val="28"/>
          <w:szCs w:val="28"/>
        </w:rPr>
        <w:t>升</w:t>
      </w:r>
      <w:r>
        <w:rPr>
          <w:rFonts w:hint="eastAsia" w:ascii="仿宋" w:hAnsi="仿宋" w:eastAsia="仿宋" w:cs="仿宋"/>
          <w:color w:val="auto"/>
          <w:spacing w:val="2"/>
          <w:w w:val="100"/>
          <w:sz w:val="28"/>
          <w:szCs w:val="28"/>
        </w:rPr>
        <w:t>到</w:t>
      </w:r>
      <w:r>
        <w:rPr>
          <w:rFonts w:hint="eastAsia" w:ascii="仿宋" w:hAnsi="仿宋" w:eastAsia="仿宋" w:cs="仿宋"/>
          <w:color w:val="auto"/>
          <w:spacing w:val="0"/>
          <w:w w:val="100"/>
          <w:sz w:val="28"/>
          <w:szCs w:val="28"/>
        </w:rPr>
        <w:t>最</w:t>
      </w:r>
      <w:r>
        <w:rPr>
          <w:rFonts w:hint="eastAsia" w:ascii="仿宋" w:hAnsi="仿宋" w:eastAsia="仿宋" w:cs="仿宋"/>
          <w:color w:val="auto"/>
          <w:spacing w:val="2"/>
          <w:w w:val="100"/>
          <w:sz w:val="28"/>
          <w:szCs w:val="28"/>
        </w:rPr>
        <w:t>高</w:t>
      </w:r>
      <w:r>
        <w:rPr>
          <w:rFonts w:hint="eastAsia" w:ascii="仿宋" w:hAnsi="仿宋" w:eastAsia="仿宋" w:cs="仿宋"/>
          <w:color w:val="auto"/>
          <w:spacing w:val="0"/>
          <w:w w:val="100"/>
          <w:sz w:val="28"/>
          <w:szCs w:val="28"/>
        </w:rPr>
        <w:t>位</w:t>
      </w:r>
      <w:r>
        <w:rPr>
          <w:rFonts w:hint="eastAsia" w:ascii="仿宋" w:hAnsi="仿宋" w:eastAsia="仿宋" w:cs="仿宋"/>
          <w:color w:val="auto"/>
          <w:spacing w:val="2"/>
          <w:w w:val="100"/>
          <w:sz w:val="28"/>
          <w:szCs w:val="28"/>
        </w:rPr>
        <w:t>置</w:t>
      </w:r>
      <w:r>
        <w:rPr>
          <w:rFonts w:hint="eastAsia" w:ascii="仿宋" w:hAnsi="仿宋" w:eastAsia="仿宋" w:cs="仿宋"/>
          <w:color w:val="auto"/>
          <w:spacing w:val="0"/>
          <w:w w:val="100"/>
          <w:sz w:val="28"/>
          <w:szCs w:val="28"/>
        </w:rPr>
        <w:t>运</w:t>
      </w:r>
      <w:r>
        <w:rPr>
          <w:rFonts w:hint="eastAsia" w:ascii="仿宋" w:hAnsi="仿宋" w:eastAsia="仿宋" w:cs="仿宋"/>
          <w:color w:val="auto"/>
          <w:spacing w:val="2"/>
          <w:w w:val="100"/>
          <w:sz w:val="28"/>
          <w:szCs w:val="28"/>
        </w:rPr>
        <w:t>输</w:t>
      </w:r>
      <w:r>
        <w:rPr>
          <w:rFonts w:hint="eastAsia" w:ascii="仿宋" w:hAnsi="仿宋" w:eastAsia="仿宋" w:cs="仿宋"/>
          <w:color w:val="auto"/>
          <w:spacing w:val="0"/>
          <w:w w:val="100"/>
          <w:sz w:val="28"/>
          <w:szCs w:val="28"/>
        </w:rPr>
        <w:t>物</w:t>
      </w:r>
      <w:r>
        <w:rPr>
          <w:rFonts w:hint="eastAsia" w:ascii="仿宋" w:hAnsi="仿宋" w:eastAsia="仿宋" w:cs="仿宋"/>
          <w:color w:val="auto"/>
          <w:spacing w:val="2"/>
          <w:w w:val="100"/>
          <w:sz w:val="28"/>
          <w:szCs w:val="28"/>
        </w:rPr>
        <w:t>料</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如</w:t>
      </w:r>
      <w:r>
        <w:rPr>
          <w:rFonts w:hint="eastAsia" w:ascii="仿宋" w:hAnsi="仿宋" w:eastAsia="仿宋" w:cs="仿宋"/>
          <w:color w:val="auto"/>
          <w:spacing w:val="0"/>
          <w:w w:val="100"/>
          <w:sz w:val="28"/>
          <w:szCs w:val="28"/>
        </w:rPr>
        <w:t>有</w:t>
      </w:r>
      <w:r>
        <w:rPr>
          <w:rFonts w:hint="eastAsia" w:ascii="仿宋" w:hAnsi="仿宋" w:eastAsia="仿宋" w:cs="仿宋"/>
          <w:color w:val="auto"/>
          <w:spacing w:val="2"/>
          <w:w w:val="100"/>
          <w:sz w:val="28"/>
          <w:szCs w:val="28"/>
        </w:rPr>
        <w:t>障</w:t>
      </w:r>
      <w:r>
        <w:rPr>
          <w:rFonts w:hint="eastAsia" w:ascii="仿宋" w:hAnsi="仿宋" w:eastAsia="仿宋" w:cs="仿宋"/>
          <w:color w:val="auto"/>
          <w:spacing w:val="0"/>
          <w:w w:val="100"/>
          <w:sz w:val="28"/>
          <w:szCs w:val="28"/>
        </w:rPr>
        <w:t>碍</w:t>
      </w:r>
      <w:r>
        <w:rPr>
          <w:rFonts w:hint="eastAsia" w:ascii="仿宋" w:hAnsi="仿宋" w:eastAsia="仿宋" w:cs="仿宋"/>
          <w:color w:val="auto"/>
          <w:spacing w:val="2"/>
          <w:w w:val="100"/>
          <w:sz w:val="28"/>
          <w:szCs w:val="28"/>
        </w:rPr>
        <w:t>必</w:t>
      </w:r>
      <w:r>
        <w:rPr>
          <w:rFonts w:hint="eastAsia" w:ascii="仿宋" w:hAnsi="仿宋" w:eastAsia="仿宋" w:cs="仿宋"/>
          <w:color w:val="auto"/>
          <w:spacing w:val="0"/>
          <w:w w:val="100"/>
          <w:sz w:val="28"/>
          <w:szCs w:val="28"/>
        </w:rPr>
        <w:t>须</w:t>
      </w:r>
      <w:r>
        <w:rPr>
          <w:rFonts w:hint="eastAsia" w:ascii="仿宋" w:hAnsi="仿宋" w:eastAsia="仿宋" w:cs="仿宋"/>
          <w:color w:val="auto"/>
          <w:spacing w:val="2"/>
          <w:w w:val="100"/>
          <w:sz w:val="28"/>
          <w:szCs w:val="28"/>
        </w:rPr>
        <w:t>举</w:t>
      </w:r>
      <w:r>
        <w:rPr>
          <w:rFonts w:hint="eastAsia" w:ascii="仿宋" w:hAnsi="仿宋" w:eastAsia="仿宋" w:cs="仿宋"/>
          <w:color w:val="auto"/>
          <w:spacing w:val="0"/>
          <w:w w:val="100"/>
          <w:sz w:val="28"/>
          <w:szCs w:val="28"/>
        </w:rPr>
        <w:t>升</w:t>
      </w:r>
      <w:r>
        <w:rPr>
          <w:rFonts w:hint="eastAsia" w:ascii="仿宋" w:hAnsi="仿宋" w:eastAsia="仿宋" w:cs="仿宋"/>
          <w:color w:val="auto"/>
          <w:spacing w:val="2"/>
          <w:w w:val="100"/>
          <w:sz w:val="28"/>
          <w:szCs w:val="28"/>
        </w:rPr>
        <w:t>通</w:t>
      </w:r>
      <w:r>
        <w:rPr>
          <w:rFonts w:hint="eastAsia" w:ascii="仿宋" w:hAnsi="仿宋" w:eastAsia="仿宋" w:cs="仿宋"/>
          <w:color w:val="auto"/>
          <w:spacing w:val="0"/>
          <w:w w:val="100"/>
          <w:sz w:val="28"/>
          <w:szCs w:val="28"/>
        </w:rPr>
        <w:t>过时， 应</w:t>
      </w:r>
      <w:r>
        <w:rPr>
          <w:rFonts w:hint="eastAsia" w:ascii="仿宋" w:hAnsi="仿宋" w:eastAsia="仿宋" w:cs="仿宋"/>
          <w:color w:val="auto"/>
          <w:spacing w:val="2"/>
          <w:w w:val="100"/>
          <w:sz w:val="28"/>
          <w:szCs w:val="28"/>
        </w:rPr>
        <w:t>细</w:t>
      </w:r>
      <w:r>
        <w:rPr>
          <w:rFonts w:hint="eastAsia" w:ascii="仿宋" w:hAnsi="仿宋" w:eastAsia="仿宋" w:cs="仿宋"/>
          <w:color w:val="auto"/>
          <w:spacing w:val="0"/>
          <w:w w:val="100"/>
          <w:sz w:val="28"/>
          <w:szCs w:val="28"/>
        </w:rPr>
        <w:t>心</w:t>
      </w:r>
      <w:r>
        <w:rPr>
          <w:rFonts w:hint="eastAsia" w:ascii="仿宋" w:hAnsi="仿宋" w:eastAsia="仿宋" w:cs="仿宋"/>
          <w:color w:val="auto"/>
          <w:spacing w:val="2"/>
          <w:w w:val="100"/>
          <w:sz w:val="28"/>
          <w:szCs w:val="28"/>
        </w:rPr>
        <w:t>驾</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并</w:t>
      </w:r>
      <w:r>
        <w:rPr>
          <w:rFonts w:hint="eastAsia" w:ascii="仿宋" w:hAnsi="仿宋" w:eastAsia="仿宋" w:cs="仿宋"/>
          <w:color w:val="auto"/>
          <w:spacing w:val="0"/>
          <w:w w:val="100"/>
          <w:sz w:val="28"/>
          <w:szCs w:val="28"/>
        </w:rPr>
        <w:t>于</w:t>
      </w:r>
      <w:r>
        <w:rPr>
          <w:rFonts w:hint="eastAsia" w:ascii="仿宋" w:hAnsi="仿宋" w:eastAsia="仿宋" w:cs="仿宋"/>
          <w:color w:val="auto"/>
          <w:spacing w:val="2"/>
          <w:w w:val="100"/>
          <w:sz w:val="28"/>
          <w:szCs w:val="28"/>
        </w:rPr>
        <w:t>通</w:t>
      </w:r>
      <w:r>
        <w:rPr>
          <w:rFonts w:hint="eastAsia" w:ascii="仿宋" w:hAnsi="仿宋" w:eastAsia="仿宋" w:cs="仿宋"/>
          <w:color w:val="auto"/>
          <w:spacing w:val="0"/>
          <w:w w:val="100"/>
          <w:sz w:val="28"/>
          <w:szCs w:val="28"/>
        </w:rPr>
        <w:t>过</w:t>
      </w:r>
      <w:r>
        <w:rPr>
          <w:rFonts w:hint="eastAsia" w:ascii="仿宋" w:hAnsi="仿宋" w:eastAsia="仿宋" w:cs="仿宋"/>
          <w:color w:val="auto"/>
          <w:spacing w:val="2"/>
          <w:w w:val="100"/>
          <w:sz w:val="28"/>
          <w:szCs w:val="28"/>
        </w:rPr>
        <w:t>后</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立</w:t>
      </w:r>
      <w:r>
        <w:rPr>
          <w:rFonts w:hint="eastAsia" w:ascii="仿宋" w:hAnsi="仿宋" w:eastAsia="仿宋" w:cs="仿宋"/>
          <w:color w:val="auto"/>
          <w:spacing w:val="0"/>
          <w:w w:val="100"/>
          <w:sz w:val="28"/>
          <w:szCs w:val="28"/>
        </w:rPr>
        <w:t>即</w:t>
      </w:r>
      <w:r>
        <w:rPr>
          <w:rFonts w:hint="eastAsia" w:ascii="仿宋" w:hAnsi="仿宋" w:eastAsia="仿宋" w:cs="仿宋"/>
          <w:color w:val="auto"/>
          <w:spacing w:val="2"/>
          <w:w w:val="100"/>
          <w:sz w:val="28"/>
          <w:szCs w:val="28"/>
        </w:rPr>
        <w:t>将</w:t>
      </w:r>
      <w:r>
        <w:rPr>
          <w:rFonts w:hint="eastAsia" w:ascii="仿宋" w:hAnsi="仿宋" w:eastAsia="仿宋" w:cs="仿宋"/>
          <w:color w:val="auto"/>
          <w:spacing w:val="0"/>
          <w:w w:val="100"/>
          <w:sz w:val="28"/>
          <w:szCs w:val="28"/>
        </w:rPr>
        <w:t>大</w:t>
      </w:r>
      <w:r>
        <w:rPr>
          <w:rFonts w:hint="eastAsia" w:ascii="仿宋" w:hAnsi="仿宋" w:eastAsia="仿宋" w:cs="仿宋"/>
          <w:color w:val="auto"/>
          <w:spacing w:val="2"/>
          <w:w w:val="100"/>
          <w:sz w:val="28"/>
          <w:szCs w:val="28"/>
        </w:rPr>
        <w:t>臂</w:t>
      </w:r>
      <w:r>
        <w:rPr>
          <w:rFonts w:hint="eastAsia" w:ascii="仿宋" w:hAnsi="仿宋" w:eastAsia="仿宋" w:cs="仿宋"/>
          <w:color w:val="auto"/>
          <w:spacing w:val="0"/>
          <w:w w:val="100"/>
          <w:sz w:val="28"/>
          <w:szCs w:val="28"/>
        </w:rPr>
        <w:t>降</w:t>
      </w:r>
      <w:r>
        <w:rPr>
          <w:rFonts w:hint="eastAsia" w:ascii="仿宋" w:hAnsi="仿宋" w:eastAsia="仿宋" w:cs="仿宋"/>
          <w:color w:val="auto"/>
          <w:spacing w:val="2"/>
          <w:w w:val="100"/>
          <w:sz w:val="28"/>
          <w:szCs w:val="28"/>
        </w:rPr>
        <w:t>低</w:t>
      </w:r>
      <w:r>
        <w:rPr>
          <w:rFonts w:hint="eastAsia" w:ascii="仿宋" w:hAnsi="仿宋" w:eastAsia="仿宋" w:cs="仿宋"/>
          <w:color w:val="auto"/>
          <w:spacing w:val="0"/>
          <w:w w:val="100"/>
          <w:sz w:val="28"/>
          <w:szCs w:val="28"/>
        </w:rPr>
        <w:t>到</w:t>
      </w:r>
      <w:r>
        <w:rPr>
          <w:rFonts w:hint="eastAsia" w:ascii="仿宋" w:hAnsi="仿宋" w:eastAsia="仿宋" w:cs="仿宋"/>
          <w:color w:val="auto"/>
          <w:spacing w:val="2"/>
          <w:w w:val="100"/>
          <w:sz w:val="28"/>
          <w:szCs w:val="28"/>
        </w:rPr>
        <w:t>离</w:t>
      </w:r>
      <w:r>
        <w:rPr>
          <w:rFonts w:hint="eastAsia" w:ascii="仿宋" w:hAnsi="仿宋" w:eastAsia="仿宋" w:cs="仿宋"/>
          <w:color w:val="auto"/>
          <w:spacing w:val="0"/>
          <w:w w:val="100"/>
          <w:sz w:val="28"/>
          <w:szCs w:val="28"/>
        </w:rPr>
        <w:t>地面</w:t>
      </w:r>
      <w:r>
        <w:rPr>
          <w:rFonts w:hint="eastAsia" w:ascii="仿宋" w:hAnsi="仿宋" w:eastAsia="仿宋" w:cs="仿宋"/>
          <w:color w:val="auto"/>
          <w:spacing w:val="-52"/>
          <w:w w:val="100"/>
          <w:sz w:val="28"/>
          <w:szCs w:val="28"/>
        </w:rPr>
        <w:t xml:space="preserve"> </w:t>
      </w:r>
      <w:r>
        <w:rPr>
          <w:rFonts w:hint="eastAsia" w:ascii="仿宋" w:hAnsi="仿宋" w:eastAsia="仿宋" w:cs="仿宋"/>
          <w:color w:val="auto"/>
          <w:spacing w:val="1"/>
          <w:w w:val="99"/>
          <w:sz w:val="28"/>
          <w:szCs w:val="28"/>
        </w:rPr>
        <w:t>40</w:t>
      </w:r>
      <w:r>
        <w:rPr>
          <w:rFonts w:hint="eastAsia" w:ascii="仿宋" w:hAnsi="仿宋" w:eastAsia="仿宋" w:cs="仿宋"/>
          <w:color w:val="auto"/>
          <w:spacing w:val="0"/>
          <w:w w:val="99"/>
          <w:sz w:val="28"/>
          <w:szCs w:val="28"/>
        </w:rPr>
        <w:t>0</w:t>
      </w:r>
      <w:r>
        <w:rPr>
          <w:rFonts w:hint="eastAsia" w:ascii="仿宋" w:hAnsi="仿宋" w:eastAsia="仿宋" w:cs="仿宋"/>
          <w:color w:val="auto"/>
          <w:spacing w:val="-51"/>
          <w:w w:val="100"/>
          <w:sz w:val="28"/>
          <w:szCs w:val="28"/>
        </w:rPr>
        <w:t xml:space="preserve"> </w:t>
      </w:r>
      <w:r>
        <w:rPr>
          <w:rFonts w:hint="eastAsia" w:ascii="仿宋" w:hAnsi="仿宋" w:eastAsia="仿宋" w:cs="仿宋"/>
          <w:color w:val="auto"/>
          <w:spacing w:val="0"/>
          <w:w w:val="100"/>
          <w:sz w:val="28"/>
          <w:szCs w:val="28"/>
          <w:lang w:eastAsia="zh-CN"/>
        </w:rPr>
        <w:t>m</w:t>
      </w:r>
      <w:r>
        <w:rPr>
          <w:rFonts w:hint="eastAsia" w:ascii="仿宋" w:hAnsi="仿宋" w:eastAsia="仿宋" w:cs="仿宋"/>
          <w:color w:val="auto"/>
          <w:spacing w:val="2"/>
          <w:w w:val="100"/>
          <w:sz w:val="28"/>
          <w:szCs w:val="28"/>
          <w:lang w:eastAsia="zh-CN"/>
        </w:rPr>
        <w:t>m</w:t>
      </w:r>
      <w:r>
        <w:rPr>
          <w:rFonts w:hint="eastAsia" w:ascii="仿宋" w:hAnsi="仿宋" w:eastAsia="仿宋" w:cs="仿宋"/>
          <w:color w:val="auto"/>
          <w:spacing w:val="0"/>
          <w:w w:val="100"/>
          <w:sz w:val="28"/>
          <w:szCs w:val="28"/>
        </w:rPr>
        <w:t>左</w:t>
      </w:r>
      <w:r>
        <w:rPr>
          <w:rFonts w:hint="eastAsia" w:ascii="仿宋" w:hAnsi="仿宋" w:eastAsia="仿宋" w:cs="仿宋"/>
          <w:color w:val="auto"/>
          <w:spacing w:val="2"/>
          <w:w w:val="100"/>
          <w:sz w:val="28"/>
          <w:szCs w:val="28"/>
        </w:rPr>
        <w:t>右</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正</w:t>
      </w:r>
      <w:r>
        <w:rPr>
          <w:rFonts w:hint="eastAsia" w:ascii="仿宋" w:hAnsi="仿宋" w:eastAsia="仿宋" w:cs="仿宋"/>
          <w:color w:val="auto"/>
          <w:spacing w:val="0"/>
          <w:w w:val="100"/>
          <w:sz w:val="28"/>
          <w:szCs w:val="28"/>
        </w:rPr>
        <w:t>常</w:t>
      </w:r>
      <w:r>
        <w:rPr>
          <w:rFonts w:hint="eastAsia" w:ascii="仿宋" w:hAnsi="仿宋" w:eastAsia="仿宋" w:cs="仿宋"/>
          <w:color w:val="auto"/>
          <w:spacing w:val="2"/>
          <w:w w:val="100"/>
          <w:sz w:val="28"/>
          <w:szCs w:val="28"/>
        </w:rPr>
        <w:t>位</w:t>
      </w:r>
      <w:r>
        <w:rPr>
          <w:rFonts w:hint="eastAsia" w:ascii="仿宋" w:hAnsi="仿宋" w:eastAsia="仿宋" w:cs="仿宋"/>
          <w:color w:val="auto"/>
          <w:spacing w:val="0"/>
          <w:w w:val="100"/>
          <w:sz w:val="28"/>
          <w:szCs w:val="28"/>
        </w:rPr>
        <w:t>置。</w:t>
      </w:r>
    </w:p>
    <w:p w14:paraId="6742A5C8">
      <w:pPr>
        <w:keepNext w:val="0"/>
        <w:keepLines w:val="0"/>
        <w:pageBreakBefore w:val="0"/>
        <w:widowControl w:val="0"/>
        <w:kinsoku/>
        <w:wordWrap/>
        <w:overflowPunct/>
        <w:topLinePunct w:val="0"/>
        <w:autoSpaceDE/>
        <w:autoSpaceDN/>
        <w:bidi w:val="0"/>
        <w:adjustRightInd/>
        <w:snapToGrid/>
        <w:spacing w:before="29"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13</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检</w:t>
      </w:r>
      <w:r>
        <w:rPr>
          <w:rFonts w:hint="eastAsia" w:ascii="仿宋" w:hAnsi="仿宋" w:eastAsia="仿宋" w:cs="仿宋"/>
          <w:color w:val="auto"/>
          <w:spacing w:val="2"/>
          <w:w w:val="100"/>
          <w:sz w:val="28"/>
          <w:szCs w:val="28"/>
        </w:rPr>
        <w:t>修</w:t>
      </w:r>
      <w:r>
        <w:rPr>
          <w:rFonts w:hint="eastAsia" w:ascii="仿宋" w:hAnsi="仿宋" w:eastAsia="仿宋" w:cs="仿宋"/>
          <w:color w:val="auto"/>
          <w:spacing w:val="0"/>
          <w:w w:val="100"/>
          <w:sz w:val="28"/>
          <w:szCs w:val="28"/>
        </w:rPr>
        <w:t>发</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机</w:t>
      </w:r>
      <w:r>
        <w:rPr>
          <w:rFonts w:hint="eastAsia" w:ascii="仿宋" w:hAnsi="仿宋" w:eastAsia="仿宋" w:cs="仿宋"/>
          <w:color w:val="auto"/>
          <w:spacing w:val="2"/>
          <w:w w:val="100"/>
          <w:sz w:val="28"/>
          <w:szCs w:val="28"/>
        </w:rPr>
        <w:t>或</w:t>
      </w:r>
      <w:r>
        <w:rPr>
          <w:rFonts w:hint="eastAsia" w:ascii="仿宋" w:hAnsi="仿宋" w:eastAsia="仿宋" w:cs="仿宋"/>
          <w:color w:val="auto"/>
          <w:spacing w:val="0"/>
          <w:w w:val="100"/>
          <w:sz w:val="28"/>
          <w:szCs w:val="28"/>
        </w:rPr>
        <w:t>电</w:t>
      </w:r>
      <w:r>
        <w:rPr>
          <w:rFonts w:hint="eastAsia" w:ascii="仿宋" w:hAnsi="仿宋" w:eastAsia="仿宋" w:cs="仿宋"/>
          <w:color w:val="auto"/>
          <w:spacing w:val="2"/>
          <w:w w:val="100"/>
          <w:sz w:val="28"/>
          <w:szCs w:val="28"/>
        </w:rPr>
        <w:t>气</w:t>
      </w:r>
      <w:r>
        <w:rPr>
          <w:rFonts w:hint="eastAsia" w:ascii="仿宋" w:hAnsi="仿宋" w:eastAsia="仿宋" w:cs="仿宋"/>
          <w:color w:val="auto"/>
          <w:spacing w:val="0"/>
          <w:w w:val="100"/>
          <w:sz w:val="28"/>
          <w:szCs w:val="28"/>
        </w:rPr>
        <w:t>系</w:t>
      </w:r>
      <w:r>
        <w:rPr>
          <w:rFonts w:hint="eastAsia" w:ascii="仿宋" w:hAnsi="仿宋" w:eastAsia="仿宋" w:cs="仿宋"/>
          <w:color w:val="auto"/>
          <w:spacing w:val="2"/>
          <w:w w:val="100"/>
          <w:sz w:val="28"/>
          <w:szCs w:val="28"/>
        </w:rPr>
        <w:t>统</w:t>
      </w:r>
      <w:r>
        <w:rPr>
          <w:rFonts w:hint="eastAsia" w:ascii="仿宋" w:hAnsi="仿宋" w:eastAsia="仿宋" w:cs="仿宋"/>
          <w:color w:val="auto"/>
          <w:spacing w:val="0"/>
          <w:w w:val="100"/>
          <w:sz w:val="28"/>
          <w:szCs w:val="28"/>
        </w:rPr>
        <w:t>时</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要</w:t>
      </w:r>
      <w:r>
        <w:rPr>
          <w:rFonts w:hint="eastAsia" w:ascii="仿宋" w:hAnsi="仿宋" w:eastAsia="仿宋" w:cs="仿宋"/>
          <w:color w:val="auto"/>
          <w:spacing w:val="2"/>
          <w:w w:val="100"/>
          <w:sz w:val="28"/>
          <w:szCs w:val="28"/>
        </w:rPr>
        <w:t>拆</w:t>
      </w:r>
      <w:r>
        <w:rPr>
          <w:rFonts w:hint="eastAsia" w:ascii="仿宋" w:hAnsi="仿宋" w:eastAsia="仿宋" w:cs="仿宋"/>
          <w:color w:val="auto"/>
          <w:spacing w:val="0"/>
          <w:w w:val="100"/>
          <w:sz w:val="28"/>
          <w:szCs w:val="28"/>
        </w:rPr>
        <w:t>下</w:t>
      </w:r>
      <w:r>
        <w:rPr>
          <w:rFonts w:hint="eastAsia" w:ascii="仿宋" w:hAnsi="仿宋" w:eastAsia="仿宋" w:cs="仿宋"/>
          <w:color w:val="auto"/>
          <w:spacing w:val="2"/>
          <w:w w:val="100"/>
          <w:sz w:val="28"/>
          <w:szCs w:val="28"/>
        </w:rPr>
        <w:t>电</w:t>
      </w:r>
      <w:r>
        <w:rPr>
          <w:rFonts w:hint="eastAsia" w:ascii="仿宋" w:hAnsi="仿宋" w:eastAsia="仿宋" w:cs="仿宋"/>
          <w:color w:val="auto"/>
          <w:spacing w:val="0"/>
          <w:w w:val="100"/>
          <w:sz w:val="28"/>
          <w:szCs w:val="28"/>
        </w:rPr>
        <w:t>瓶</w:t>
      </w:r>
      <w:r>
        <w:rPr>
          <w:rFonts w:hint="eastAsia" w:ascii="仿宋" w:hAnsi="仿宋" w:eastAsia="仿宋" w:cs="仿宋"/>
          <w:color w:val="auto"/>
          <w:spacing w:val="2"/>
          <w:w w:val="100"/>
          <w:sz w:val="28"/>
          <w:szCs w:val="28"/>
        </w:rPr>
        <w:t>线</w:t>
      </w:r>
      <w:r>
        <w:rPr>
          <w:rFonts w:hint="eastAsia" w:ascii="仿宋" w:hAnsi="仿宋" w:eastAsia="仿宋" w:cs="仿宋"/>
          <w:color w:val="auto"/>
          <w:spacing w:val="0"/>
          <w:w w:val="100"/>
          <w:sz w:val="28"/>
          <w:szCs w:val="28"/>
        </w:rPr>
        <w:t>。</w:t>
      </w:r>
    </w:p>
    <w:p w14:paraId="5F8D7026">
      <w:pPr>
        <w:keepNext w:val="0"/>
        <w:keepLines w:val="0"/>
        <w:pageBreakBefore w:val="0"/>
        <w:widowControl w:val="0"/>
        <w:kinsoku/>
        <w:wordWrap/>
        <w:overflowPunct/>
        <w:topLinePunct w:val="0"/>
        <w:autoSpaceDE/>
        <w:autoSpaceDN/>
        <w:bidi w:val="0"/>
        <w:adjustRightInd/>
        <w:snapToGrid/>
        <w:spacing w:before="88"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14</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工</w:t>
      </w:r>
      <w:r>
        <w:rPr>
          <w:rFonts w:hint="eastAsia" w:ascii="仿宋" w:hAnsi="仿宋" w:eastAsia="仿宋" w:cs="仿宋"/>
          <w:color w:val="auto"/>
          <w:spacing w:val="0"/>
          <w:w w:val="100"/>
          <w:sz w:val="28"/>
          <w:szCs w:val="28"/>
        </w:rPr>
        <w:t>作</w:t>
      </w:r>
      <w:r>
        <w:rPr>
          <w:rFonts w:hint="eastAsia" w:ascii="仿宋" w:hAnsi="仿宋" w:eastAsia="仿宋" w:cs="仿宋"/>
          <w:color w:val="auto"/>
          <w:spacing w:val="2"/>
          <w:w w:val="100"/>
          <w:sz w:val="28"/>
          <w:szCs w:val="28"/>
        </w:rPr>
        <w:t>完</w:t>
      </w:r>
      <w:r>
        <w:rPr>
          <w:rFonts w:hint="eastAsia" w:ascii="仿宋" w:hAnsi="仿宋" w:eastAsia="仿宋" w:cs="仿宋"/>
          <w:color w:val="auto"/>
          <w:spacing w:val="0"/>
          <w:w w:val="100"/>
          <w:sz w:val="28"/>
          <w:szCs w:val="28"/>
        </w:rPr>
        <w:t>毕</w:t>
      </w:r>
      <w:r>
        <w:rPr>
          <w:rFonts w:hint="eastAsia" w:ascii="仿宋" w:hAnsi="仿宋" w:eastAsia="仿宋" w:cs="仿宋"/>
          <w:color w:val="auto"/>
          <w:spacing w:val="2"/>
          <w:w w:val="100"/>
          <w:sz w:val="28"/>
          <w:szCs w:val="28"/>
        </w:rPr>
        <w:t>离</w:t>
      </w:r>
      <w:r>
        <w:rPr>
          <w:rFonts w:hint="eastAsia" w:ascii="仿宋" w:hAnsi="仿宋" w:eastAsia="仿宋" w:cs="仿宋"/>
          <w:color w:val="auto"/>
          <w:spacing w:val="0"/>
          <w:w w:val="100"/>
          <w:sz w:val="28"/>
          <w:szCs w:val="28"/>
        </w:rPr>
        <w:t>开</w:t>
      </w:r>
      <w:r>
        <w:rPr>
          <w:rFonts w:hint="eastAsia" w:ascii="仿宋" w:hAnsi="仿宋" w:eastAsia="仿宋" w:cs="仿宋"/>
          <w:color w:val="auto"/>
          <w:spacing w:val="2"/>
          <w:w w:val="100"/>
          <w:sz w:val="28"/>
          <w:szCs w:val="28"/>
        </w:rPr>
        <w:t>驾</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室</w:t>
      </w:r>
      <w:r>
        <w:rPr>
          <w:rFonts w:hint="eastAsia" w:ascii="仿宋" w:hAnsi="仿宋" w:eastAsia="仿宋" w:cs="仿宋"/>
          <w:color w:val="auto"/>
          <w:spacing w:val="0"/>
          <w:w w:val="100"/>
          <w:sz w:val="28"/>
          <w:szCs w:val="28"/>
        </w:rPr>
        <w:t>前</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要</w:t>
      </w:r>
      <w:r>
        <w:rPr>
          <w:rFonts w:hint="eastAsia" w:ascii="仿宋" w:hAnsi="仿宋" w:eastAsia="仿宋" w:cs="仿宋"/>
          <w:color w:val="auto"/>
          <w:spacing w:val="2"/>
          <w:w w:val="100"/>
          <w:sz w:val="28"/>
          <w:szCs w:val="28"/>
        </w:rPr>
        <w:t>将</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0"/>
          <w:w w:val="100"/>
          <w:sz w:val="28"/>
          <w:szCs w:val="28"/>
        </w:rPr>
        <w:t>放</w:t>
      </w:r>
      <w:r>
        <w:rPr>
          <w:rFonts w:hint="eastAsia" w:ascii="仿宋" w:hAnsi="仿宋" w:eastAsia="仿宋" w:cs="仿宋"/>
          <w:color w:val="auto"/>
          <w:spacing w:val="2"/>
          <w:w w:val="100"/>
          <w:sz w:val="28"/>
          <w:szCs w:val="28"/>
        </w:rPr>
        <w:t>到</w:t>
      </w:r>
      <w:r>
        <w:rPr>
          <w:rFonts w:hint="eastAsia" w:ascii="仿宋" w:hAnsi="仿宋" w:eastAsia="仿宋" w:cs="仿宋"/>
          <w:color w:val="auto"/>
          <w:spacing w:val="0"/>
          <w:w w:val="100"/>
          <w:sz w:val="28"/>
          <w:szCs w:val="28"/>
        </w:rPr>
        <w:t>地</w:t>
      </w:r>
      <w:r>
        <w:rPr>
          <w:rFonts w:hint="eastAsia" w:ascii="仿宋" w:hAnsi="仿宋" w:eastAsia="仿宋" w:cs="仿宋"/>
          <w:color w:val="auto"/>
          <w:spacing w:val="2"/>
          <w:w w:val="100"/>
          <w:sz w:val="28"/>
          <w:szCs w:val="28"/>
        </w:rPr>
        <w:t>面</w:t>
      </w:r>
      <w:r>
        <w:rPr>
          <w:rFonts w:hint="eastAsia" w:ascii="仿宋" w:hAnsi="仿宋" w:eastAsia="仿宋" w:cs="仿宋"/>
          <w:color w:val="auto"/>
          <w:spacing w:val="0"/>
          <w:w w:val="100"/>
          <w:sz w:val="28"/>
          <w:szCs w:val="28"/>
        </w:rPr>
        <w:t>并</w:t>
      </w:r>
      <w:r>
        <w:rPr>
          <w:rFonts w:hint="eastAsia" w:ascii="仿宋" w:hAnsi="仿宋" w:eastAsia="仿宋" w:cs="仿宋"/>
          <w:color w:val="auto"/>
          <w:spacing w:val="2"/>
          <w:w w:val="100"/>
          <w:sz w:val="28"/>
          <w:szCs w:val="28"/>
        </w:rPr>
        <w:t>关</w:t>
      </w:r>
      <w:r>
        <w:rPr>
          <w:rFonts w:hint="eastAsia" w:ascii="仿宋" w:hAnsi="仿宋" w:eastAsia="仿宋" w:cs="仿宋"/>
          <w:color w:val="auto"/>
          <w:spacing w:val="0"/>
          <w:w w:val="100"/>
          <w:sz w:val="28"/>
          <w:szCs w:val="28"/>
        </w:rPr>
        <w:t>掉</w:t>
      </w:r>
      <w:r>
        <w:rPr>
          <w:rFonts w:hint="eastAsia" w:ascii="仿宋" w:hAnsi="仿宋" w:eastAsia="仿宋" w:cs="仿宋"/>
          <w:color w:val="auto"/>
          <w:spacing w:val="2"/>
          <w:w w:val="100"/>
          <w:sz w:val="28"/>
          <w:szCs w:val="28"/>
        </w:rPr>
        <w:t>发</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拉</w:t>
      </w:r>
      <w:r>
        <w:rPr>
          <w:rFonts w:hint="eastAsia" w:ascii="仿宋" w:hAnsi="仿宋" w:eastAsia="仿宋" w:cs="仿宋"/>
          <w:color w:val="auto"/>
          <w:spacing w:val="0"/>
          <w:w w:val="100"/>
          <w:sz w:val="28"/>
          <w:szCs w:val="28"/>
        </w:rPr>
        <w:t>开</w:t>
      </w:r>
      <w:r>
        <w:rPr>
          <w:rFonts w:hint="eastAsia" w:ascii="仿宋" w:hAnsi="仿宋" w:eastAsia="仿宋" w:cs="仿宋"/>
          <w:color w:val="auto"/>
          <w:spacing w:val="2"/>
          <w:w w:val="100"/>
          <w:sz w:val="28"/>
          <w:szCs w:val="28"/>
        </w:rPr>
        <w:t>电</w:t>
      </w:r>
      <w:r>
        <w:rPr>
          <w:rFonts w:hint="eastAsia" w:ascii="仿宋" w:hAnsi="仿宋" w:eastAsia="仿宋" w:cs="仿宋"/>
          <w:color w:val="auto"/>
          <w:spacing w:val="0"/>
          <w:w w:val="100"/>
          <w:sz w:val="28"/>
          <w:szCs w:val="28"/>
        </w:rPr>
        <w:t>源</w:t>
      </w:r>
      <w:r>
        <w:rPr>
          <w:rFonts w:hint="eastAsia" w:ascii="仿宋" w:hAnsi="仿宋" w:eastAsia="仿宋" w:cs="仿宋"/>
          <w:color w:val="auto"/>
          <w:spacing w:val="2"/>
          <w:w w:val="100"/>
          <w:sz w:val="28"/>
          <w:szCs w:val="28"/>
        </w:rPr>
        <w:t>开</w:t>
      </w:r>
      <w:r>
        <w:rPr>
          <w:rFonts w:hint="eastAsia" w:ascii="仿宋" w:hAnsi="仿宋" w:eastAsia="仿宋" w:cs="仿宋"/>
          <w:color w:val="auto"/>
          <w:spacing w:val="0"/>
          <w:w w:val="100"/>
          <w:sz w:val="28"/>
          <w:szCs w:val="28"/>
        </w:rPr>
        <w:t>关。</w:t>
      </w:r>
    </w:p>
    <w:p w14:paraId="65F2C719">
      <w:pPr>
        <w:keepNext w:val="0"/>
        <w:keepLines w:val="0"/>
        <w:pageBreakBefore w:val="0"/>
        <w:widowControl w:val="0"/>
        <w:kinsoku/>
        <w:wordWrap/>
        <w:overflowPunct/>
        <w:topLinePunct w:val="0"/>
        <w:autoSpaceDE/>
        <w:autoSpaceDN/>
        <w:bidi w:val="0"/>
        <w:adjustRightInd/>
        <w:snapToGrid/>
        <w:spacing w:before="91" w:after="0" w:line="500" w:lineRule="exact"/>
        <w:ind w:right="151"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15</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打</w:t>
      </w:r>
      <w:r>
        <w:rPr>
          <w:rFonts w:hint="eastAsia" w:ascii="仿宋" w:hAnsi="仿宋" w:eastAsia="仿宋" w:cs="仿宋"/>
          <w:color w:val="auto"/>
          <w:spacing w:val="5"/>
          <w:w w:val="100"/>
          <w:sz w:val="28"/>
          <w:szCs w:val="28"/>
        </w:rPr>
        <w:t>开</w:t>
      </w:r>
      <w:r>
        <w:rPr>
          <w:rFonts w:hint="eastAsia" w:ascii="仿宋" w:hAnsi="仿宋" w:eastAsia="仿宋" w:cs="仿宋"/>
          <w:color w:val="auto"/>
          <w:spacing w:val="2"/>
          <w:w w:val="100"/>
          <w:sz w:val="28"/>
          <w:szCs w:val="28"/>
        </w:rPr>
        <w:t>热的发</w:t>
      </w:r>
      <w:r>
        <w:rPr>
          <w:rFonts w:hint="eastAsia" w:ascii="仿宋" w:hAnsi="仿宋" w:eastAsia="仿宋" w:cs="仿宋"/>
          <w:color w:val="auto"/>
          <w:spacing w:val="5"/>
          <w:w w:val="100"/>
          <w:sz w:val="28"/>
          <w:szCs w:val="28"/>
        </w:rPr>
        <w:t>动</w:t>
      </w:r>
      <w:r>
        <w:rPr>
          <w:rFonts w:hint="eastAsia" w:ascii="仿宋" w:hAnsi="仿宋" w:eastAsia="仿宋" w:cs="仿宋"/>
          <w:color w:val="auto"/>
          <w:spacing w:val="2"/>
          <w:w w:val="100"/>
          <w:sz w:val="28"/>
          <w:szCs w:val="28"/>
        </w:rPr>
        <w:t>机水箱</w:t>
      </w:r>
      <w:r>
        <w:rPr>
          <w:rFonts w:hint="eastAsia" w:ascii="仿宋" w:hAnsi="仿宋" w:eastAsia="仿宋" w:cs="仿宋"/>
          <w:color w:val="auto"/>
          <w:spacing w:val="5"/>
          <w:w w:val="100"/>
          <w:sz w:val="28"/>
          <w:szCs w:val="28"/>
        </w:rPr>
        <w:t>和</w:t>
      </w:r>
      <w:r>
        <w:rPr>
          <w:rFonts w:hint="eastAsia" w:ascii="仿宋" w:hAnsi="仿宋" w:eastAsia="仿宋" w:cs="仿宋"/>
          <w:color w:val="auto"/>
          <w:spacing w:val="2"/>
          <w:w w:val="100"/>
          <w:sz w:val="28"/>
          <w:szCs w:val="28"/>
        </w:rPr>
        <w:t>液压油箱</w:t>
      </w:r>
      <w:r>
        <w:rPr>
          <w:rFonts w:hint="eastAsia" w:ascii="仿宋" w:hAnsi="仿宋" w:eastAsia="仿宋" w:cs="仿宋"/>
          <w:color w:val="auto"/>
          <w:spacing w:val="5"/>
          <w:w w:val="100"/>
          <w:sz w:val="28"/>
          <w:szCs w:val="28"/>
        </w:rPr>
        <w:t>时</w:t>
      </w:r>
      <w:r>
        <w:rPr>
          <w:rFonts w:hint="eastAsia" w:ascii="仿宋" w:hAnsi="仿宋" w:eastAsia="仿宋" w:cs="仿宋"/>
          <w:color w:val="auto"/>
          <w:spacing w:val="2"/>
          <w:w w:val="100"/>
          <w:sz w:val="28"/>
          <w:szCs w:val="28"/>
        </w:rPr>
        <w:t>，应戴</w:t>
      </w:r>
      <w:r>
        <w:rPr>
          <w:rFonts w:hint="eastAsia" w:ascii="仿宋" w:hAnsi="仿宋" w:eastAsia="仿宋" w:cs="仿宋"/>
          <w:color w:val="auto"/>
          <w:spacing w:val="5"/>
          <w:w w:val="100"/>
          <w:sz w:val="28"/>
          <w:szCs w:val="28"/>
        </w:rPr>
        <w:t>手</w:t>
      </w:r>
      <w:r>
        <w:rPr>
          <w:rFonts w:hint="eastAsia" w:ascii="仿宋" w:hAnsi="仿宋" w:eastAsia="仿宋" w:cs="仿宋"/>
          <w:color w:val="auto"/>
          <w:spacing w:val="2"/>
          <w:w w:val="100"/>
          <w:sz w:val="28"/>
          <w:szCs w:val="28"/>
        </w:rPr>
        <w:t>套或用</w:t>
      </w:r>
      <w:r>
        <w:rPr>
          <w:rFonts w:hint="eastAsia" w:ascii="仿宋" w:hAnsi="仿宋" w:eastAsia="仿宋" w:cs="仿宋"/>
          <w:color w:val="auto"/>
          <w:spacing w:val="5"/>
          <w:w w:val="100"/>
          <w:sz w:val="28"/>
          <w:szCs w:val="28"/>
        </w:rPr>
        <w:t>布</w:t>
      </w:r>
      <w:r>
        <w:rPr>
          <w:rFonts w:hint="eastAsia" w:ascii="仿宋" w:hAnsi="仿宋" w:eastAsia="仿宋" w:cs="仿宋"/>
          <w:color w:val="auto"/>
          <w:spacing w:val="2"/>
          <w:w w:val="100"/>
          <w:sz w:val="28"/>
          <w:szCs w:val="28"/>
        </w:rPr>
        <w:t>块，缓慢</w:t>
      </w:r>
      <w:r>
        <w:rPr>
          <w:rFonts w:hint="eastAsia" w:ascii="仿宋" w:hAnsi="仿宋" w:eastAsia="仿宋" w:cs="仿宋"/>
          <w:color w:val="auto"/>
          <w:spacing w:val="5"/>
          <w:w w:val="100"/>
          <w:sz w:val="28"/>
          <w:szCs w:val="28"/>
        </w:rPr>
        <w:t>旋</w:t>
      </w:r>
      <w:r>
        <w:rPr>
          <w:rFonts w:hint="eastAsia" w:ascii="仿宋" w:hAnsi="仿宋" w:eastAsia="仿宋" w:cs="仿宋"/>
          <w:color w:val="auto"/>
          <w:spacing w:val="2"/>
          <w:w w:val="100"/>
          <w:sz w:val="28"/>
          <w:szCs w:val="28"/>
        </w:rPr>
        <w:t>松，防</w:t>
      </w:r>
      <w:r>
        <w:rPr>
          <w:rFonts w:hint="eastAsia" w:ascii="仿宋" w:hAnsi="仿宋" w:eastAsia="仿宋" w:cs="仿宋"/>
          <w:color w:val="auto"/>
          <w:spacing w:val="5"/>
          <w:w w:val="100"/>
          <w:sz w:val="28"/>
          <w:szCs w:val="28"/>
        </w:rPr>
        <w:t>止</w:t>
      </w:r>
      <w:r>
        <w:rPr>
          <w:rFonts w:hint="eastAsia" w:ascii="仿宋" w:hAnsi="仿宋" w:eastAsia="仿宋" w:cs="仿宋"/>
          <w:color w:val="auto"/>
          <w:spacing w:val="2"/>
          <w:w w:val="100"/>
          <w:sz w:val="28"/>
          <w:szCs w:val="28"/>
        </w:rPr>
        <w:t>热水、</w:t>
      </w:r>
      <w:r>
        <w:rPr>
          <w:rFonts w:hint="eastAsia" w:ascii="仿宋" w:hAnsi="仿宋" w:eastAsia="仿宋" w:cs="仿宋"/>
          <w:color w:val="auto"/>
          <w:spacing w:val="5"/>
          <w:w w:val="100"/>
          <w:sz w:val="28"/>
          <w:szCs w:val="28"/>
        </w:rPr>
        <w:t>热</w:t>
      </w:r>
      <w:r>
        <w:rPr>
          <w:rFonts w:hint="eastAsia" w:ascii="仿宋" w:hAnsi="仿宋" w:eastAsia="仿宋" w:cs="仿宋"/>
          <w:color w:val="auto"/>
          <w:spacing w:val="2"/>
          <w:w w:val="100"/>
          <w:sz w:val="28"/>
          <w:szCs w:val="28"/>
        </w:rPr>
        <w:t>油受到</w:t>
      </w:r>
      <w:r>
        <w:rPr>
          <w:rFonts w:hint="eastAsia" w:ascii="仿宋" w:hAnsi="仿宋" w:eastAsia="仿宋" w:cs="仿宋"/>
          <w:color w:val="auto"/>
          <w:spacing w:val="0"/>
          <w:w w:val="100"/>
          <w:sz w:val="28"/>
          <w:szCs w:val="28"/>
        </w:rPr>
        <w:t>箱 内</w:t>
      </w:r>
      <w:r>
        <w:rPr>
          <w:rFonts w:hint="eastAsia" w:ascii="仿宋" w:hAnsi="仿宋" w:eastAsia="仿宋" w:cs="仿宋"/>
          <w:color w:val="auto"/>
          <w:spacing w:val="2"/>
          <w:w w:val="100"/>
          <w:sz w:val="28"/>
          <w:szCs w:val="28"/>
        </w:rPr>
        <w:t>压</w:t>
      </w:r>
      <w:r>
        <w:rPr>
          <w:rFonts w:hint="eastAsia" w:ascii="仿宋" w:hAnsi="仿宋" w:eastAsia="仿宋" w:cs="仿宋"/>
          <w:color w:val="auto"/>
          <w:spacing w:val="0"/>
          <w:w w:val="100"/>
          <w:sz w:val="28"/>
          <w:szCs w:val="28"/>
        </w:rPr>
        <w:t>力</w:t>
      </w:r>
      <w:r>
        <w:rPr>
          <w:rFonts w:hint="eastAsia" w:ascii="仿宋" w:hAnsi="仿宋" w:eastAsia="仿宋" w:cs="仿宋"/>
          <w:color w:val="auto"/>
          <w:spacing w:val="2"/>
          <w:w w:val="100"/>
          <w:sz w:val="28"/>
          <w:szCs w:val="28"/>
        </w:rPr>
        <w:t>喷</w:t>
      </w:r>
      <w:r>
        <w:rPr>
          <w:rFonts w:hint="eastAsia" w:ascii="仿宋" w:hAnsi="仿宋" w:eastAsia="仿宋" w:cs="仿宋"/>
          <w:color w:val="auto"/>
          <w:spacing w:val="0"/>
          <w:w w:val="100"/>
          <w:sz w:val="28"/>
          <w:szCs w:val="28"/>
        </w:rPr>
        <w:t>出</w:t>
      </w:r>
      <w:r>
        <w:rPr>
          <w:rFonts w:hint="eastAsia" w:ascii="仿宋" w:hAnsi="仿宋" w:eastAsia="仿宋" w:cs="仿宋"/>
          <w:color w:val="auto"/>
          <w:spacing w:val="2"/>
          <w:w w:val="100"/>
          <w:sz w:val="28"/>
          <w:szCs w:val="28"/>
        </w:rPr>
        <w:t>烫</w:t>
      </w:r>
      <w:r>
        <w:rPr>
          <w:rFonts w:hint="eastAsia" w:ascii="仿宋" w:hAnsi="仿宋" w:eastAsia="仿宋" w:cs="仿宋"/>
          <w:color w:val="auto"/>
          <w:spacing w:val="0"/>
          <w:w w:val="100"/>
          <w:sz w:val="28"/>
          <w:szCs w:val="28"/>
        </w:rPr>
        <w:t>伤</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员。</w:t>
      </w:r>
    </w:p>
    <w:p w14:paraId="11FFAD35">
      <w:pPr>
        <w:keepNext w:val="0"/>
        <w:keepLines w:val="0"/>
        <w:pageBreakBefore w:val="0"/>
        <w:widowControl w:val="0"/>
        <w:kinsoku/>
        <w:wordWrap/>
        <w:overflowPunct/>
        <w:topLinePunct w:val="0"/>
        <w:autoSpaceDE/>
        <w:autoSpaceDN/>
        <w:bidi w:val="0"/>
        <w:adjustRightInd/>
        <w:snapToGrid/>
        <w:spacing w:before="27" w:after="0" w:line="500" w:lineRule="exact"/>
        <w:ind w:right="151"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16</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5"/>
          <w:w w:val="100"/>
          <w:sz w:val="28"/>
          <w:szCs w:val="28"/>
        </w:rPr>
        <w:t>辆</w:t>
      </w:r>
      <w:r>
        <w:rPr>
          <w:rFonts w:hint="eastAsia" w:ascii="仿宋" w:hAnsi="仿宋" w:eastAsia="仿宋" w:cs="仿宋"/>
          <w:color w:val="auto"/>
          <w:spacing w:val="2"/>
          <w:w w:val="100"/>
          <w:sz w:val="28"/>
          <w:szCs w:val="28"/>
        </w:rPr>
        <w:t>发生故</w:t>
      </w:r>
      <w:r>
        <w:rPr>
          <w:rFonts w:hint="eastAsia" w:ascii="仿宋" w:hAnsi="仿宋" w:eastAsia="仿宋" w:cs="仿宋"/>
          <w:color w:val="auto"/>
          <w:spacing w:val="5"/>
          <w:w w:val="100"/>
          <w:sz w:val="28"/>
          <w:szCs w:val="28"/>
        </w:rPr>
        <w:t>障</w:t>
      </w:r>
      <w:r>
        <w:rPr>
          <w:rFonts w:hint="eastAsia" w:ascii="仿宋" w:hAnsi="仿宋" w:eastAsia="仿宋" w:cs="仿宋"/>
          <w:color w:val="auto"/>
          <w:spacing w:val="2"/>
          <w:w w:val="100"/>
          <w:sz w:val="28"/>
          <w:szCs w:val="28"/>
        </w:rPr>
        <w:t>，需要</w:t>
      </w:r>
      <w:r>
        <w:rPr>
          <w:rFonts w:hint="eastAsia" w:ascii="仿宋" w:hAnsi="仿宋" w:eastAsia="仿宋" w:cs="仿宋"/>
          <w:color w:val="auto"/>
          <w:spacing w:val="5"/>
          <w:w w:val="100"/>
          <w:sz w:val="28"/>
          <w:szCs w:val="28"/>
        </w:rPr>
        <w:t>由</w:t>
      </w:r>
      <w:r>
        <w:rPr>
          <w:rFonts w:hint="eastAsia" w:ascii="仿宋" w:hAnsi="仿宋" w:eastAsia="仿宋" w:cs="仿宋"/>
          <w:color w:val="auto"/>
          <w:spacing w:val="2"/>
          <w:w w:val="100"/>
          <w:sz w:val="28"/>
          <w:szCs w:val="28"/>
        </w:rPr>
        <w:t>别的车辆</w:t>
      </w:r>
      <w:r>
        <w:rPr>
          <w:rFonts w:hint="eastAsia" w:ascii="仿宋" w:hAnsi="仿宋" w:eastAsia="仿宋" w:cs="仿宋"/>
          <w:color w:val="auto"/>
          <w:spacing w:val="5"/>
          <w:w w:val="100"/>
          <w:sz w:val="28"/>
          <w:szCs w:val="28"/>
        </w:rPr>
        <w:t>拖</w:t>
      </w:r>
      <w:r>
        <w:rPr>
          <w:rFonts w:hint="eastAsia" w:ascii="仿宋" w:hAnsi="仿宋" w:eastAsia="仿宋" w:cs="仿宋"/>
          <w:color w:val="auto"/>
          <w:spacing w:val="2"/>
          <w:w w:val="100"/>
          <w:sz w:val="28"/>
          <w:szCs w:val="28"/>
        </w:rPr>
        <w:t>回修理</w:t>
      </w:r>
      <w:r>
        <w:rPr>
          <w:rFonts w:hint="eastAsia" w:ascii="仿宋" w:hAnsi="仿宋" w:eastAsia="仿宋" w:cs="仿宋"/>
          <w:color w:val="auto"/>
          <w:spacing w:val="5"/>
          <w:w w:val="100"/>
          <w:sz w:val="28"/>
          <w:szCs w:val="28"/>
        </w:rPr>
        <w:t>时</w:t>
      </w:r>
      <w:r>
        <w:rPr>
          <w:rFonts w:hint="eastAsia" w:ascii="仿宋" w:hAnsi="仿宋" w:eastAsia="仿宋" w:cs="仿宋"/>
          <w:color w:val="auto"/>
          <w:spacing w:val="2"/>
          <w:w w:val="100"/>
          <w:sz w:val="28"/>
          <w:szCs w:val="28"/>
        </w:rPr>
        <w:t>，应将</w:t>
      </w:r>
      <w:r>
        <w:rPr>
          <w:rFonts w:hint="eastAsia" w:ascii="仿宋" w:hAnsi="仿宋" w:eastAsia="仿宋" w:cs="仿宋"/>
          <w:color w:val="auto"/>
          <w:spacing w:val="5"/>
          <w:w w:val="100"/>
          <w:sz w:val="28"/>
          <w:szCs w:val="28"/>
        </w:rPr>
        <w:t>前</w:t>
      </w:r>
      <w:r>
        <w:rPr>
          <w:rFonts w:hint="eastAsia" w:ascii="仿宋" w:hAnsi="仿宋" w:eastAsia="仿宋" w:cs="仿宋"/>
          <w:color w:val="auto"/>
          <w:spacing w:val="2"/>
          <w:w w:val="100"/>
          <w:sz w:val="28"/>
          <w:szCs w:val="28"/>
        </w:rPr>
        <w:t>后传动轴</w:t>
      </w:r>
      <w:r>
        <w:rPr>
          <w:rFonts w:hint="eastAsia" w:ascii="仿宋" w:hAnsi="仿宋" w:eastAsia="仿宋" w:cs="仿宋"/>
          <w:color w:val="auto"/>
          <w:spacing w:val="5"/>
          <w:w w:val="100"/>
          <w:sz w:val="28"/>
          <w:szCs w:val="28"/>
        </w:rPr>
        <w:t>和</w:t>
      </w:r>
      <w:r>
        <w:rPr>
          <w:rFonts w:hint="eastAsia" w:ascii="仿宋" w:hAnsi="仿宋" w:eastAsia="仿宋" w:cs="仿宋"/>
          <w:color w:val="auto"/>
          <w:spacing w:val="2"/>
          <w:w w:val="100"/>
          <w:sz w:val="28"/>
          <w:szCs w:val="28"/>
        </w:rPr>
        <w:t>转向油</w:t>
      </w:r>
      <w:r>
        <w:rPr>
          <w:rFonts w:hint="eastAsia" w:ascii="仿宋" w:hAnsi="仿宋" w:eastAsia="仿宋" w:cs="仿宋"/>
          <w:color w:val="auto"/>
          <w:spacing w:val="5"/>
          <w:w w:val="100"/>
          <w:sz w:val="28"/>
          <w:szCs w:val="28"/>
        </w:rPr>
        <w:t>缸</w:t>
      </w:r>
      <w:r>
        <w:rPr>
          <w:rFonts w:hint="eastAsia" w:ascii="仿宋" w:hAnsi="仿宋" w:eastAsia="仿宋" w:cs="仿宋"/>
          <w:color w:val="auto"/>
          <w:spacing w:val="2"/>
          <w:w w:val="100"/>
          <w:sz w:val="28"/>
          <w:szCs w:val="28"/>
        </w:rPr>
        <w:t>销轴拆</w:t>
      </w:r>
      <w:r>
        <w:rPr>
          <w:rFonts w:hint="eastAsia" w:ascii="仿宋" w:hAnsi="仿宋" w:eastAsia="仿宋" w:cs="仿宋"/>
          <w:color w:val="auto"/>
          <w:spacing w:val="5"/>
          <w:w w:val="100"/>
          <w:sz w:val="28"/>
          <w:szCs w:val="28"/>
        </w:rPr>
        <w:t>下</w:t>
      </w:r>
      <w:r>
        <w:rPr>
          <w:rFonts w:hint="eastAsia" w:ascii="仿宋" w:hAnsi="仿宋" w:eastAsia="仿宋" w:cs="仿宋"/>
          <w:color w:val="auto"/>
          <w:spacing w:val="2"/>
          <w:w w:val="100"/>
          <w:sz w:val="28"/>
          <w:szCs w:val="28"/>
        </w:rPr>
        <w:t>，否则</w:t>
      </w:r>
      <w:r>
        <w:rPr>
          <w:rFonts w:hint="eastAsia" w:ascii="仿宋" w:hAnsi="仿宋" w:eastAsia="仿宋" w:cs="仿宋"/>
          <w:color w:val="auto"/>
          <w:spacing w:val="0"/>
          <w:w w:val="100"/>
          <w:sz w:val="28"/>
          <w:szCs w:val="28"/>
        </w:rPr>
        <w:t>会 损</w:t>
      </w:r>
      <w:r>
        <w:rPr>
          <w:rFonts w:hint="eastAsia" w:ascii="仿宋" w:hAnsi="仿宋" w:eastAsia="仿宋" w:cs="仿宋"/>
          <w:color w:val="auto"/>
          <w:spacing w:val="2"/>
          <w:w w:val="100"/>
          <w:sz w:val="28"/>
          <w:szCs w:val="28"/>
        </w:rPr>
        <w:t>坏</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向</w:t>
      </w:r>
      <w:r>
        <w:rPr>
          <w:rFonts w:hint="eastAsia" w:ascii="仿宋" w:hAnsi="仿宋" w:eastAsia="仿宋" w:cs="仿宋"/>
          <w:color w:val="auto"/>
          <w:spacing w:val="0"/>
          <w:w w:val="100"/>
          <w:sz w:val="28"/>
          <w:szCs w:val="28"/>
        </w:rPr>
        <w:t>器</w:t>
      </w:r>
      <w:r>
        <w:rPr>
          <w:rFonts w:hint="eastAsia" w:ascii="仿宋" w:hAnsi="仿宋" w:eastAsia="仿宋" w:cs="仿宋"/>
          <w:color w:val="auto"/>
          <w:spacing w:val="2"/>
          <w:w w:val="100"/>
          <w:sz w:val="28"/>
          <w:szCs w:val="28"/>
        </w:rPr>
        <w:t>和</w:t>
      </w:r>
      <w:r>
        <w:rPr>
          <w:rFonts w:hint="eastAsia" w:ascii="仿宋" w:hAnsi="仿宋" w:eastAsia="仿宋" w:cs="仿宋"/>
          <w:color w:val="auto"/>
          <w:spacing w:val="0"/>
          <w:w w:val="100"/>
          <w:sz w:val="28"/>
          <w:szCs w:val="28"/>
        </w:rPr>
        <w:t>变</w:t>
      </w:r>
      <w:r>
        <w:rPr>
          <w:rFonts w:hint="eastAsia" w:ascii="仿宋" w:hAnsi="仿宋" w:eastAsia="仿宋" w:cs="仿宋"/>
          <w:color w:val="auto"/>
          <w:spacing w:val="2"/>
          <w:w w:val="100"/>
          <w:sz w:val="28"/>
          <w:szCs w:val="28"/>
        </w:rPr>
        <w:t>速</w:t>
      </w:r>
      <w:r>
        <w:rPr>
          <w:rFonts w:hint="eastAsia" w:ascii="仿宋" w:hAnsi="仿宋" w:eastAsia="仿宋" w:cs="仿宋"/>
          <w:color w:val="auto"/>
          <w:spacing w:val="0"/>
          <w:w w:val="100"/>
          <w:sz w:val="28"/>
          <w:szCs w:val="28"/>
        </w:rPr>
        <w:t>箱</w:t>
      </w:r>
      <w:r>
        <w:rPr>
          <w:rFonts w:hint="eastAsia" w:ascii="仿宋" w:hAnsi="仿宋" w:eastAsia="仿宋" w:cs="仿宋"/>
          <w:color w:val="auto"/>
          <w:spacing w:val="2"/>
          <w:w w:val="100"/>
          <w:sz w:val="28"/>
          <w:szCs w:val="28"/>
        </w:rPr>
        <w:t>离</w:t>
      </w:r>
      <w:r>
        <w:rPr>
          <w:rFonts w:hint="eastAsia" w:ascii="仿宋" w:hAnsi="仿宋" w:eastAsia="仿宋" w:cs="仿宋"/>
          <w:color w:val="auto"/>
          <w:spacing w:val="0"/>
          <w:w w:val="100"/>
          <w:sz w:val="28"/>
          <w:szCs w:val="28"/>
        </w:rPr>
        <w:t>合</w:t>
      </w:r>
      <w:r>
        <w:rPr>
          <w:rFonts w:hint="eastAsia" w:ascii="仿宋" w:hAnsi="仿宋" w:eastAsia="仿宋" w:cs="仿宋"/>
          <w:color w:val="auto"/>
          <w:spacing w:val="2"/>
          <w:w w:val="100"/>
          <w:sz w:val="28"/>
          <w:szCs w:val="28"/>
        </w:rPr>
        <w:t>器</w:t>
      </w:r>
      <w:r>
        <w:rPr>
          <w:rFonts w:hint="eastAsia" w:ascii="仿宋" w:hAnsi="仿宋" w:eastAsia="仿宋" w:cs="仿宋"/>
          <w:color w:val="auto"/>
          <w:spacing w:val="0"/>
          <w:w w:val="100"/>
          <w:sz w:val="28"/>
          <w:szCs w:val="28"/>
        </w:rPr>
        <w:t>。</w:t>
      </w:r>
    </w:p>
    <w:p w14:paraId="3CA6AAB4">
      <w:pPr>
        <w:keepNext w:val="0"/>
        <w:keepLines w:val="0"/>
        <w:pageBreakBefore w:val="0"/>
        <w:widowControl w:val="0"/>
        <w:kinsoku/>
        <w:wordWrap/>
        <w:overflowPunct/>
        <w:topLinePunct w:val="0"/>
        <w:autoSpaceDE/>
        <w:autoSpaceDN/>
        <w:bidi w:val="0"/>
        <w:adjustRightInd/>
        <w:snapToGrid/>
        <w:spacing w:before="29"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17</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使</w:t>
      </w:r>
      <w:r>
        <w:rPr>
          <w:rFonts w:hint="eastAsia" w:ascii="仿宋" w:hAnsi="仿宋" w:eastAsia="仿宋" w:cs="仿宋"/>
          <w:color w:val="auto"/>
          <w:spacing w:val="0"/>
          <w:w w:val="100"/>
          <w:sz w:val="28"/>
          <w:szCs w:val="28"/>
        </w:rPr>
        <w:t>用</w:t>
      </w:r>
      <w:r>
        <w:rPr>
          <w:rFonts w:hint="eastAsia" w:ascii="仿宋" w:hAnsi="仿宋" w:eastAsia="仿宋" w:cs="仿宋"/>
          <w:color w:val="auto"/>
          <w:spacing w:val="2"/>
          <w:w w:val="100"/>
          <w:sz w:val="28"/>
          <w:szCs w:val="28"/>
        </w:rPr>
        <w:t>的</w:t>
      </w:r>
      <w:r>
        <w:rPr>
          <w:rFonts w:hint="eastAsia" w:ascii="仿宋" w:hAnsi="仿宋" w:eastAsia="仿宋" w:cs="仿宋"/>
          <w:color w:val="auto"/>
          <w:spacing w:val="0"/>
          <w:w w:val="100"/>
          <w:sz w:val="28"/>
          <w:szCs w:val="28"/>
        </w:rPr>
        <w:t>油</w:t>
      </w:r>
      <w:r>
        <w:rPr>
          <w:rFonts w:hint="eastAsia" w:ascii="仿宋" w:hAnsi="仿宋" w:eastAsia="仿宋" w:cs="仿宋"/>
          <w:color w:val="auto"/>
          <w:spacing w:val="2"/>
          <w:w w:val="100"/>
          <w:sz w:val="28"/>
          <w:szCs w:val="28"/>
        </w:rPr>
        <w:t>料</w:t>
      </w:r>
      <w:r>
        <w:rPr>
          <w:rFonts w:hint="eastAsia" w:ascii="仿宋" w:hAnsi="仿宋" w:eastAsia="仿宋" w:cs="仿宋"/>
          <w:color w:val="auto"/>
          <w:spacing w:val="0"/>
          <w:w w:val="100"/>
          <w:sz w:val="28"/>
          <w:szCs w:val="28"/>
        </w:rPr>
        <w:t>必</w:t>
      </w:r>
      <w:r>
        <w:rPr>
          <w:rFonts w:hint="eastAsia" w:ascii="仿宋" w:hAnsi="仿宋" w:eastAsia="仿宋" w:cs="仿宋"/>
          <w:color w:val="auto"/>
          <w:spacing w:val="2"/>
          <w:w w:val="100"/>
          <w:sz w:val="28"/>
          <w:szCs w:val="28"/>
        </w:rPr>
        <w:t>须</w:t>
      </w:r>
      <w:r>
        <w:rPr>
          <w:rFonts w:hint="eastAsia" w:ascii="仿宋" w:hAnsi="仿宋" w:eastAsia="仿宋" w:cs="仿宋"/>
          <w:color w:val="auto"/>
          <w:spacing w:val="0"/>
          <w:w w:val="100"/>
          <w:sz w:val="28"/>
          <w:szCs w:val="28"/>
        </w:rPr>
        <w:t>清</w:t>
      </w:r>
      <w:r>
        <w:rPr>
          <w:rFonts w:hint="eastAsia" w:ascii="仿宋" w:hAnsi="仿宋" w:eastAsia="仿宋" w:cs="仿宋"/>
          <w:color w:val="auto"/>
          <w:spacing w:val="2"/>
          <w:w w:val="100"/>
          <w:sz w:val="28"/>
          <w:szCs w:val="28"/>
        </w:rPr>
        <w:t>洁</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并</w:t>
      </w:r>
      <w:r>
        <w:rPr>
          <w:rFonts w:hint="eastAsia" w:ascii="仿宋" w:hAnsi="仿宋" w:eastAsia="仿宋" w:cs="仿宋"/>
          <w:color w:val="auto"/>
          <w:spacing w:val="0"/>
          <w:w w:val="100"/>
          <w:sz w:val="28"/>
          <w:szCs w:val="28"/>
        </w:rPr>
        <w:t>符</w:t>
      </w:r>
      <w:r>
        <w:rPr>
          <w:rFonts w:hint="eastAsia" w:ascii="仿宋" w:hAnsi="仿宋" w:eastAsia="仿宋" w:cs="仿宋"/>
          <w:color w:val="auto"/>
          <w:spacing w:val="2"/>
          <w:w w:val="100"/>
          <w:sz w:val="28"/>
          <w:szCs w:val="28"/>
        </w:rPr>
        <w:t>合</w:t>
      </w:r>
      <w:r>
        <w:rPr>
          <w:rFonts w:hint="eastAsia" w:ascii="仿宋" w:hAnsi="仿宋" w:eastAsia="仿宋" w:cs="仿宋"/>
          <w:color w:val="auto"/>
          <w:spacing w:val="0"/>
          <w:w w:val="100"/>
          <w:sz w:val="28"/>
          <w:szCs w:val="28"/>
        </w:rPr>
        <w:t>规</w:t>
      </w:r>
      <w:r>
        <w:rPr>
          <w:rFonts w:hint="eastAsia" w:ascii="仿宋" w:hAnsi="仿宋" w:eastAsia="仿宋" w:cs="仿宋"/>
          <w:color w:val="auto"/>
          <w:spacing w:val="2"/>
          <w:w w:val="100"/>
          <w:sz w:val="28"/>
          <w:szCs w:val="28"/>
        </w:rPr>
        <w:t>定</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牌</w:t>
      </w:r>
      <w:r>
        <w:rPr>
          <w:rFonts w:hint="eastAsia" w:ascii="仿宋" w:hAnsi="仿宋" w:eastAsia="仿宋" w:cs="仿宋"/>
          <w:color w:val="auto"/>
          <w:spacing w:val="0"/>
          <w:w w:val="100"/>
          <w:sz w:val="28"/>
          <w:szCs w:val="28"/>
        </w:rPr>
        <w:t>号</w:t>
      </w:r>
      <w:r>
        <w:rPr>
          <w:rFonts w:hint="eastAsia" w:ascii="仿宋" w:hAnsi="仿宋" w:eastAsia="仿宋" w:cs="仿宋"/>
          <w:color w:val="auto"/>
          <w:spacing w:val="2"/>
          <w:w w:val="100"/>
          <w:sz w:val="28"/>
          <w:szCs w:val="28"/>
        </w:rPr>
        <w:t>和</w:t>
      </w:r>
      <w:r>
        <w:rPr>
          <w:rFonts w:hint="eastAsia" w:ascii="仿宋" w:hAnsi="仿宋" w:eastAsia="仿宋" w:cs="仿宋"/>
          <w:color w:val="auto"/>
          <w:spacing w:val="0"/>
          <w:w w:val="100"/>
          <w:sz w:val="28"/>
          <w:szCs w:val="28"/>
        </w:rPr>
        <w:t>质</w:t>
      </w:r>
      <w:r>
        <w:rPr>
          <w:rFonts w:hint="eastAsia" w:ascii="仿宋" w:hAnsi="仿宋" w:eastAsia="仿宋" w:cs="仿宋"/>
          <w:color w:val="auto"/>
          <w:spacing w:val="2"/>
          <w:w w:val="100"/>
          <w:sz w:val="28"/>
          <w:szCs w:val="28"/>
        </w:rPr>
        <w:t>量</w:t>
      </w:r>
      <w:r>
        <w:rPr>
          <w:rFonts w:hint="eastAsia" w:ascii="仿宋" w:hAnsi="仿宋" w:eastAsia="仿宋" w:cs="仿宋"/>
          <w:color w:val="auto"/>
          <w:spacing w:val="0"/>
          <w:w w:val="100"/>
          <w:sz w:val="28"/>
          <w:szCs w:val="28"/>
        </w:rPr>
        <w:t>标</w:t>
      </w:r>
      <w:r>
        <w:rPr>
          <w:rFonts w:hint="eastAsia" w:ascii="仿宋" w:hAnsi="仿宋" w:eastAsia="仿宋" w:cs="仿宋"/>
          <w:color w:val="auto"/>
          <w:spacing w:val="2"/>
          <w:w w:val="100"/>
          <w:sz w:val="28"/>
          <w:szCs w:val="28"/>
        </w:rPr>
        <w:t>准</w:t>
      </w:r>
      <w:r>
        <w:rPr>
          <w:rFonts w:hint="eastAsia" w:ascii="仿宋" w:hAnsi="仿宋" w:eastAsia="仿宋" w:cs="仿宋"/>
          <w:color w:val="auto"/>
          <w:spacing w:val="0"/>
          <w:w w:val="100"/>
          <w:sz w:val="28"/>
          <w:szCs w:val="28"/>
        </w:rPr>
        <w:t>。</w:t>
      </w:r>
    </w:p>
    <w:p w14:paraId="169FE699">
      <w:pPr>
        <w:keepNext w:val="0"/>
        <w:keepLines w:val="0"/>
        <w:pageBreakBefore w:val="0"/>
        <w:widowControl w:val="0"/>
        <w:kinsoku/>
        <w:wordWrap/>
        <w:overflowPunct/>
        <w:topLinePunct w:val="0"/>
        <w:autoSpaceDE/>
        <w:autoSpaceDN/>
        <w:bidi w:val="0"/>
        <w:adjustRightInd/>
        <w:snapToGrid/>
        <w:spacing w:before="88"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18</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卸</w:t>
      </w:r>
      <w:r>
        <w:rPr>
          <w:rFonts w:hint="eastAsia" w:ascii="仿宋" w:hAnsi="仿宋" w:eastAsia="仿宋" w:cs="仿宋"/>
          <w:color w:val="auto"/>
          <w:spacing w:val="0"/>
          <w:w w:val="100"/>
          <w:sz w:val="28"/>
          <w:szCs w:val="28"/>
        </w:rPr>
        <w:t>料</w:t>
      </w:r>
      <w:r>
        <w:rPr>
          <w:rFonts w:hint="eastAsia" w:ascii="仿宋" w:hAnsi="仿宋" w:eastAsia="仿宋" w:cs="仿宋"/>
          <w:color w:val="auto"/>
          <w:spacing w:val="2"/>
          <w:w w:val="100"/>
          <w:sz w:val="28"/>
          <w:szCs w:val="28"/>
        </w:rPr>
        <w:t>后</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先</w:t>
      </w:r>
      <w:r>
        <w:rPr>
          <w:rFonts w:hint="eastAsia" w:ascii="仿宋" w:hAnsi="仿宋" w:eastAsia="仿宋" w:cs="仿宋"/>
          <w:color w:val="auto"/>
          <w:spacing w:val="2"/>
          <w:w w:val="100"/>
          <w:sz w:val="28"/>
          <w:szCs w:val="28"/>
        </w:rPr>
        <w:t>将</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0"/>
          <w:w w:val="100"/>
          <w:sz w:val="28"/>
          <w:szCs w:val="28"/>
        </w:rPr>
        <w:t>上</w:t>
      </w:r>
      <w:r>
        <w:rPr>
          <w:rFonts w:hint="eastAsia" w:ascii="仿宋" w:hAnsi="仿宋" w:eastAsia="仿宋" w:cs="仿宋"/>
          <w:color w:val="auto"/>
          <w:spacing w:val="2"/>
          <w:w w:val="100"/>
          <w:sz w:val="28"/>
          <w:szCs w:val="28"/>
        </w:rPr>
        <w:t>翻</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然</w:t>
      </w:r>
      <w:r>
        <w:rPr>
          <w:rFonts w:hint="eastAsia" w:ascii="仿宋" w:hAnsi="仿宋" w:eastAsia="仿宋" w:cs="仿宋"/>
          <w:color w:val="auto"/>
          <w:spacing w:val="0"/>
          <w:w w:val="100"/>
          <w:sz w:val="28"/>
          <w:szCs w:val="28"/>
        </w:rPr>
        <w:t>后</w:t>
      </w:r>
      <w:r>
        <w:rPr>
          <w:rFonts w:hint="eastAsia" w:ascii="仿宋" w:hAnsi="仿宋" w:eastAsia="仿宋" w:cs="仿宋"/>
          <w:color w:val="auto"/>
          <w:spacing w:val="2"/>
          <w:w w:val="100"/>
          <w:sz w:val="28"/>
          <w:szCs w:val="28"/>
        </w:rPr>
        <w:t>方</w:t>
      </w:r>
      <w:r>
        <w:rPr>
          <w:rFonts w:hint="eastAsia" w:ascii="仿宋" w:hAnsi="仿宋" w:eastAsia="仿宋" w:cs="仿宋"/>
          <w:color w:val="auto"/>
          <w:spacing w:val="0"/>
          <w:w w:val="100"/>
          <w:sz w:val="28"/>
          <w:szCs w:val="28"/>
        </w:rPr>
        <w:t>能</w:t>
      </w:r>
      <w:r>
        <w:rPr>
          <w:rFonts w:hint="eastAsia" w:ascii="仿宋" w:hAnsi="仿宋" w:eastAsia="仿宋" w:cs="仿宋"/>
          <w:color w:val="auto"/>
          <w:spacing w:val="2"/>
          <w:w w:val="100"/>
          <w:sz w:val="28"/>
          <w:szCs w:val="28"/>
        </w:rPr>
        <w:t>提</w:t>
      </w:r>
      <w:r>
        <w:rPr>
          <w:rFonts w:hint="eastAsia" w:ascii="仿宋" w:hAnsi="仿宋" w:eastAsia="仿宋" w:cs="仿宋"/>
          <w:color w:val="auto"/>
          <w:spacing w:val="0"/>
          <w:w w:val="100"/>
          <w:sz w:val="28"/>
          <w:szCs w:val="28"/>
        </w:rPr>
        <w:t>升</w:t>
      </w:r>
      <w:r>
        <w:rPr>
          <w:rFonts w:hint="eastAsia" w:ascii="仿宋" w:hAnsi="仿宋" w:eastAsia="仿宋" w:cs="仿宋"/>
          <w:color w:val="auto"/>
          <w:spacing w:val="2"/>
          <w:w w:val="100"/>
          <w:sz w:val="28"/>
          <w:szCs w:val="28"/>
        </w:rPr>
        <w:t>大</w:t>
      </w:r>
      <w:r>
        <w:rPr>
          <w:rFonts w:hint="eastAsia" w:ascii="仿宋" w:hAnsi="仿宋" w:eastAsia="仿宋" w:cs="仿宋"/>
          <w:color w:val="auto"/>
          <w:spacing w:val="0"/>
          <w:w w:val="100"/>
          <w:sz w:val="28"/>
          <w:szCs w:val="28"/>
        </w:rPr>
        <w:t>臂。</w:t>
      </w:r>
    </w:p>
    <w:p w14:paraId="02A3D0C4">
      <w:pPr>
        <w:keepNext w:val="0"/>
        <w:keepLines w:val="0"/>
        <w:pageBreakBefore w:val="0"/>
        <w:widowControl w:val="0"/>
        <w:kinsoku/>
        <w:wordWrap/>
        <w:overflowPunct/>
        <w:topLinePunct w:val="0"/>
        <w:autoSpaceDE/>
        <w:autoSpaceDN/>
        <w:bidi w:val="0"/>
        <w:adjustRightInd/>
        <w:snapToGrid/>
        <w:spacing w:before="91" w:after="0" w:line="500" w:lineRule="exact"/>
        <w:ind w:right="143" w:firstLine="558"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99"/>
          <w:sz w:val="28"/>
          <w:szCs w:val="28"/>
        </w:rPr>
        <w:t>19</w:t>
      </w:r>
      <w:r>
        <w:rPr>
          <w:rFonts w:hint="eastAsia" w:ascii="仿宋" w:hAnsi="仿宋" w:eastAsia="仿宋" w:cs="仿宋"/>
          <w:color w:val="auto"/>
          <w:spacing w:val="1"/>
          <w:w w:val="99"/>
          <w:sz w:val="28"/>
          <w:szCs w:val="28"/>
          <w:lang w:val="en-US" w:eastAsia="zh-CN"/>
        </w:rPr>
        <w:t>.</w:t>
      </w:r>
      <w:r>
        <w:rPr>
          <w:rFonts w:hint="eastAsia" w:ascii="仿宋" w:hAnsi="仿宋" w:eastAsia="仿宋" w:cs="仿宋"/>
          <w:color w:val="auto"/>
          <w:spacing w:val="2"/>
          <w:w w:val="99"/>
          <w:sz w:val="28"/>
          <w:szCs w:val="28"/>
        </w:rPr>
        <w:t>当</w:t>
      </w:r>
      <w:r>
        <w:rPr>
          <w:rFonts w:hint="eastAsia" w:ascii="仿宋" w:hAnsi="仿宋" w:eastAsia="仿宋" w:cs="仿宋"/>
          <w:color w:val="auto"/>
          <w:spacing w:val="0"/>
          <w:w w:val="99"/>
          <w:sz w:val="28"/>
          <w:szCs w:val="28"/>
        </w:rPr>
        <w:t>制</w:t>
      </w:r>
      <w:r>
        <w:rPr>
          <w:rFonts w:hint="eastAsia" w:ascii="仿宋" w:hAnsi="仿宋" w:eastAsia="仿宋" w:cs="仿宋"/>
          <w:color w:val="auto"/>
          <w:spacing w:val="2"/>
          <w:w w:val="99"/>
          <w:sz w:val="28"/>
          <w:szCs w:val="28"/>
        </w:rPr>
        <w:t>动</w:t>
      </w:r>
      <w:r>
        <w:rPr>
          <w:rFonts w:hint="eastAsia" w:ascii="仿宋" w:hAnsi="仿宋" w:eastAsia="仿宋" w:cs="仿宋"/>
          <w:color w:val="auto"/>
          <w:spacing w:val="0"/>
          <w:w w:val="99"/>
          <w:sz w:val="28"/>
          <w:szCs w:val="28"/>
        </w:rPr>
        <w:t>系</w:t>
      </w:r>
      <w:r>
        <w:rPr>
          <w:rFonts w:hint="eastAsia" w:ascii="仿宋" w:hAnsi="仿宋" w:eastAsia="仿宋" w:cs="仿宋"/>
          <w:color w:val="auto"/>
          <w:spacing w:val="2"/>
          <w:w w:val="99"/>
          <w:sz w:val="28"/>
          <w:szCs w:val="28"/>
        </w:rPr>
        <w:t>统</w:t>
      </w:r>
      <w:r>
        <w:rPr>
          <w:rFonts w:hint="eastAsia" w:ascii="仿宋" w:hAnsi="仿宋" w:eastAsia="仿宋" w:cs="仿宋"/>
          <w:color w:val="auto"/>
          <w:spacing w:val="0"/>
          <w:w w:val="99"/>
          <w:sz w:val="28"/>
          <w:szCs w:val="28"/>
        </w:rPr>
        <w:t>中</w:t>
      </w:r>
      <w:r>
        <w:rPr>
          <w:rFonts w:hint="eastAsia" w:ascii="仿宋" w:hAnsi="仿宋" w:eastAsia="仿宋" w:cs="仿宋"/>
          <w:color w:val="auto"/>
          <w:spacing w:val="2"/>
          <w:w w:val="99"/>
          <w:sz w:val="28"/>
          <w:szCs w:val="28"/>
        </w:rPr>
        <w:t>气</w:t>
      </w:r>
      <w:r>
        <w:rPr>
          <w:rFonts w:hint="eastAsia" w:ascii="仿宋" w:hAnsi="仿宋" w:eastAsia="仿宋" w:cs="仿宋"/>
          <w:color w:val="auto"/>
          <w:spacing w:val="0"/>
          <w:w w:val="99"/>
          <w:sz w:val="28"/>
          <w:szCs w:val="28"/>
        </w:rPr>
        <w:t>压</w:t>
      </w:r>
      <w:r>
        <w:rPr>
          <w:rFonts w:hint="eastAsia" w:ascii="仿宋" w:hAnsi="仿宋" w:eastAsia="仿宋" w:cs="仿宋"/>
          <w:color w:val="auto"/>
          <w:spacing w:val="2"/>
          <w:w w:val="99"/>
          <w:sz w:val="28"/>
          <w:szCs w:val="28"/>
        </w:rPr>
        <w:t>超</w:t>
      </w:r>
      <w:r>
        <w:rPr>
          <w:rFonts w:hint="eastAsia" w:ascii="仿宋" w:hAnsi="仿宋" w:eastAsia="仿宋" w:cs="仿宋"/>
          <w:color w:val="auto"/>
          <w:spacing w:val="0"/>
          <w:w w:val="99"/>
          <w:sz w:val="28"/>
          <w:szCs w:val="28"/>
        </w:rPr>
        <w:t>过</w:t>
      </w:r>
      <w:r>
        <w:rPr>
          <w:rFonts w:hint="eastAsia" w:ascii="仿宋" w:hAnsi="仿宋" w:eastAsia="仿宋" w:cs="仿宋"/>
          <w:color w:val="auto"/>
          <w:spacing w:val="-52"/>
          <w:w w:val="100"/>
          <w:sz w:val="28"/>
          <w:szCs w:val="28"/>
        </w:rPr>
        <w:t xml:space="preserve"> </w:t>
      </w:r>
      <w:r>
        <w:rPr>
          <w:rFonts w:hint="eastAsia" w:ascii="仿宋" w:hAnsi="仿宋" w:eastAsia="仿宋" w:cs="仿宋"/>
          <w:color w:val="auto"/>
          <w:spacing w:val="1"/>
          <w:w w:val="99"/>
          <w:sz w:val="28"/>
          <w:szCs w:val="28"/>
        </w:rPr>
        <w:t>1MP</w:t>
      </w:r>
      <w:r>
        <w:rPr>
          <w:rFonts w:hint="eastAsia" w:ascii="仿宋" w:hAnsi="仿宋" w:eastAsia="仿宋" w:cs="仿宋"/>
          <w:color w:val="auto"/>
          <w:spacing w:val="0"/>
          <w:w w:val="99"/>
          <w:sz w:val="28"/>
          <w:szCs w:val="28"/>
        </w:rPr>
        <w:t>a</w:t>
      </w:r>
      <w:r>
        <w:rPr>
          <w:rFonts w:hint="eastAsia" w:ascii="仿宋" w:hAnsi="仿宋" w:eastAsia="仿宋" w:cs="仿宋"/>
          <w:color w:val="auto"/>
          <w:spacing w:val="-53"/>
          <w:w w:val="100"/>
          <w:sz w:val="28"/>
          <w:szCs w:val="28"/>
        </w:rPr>
        <w:t xml:space="preserve"> </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子</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停</w:t>
      </w:r>
      <w:r>
        <w:rPr>
          <w:rFonts w:hint="eastAsia" w:ascii="仿宋" w:hAnsi="仿宋" w:eastAsia="仿宋" w:cs="仿宋"/>
          <w:color w:val="auto"/>
          <w:spacing w:val="2"/>
          <w:w w:val="100"/>
          <w:sz w:val="28"/>
          <w:szCs w:val="28"/>
        </w:rPr>
        <w:t>止</w:t>
      </w:r>
      <w:r>
        <w:rPr>
          <w:rFonts w:hint="eastAsia" w:ascii="仿宋" w:hAnsi="仿宋" w:eastAsia="仿宋" w:cs="仿宋"/>
          <w:color w:val="auto"/>
          <w:spacing w:val="0"/>
          <w:w w:val="100"/>
          <w:sz w:val="28"/>
          <w:szCs w:val="28"/>
        </w:rPr>
        <w:t>使用</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并</w:t>
      </w:r>
      <w:r>
        <w:rPr>
          <w:rFonts w:hint="eastAsia" w:ascii="仿宋" w:hAnsi="仿宋" w:eastAsia="仿宋" w:cs="仿宋"/>
          <w:color w:val="auto"/>
          <w:spacing w:val="0"/>
          <w:w w:val="100"/>
          <w:sz w:val="28"/>
          <w:szCs w:val="28"/>
        </w:rPr>
        <w:t>检</w:t>
      </w:r>
      <w:r>
        <w:rPr>
          <w:rFonts w:hint="eastAsia" w:ascii="仿宋" w:hAnsi="仿宋" w:eastAsia="仿宋" w:cs="仿宋"/>
          <w:color w:val="auto"/>
          <w:spacing w:val="2"/>
          <w:w w:val="100"/>
          <w:sz w:val="28"/>
          <w:szCs w:val="28"/>
        </w:rPr>
        <w:t>查</w:t>
      </w:r>
      <w:r>
        <w:rPr>
          <w:rFonts w:hint="eastAsia" w:ascii="仿宋" w:hAnsi="仿宋" w:eastAsia="仿宋" w:cs="仿宋"/>
          <w:color w:val="auto"/>
          <w:spacing w:val="0"/>
          <w:w w:val="100"/>
          <w:sz w:val="28"/>
          <w:szCs w:val="28"/>
        </w:rPr>
        <w:t>储</w:t>
      </w:r>
      <w:r>
        <w:rPr>
          <w:rFonts w:hint="eastAsia" w:ascii="仿宋" w:hAnsi="仿宋" w:eastAsia="仿宋" w:cs="仿宋"/>
          <w:color w:val="auto"/>
          <w:spacing w:val="2"/>
          <w:w w:val="100"/>
          <w:sz w:val="28"/>
          <w:szCs w:val="28"/>
        </w:rPr>
        <w:t>气</w:t>
      </w:r>
      <w:r>
        <w:rPr>
          <w:rFonts w:hint="eastAsia" w:ascii="仿宋" w:hAnsi="仿宋" w:eastAsia="仿宋" w:cs="仿宋"/>
          <w:color w:val="auto"/>
          <w:spacing w:val="0"/>
          <w:w w:val="100"/>
          <w:sz w:val="28"/>
          <w:szCs w:val="28"/>
        </w:rPr>
        <w:t>筒</w:t>
      </w:r>
      <w:r>
        <w:rPr>
          <w:rFonts w:hint="eastAsia" w:ascii="仿宋" w:hAnsi="仿宋" w:eastAsia="仿宋" w:cs="仿宋"/>
          <w:color w:val="auto"/>
          <w:spacing w:val="2"/>
          <w:w w:val="100"/>
          <w:sz w:val="28"/>
          <w:szCs w:val="28"/>
        </w:rPr>
        <w:t>安</w:t>
      </w:r>
      <w:r>
        <w:rPr>
          <w:rFonts w:hint="eastAsia" w:ascii="仿宋" w:hAnsi="仿宋" w:eastAsia="仿宋" w:cs="仿宋"/>
          <w:color w:val="auto"/>
          <w:spacing w:val="0"/>
          <w:w w:val="100"/>
          <w:sz w:val="28"/>
          <w:szCs w:val="28"/>
        </w:rPr>
        <w:t>全</w:t>
      </w:r>
      <w:r>
        <w:rPr>
          <w:rFonts w:hint="eastAsia" w:ascii="仿宋" w:hAnsi="仿宋" w:eastAsia="仿宋" w:cs="仿宋"/>
          <w:color w:val="auto"/>
          <w:spacing w:val="2"/>
          <w:w w:val="100"/>
          <w:sz w:val="28"/>
          <w:szCs w:val="28"/>
        </w:rPr>
        <w:t>阀</w:t>
      </w:r>
      <w:r>
        <w:rPr>
          <w:rFonts w:hint="eastAsia" w:ascii="仿宋" w:hAnsi="仿宋" w:eastAsia="仿宋" w:cs="仿宋"/>
          <w:color w:val="auto"/>
          <w:spacing w:val="0"/>
          <w:w w:val="100"/>
          <w:sz w:val="28"/>
          <w:szCs w:val="28"/>
        </w:rPr>
        <w:t>是</w:t>
      </w:r>
      <w:r>
        <w:rPr>
          <w:rFonts w:hint="eastAsia" w:ascii="仿宋" w:hAnsi="仿宋" w:eastAsia="仿宋" w:cs="仿宋"/>
          <w:color w:val="auto"/>
          <w:spacing w:val="2"/>
          <w:w w:val="100"/>
          <w:sz w:val="28"/>
          <w:szCs w:val="28"/>
        </w:rPr>
        <w:t>否</w:t>
      </w:r>
      <w:r>
        <w:rPr>
          <w:rFonts w:hint="eastAsia" w:ascii="仿宋" w:hAnsi="仿宋" w:eastAsia="仿宋" w:cs="仿宋"/>
          <w:color w:val="auto"/>
          <w:spacing w:val="0"/>
          <w:w w:val="100"/>
          <w:sz w:val="28"/>
          <w:szCs w:val="28"/>
        </w:rPr>
        <w:t>正</w:t>
      </w:r>
      <w:r>
        <w:rPr>
          <w:rFonts w:hint="eastAsia" w:ascii="仿宋" w:hAnsi="仿宋" w:eastAsia="仿宋" w:cs="仿宋"/>
          <w:color w:val="auto"/>
          <w:spacing w:val="2"/>
          <w:w w:val="100"/>
          <w:sz w:val="28"/>
          <w:szCs w:val="28"/>
        </w:rPr>
        <w:t>常</w:t>
      </w:r>
      <w:r>
        <w:rPr>
          <w:rFonts w:hint="eastAsia" w:ascii="仿宋" w:hAnsi="仿宋" w:eastAsia="仿宋" w:cs="仿宋"/>
          <w:color w:val="auto"/>
          <w:spacing w:val="-5"/>
          <w:w w:val="100"/>
          <w:sz w:val="28"/>
          <w:szCs w:val="28"/>
        </w:rPr>
        <w:t>，</w:t>
      </w:r>
      <w:r>
        <w:rPr>
          <w:rFonts w:hint="eastAsia" w:ascii="仿宋" w:hAnsi="仿宋" w:eastAsia="仿宋" w:cs="仿宋"/>
          <w:color w:val="auto"/>
          <w:spacing w:val="2"/>
          <w:w w:val="100"/>
          <w:sz w:val="28"/>
          <w:szCs w:val="28"/>
        </w:rPr>
        <w:t>以</w:t>
      </w:r>
      <w:r>
        <w:rPr>
          <w:rFonts w:hint="eastAsia" w:ascii="仿宋" w:hAnsi="仿宋" w:eastAsia="仿宋" w:cs="仿宋"/>
          <w:color w:val="auto"/>
          <w:spacing w:val="0"/>
          <w:w w:val="100"/>
          <w:sz w:val="28"/>
          <w:szCs w:val="28"/>
        </w:rPr>
        <w:t>免</w:t>
      </w:r>
      <w:r>
        <w:rPr>
          <w:rFonts w:hint="eastAsia" w:ascii="仿宋" w:hAnsi="仿宋" w:eastAsia="仿宋" w:cs="仿宋"/>
          <w:color w:val="auto"/>
          <w:spacing w:val="2"/>
          <w:w w:val="100"/>
          <w:sz w:val="28"/>
          <w:szCs w:val="28"/>
        </w:rPr>
        <w:t>造</w:t>
      </w:r>
      <w:r>
        <w:rPr>
          <w:rFonts w:hint="eastAsia" w:ascii="仿宋" w:hAnsi="仿宋" w:eastAsia="仿宋" w:cs="仿宋"/>
          <w:color w:val="auto"/>
          <w:spacing w:val="0"/>
          <w:w w:val="100"/>
          <w:sz w:val="28"/>
          <w:szCs w:val="28"/>
        </w:rPr>
        <w:t>成 意</w:t>
      </w:r>
      <w:r>
        <w:rPr>
          <w:rFonts w:hint="eastAsia" w:ascii="仿宋" w:hAnsi="仿宋" w:eastAsia="仿宋" w:cs="仿宋"/>
          <w:color w:val="auto"/>
          <w:spacing w:val="2"/>
          <w:w w:val="100"/>
          <w:sz w:val="28"/>
          <w:szCs w:val="28"/>
        </w:rPr>
        <w:t>外</w:t>
      </w:r>
      <w:r>
        <w:rPr>
          <w:rFonts w:hint="eastAsia" w:ascii="仿宋" w:hAnsi="仿宋" w:eastAsia="仿宋" w:cs="仿宋"/>
          <w:color w:val="auto"/>
          <w:spacing w:val="0"/>
          <w:w w:val="100"/>
          <w:sz w:val="28"/>
          <w:szCs w:val="28"/>
        </w:rPr>
        <w:t>事</w:t>
      </w:r>
      <w:r>
        <w:rPr>
          <w:rFonts w:hint="eastAsia" w:ascii="仿宋" w:hAnsi="仿宋" w:eastAsia="仿宋" w:cs="仿宋"/>
          <w:color w:val="auto"/>
          <w:spacing w:val="2"/>
          <w:w w:val="100"/>
          <w:sz w:val="28"/>
          <w:szCs w:val="28"/>
        </w:rPr>
        <w:t>故</w:t>
      </w:r>
      <w:r>
        <w:rPr>
          <w:rFonts w:hint="eastAsia" w:ascii="仿宋" w:hAnsi="仿宋" w:eastAsia="仿宋" w:cs="仿宋"/>
          <w:color w:val="auto"/>
          <w:spacing w:val="0"/>
          <w:w w:val="100"/>
          <w:sz w:val="28"/>
          <w:szCs w:val="28"/>
        </w:rPr>
        <w:t>。</w:t>
      </w:r>
    </w:p>
    <w:p w14:paraId="4B5DBFA8">
      <w:pPr>
        <w:keepNext w:val="0"/>
        <w:keepLines w:val="0"/>
        <w:pageBreakBefore w:val="0"/>
        <w:widowControl w:val="0"/>
        <w:kinsoku/>
        <w:wordWrap/>
        <w:overflowPunct/>
        <w:topLinePunct w:val="0"/>
        <w:autoSpaceDE/>
        <w:autoSpaceDN/>
        <w:bidi w:val="0"/>
        <w:adjustRightInd/>
        <w:snapToGrid/>
        <w:spacing w:before="27" w:after="0" w:line="500" w:lineRule="exact"/>
        <w:ind w:right="151" w:firstLine="564"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pacing w:val="1"/>
          <w:w w:val="100"/>
          <w:sz w:val="28"/>
          <w:szCs w:val="28"/>
        </w:rPr>
        <w:t>20</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当</w:t>
      </w:r>
      <w:r>
        <w:rPr>
          <w:rFonts w:hint="eastAsia" w:ascii="仿宋" w:hAnsi="仿宋" w:eastAsia="仿宋" w:cs="仿宋"/>
          <w:color w:val="auto"/>
          <w:spacing w:val="5"/>
          <w:w w:val="100"/>
          <w:sz w:val="28"/>
          <w:szCs w:val="28"/>
        </w:rPr>
        <w:t>自</w:t>
      </w:r>
      <w:r>
        <w:rPr>
          <w:rFonts w:hint="eastAsia" w:ascii="仿宋" w:hAnsi="仿宋" w:eastAsia="仿宋" w:cs="仿宋"/>
          <w:color w:val="auto"/>
          <w:spacing w:val="2"/>
          <w:w w:val="100"/>
          <w:sz w:val="28"/>
          <w:szCs w:val="28"/>
        </w:rPr>
        <w:t>动保护</w:t>
      </w:r>
      <w:r>
        <w:rPr>
          <w:rFonts w:hint="eastAsia" w:ascii="仿宋" w:hAnsi="仿宋" w:eastAsia="仿宋" w:cs="仿宋"/>
          <w:color w:val="auto"/>
          <w:spacing w:val="5"/>
          <w:w w:val="100"/>
          <w:sz w:val="28"/>
          <w:szCs w:val="28"/>
        </w:rPr>
        <w:t>装</w:t>
      </w:r>
      <w:r>
        <w:rPr>
          <w:rFonts w:hint="eastAsia" w:ascii="仿宋" w:hAnsi="仿宋" w:eastAsia="仿宋" w:cs="仿宋"/>
          <w:color w:val="auto"/>
          <w:spacing w:val="2"/>
          <w:w w:val="100"/>
          <w:sz w:val="28"/>
          <w:szCs w:val="28"/>
        </w:rPr>
        <w:t>置发出</w:t>
      </w:r>
      <w:r>
        <w:rPr>
          <w:rFonts w:hint="eastAsia" w:ascii="仿宋" w:hAnsi="仿宋" w:eastAsia="仿宋" w:cs="仿宋"/>
          <w:color w:val="auto"/>
          <w:spacing w:val="5"/>
          <w:w w:val="100"/>
          <w:sz w:val="28"/>
          <w:szCs w:val="28"/>
        </w:rPr>
        <w:t>声</w:t>
      </w:r>
      <w:r>
        <w:rPr>
          <w:rFonts w:hint="eastAsia" w:ascii="仿宋" w:hAnsi="仿宋" w:eastAsia="仿宋" w:cs="仿宋"/>
          <w:color w:val="auto"/>
          <w:spacing w:val="2"/>
          <w:w w:val="100"/>
          <w:sz w:val="28"/>
          <w:szCs w:val="28"/>
        </w:rPr>
        <w:t>光报警停</w:t>
      </w:r>
      <w:r>
        <w:rPr>
          <w:rFonts w:hint="eastAsia" w:ascii="仿宋" w:hAnsi="仿宋" w:eastAsia="仿宋" w:cs="仿宋"/>
          <w:color w:val="auto"/>
          <w:spacing w:val="5"/>
          <w:w w:val="100"/>
          <w:sz w:val="28"/>
          <w:szCs w:val="28"/>
        </w:rPr>
        <w:t>机</w:t>
      </w:r>
      <w:r>
        <w:rPr>
          <w:rFonts w:hint="eastAsia" w:ascii="仿宋" w:hAnsi="仿宋" w:eastAsia="仿宋" w:cs="仿宋"/>
          <w:color w:val="auto"/>
          <w:spacing w:val="2"/>
          <w:w w:val="100"/>
          <w:sz w:val="28"/>
          <w:szCs w:val="28"/>
        </w:rPr>
        <w:t>后，应</w:t>
      </w:r>
      <w:r>
        <w:rPr>
          <w:rFonts w:hint="eastAsia" w:ascii="仿宋" w:hAnsi="仿宋" w:eastAsia="仿宋" w:cs="仿宋"/>
          <w:color w:val="auto"/>
          <w:spacing w:val="5"/>
          <w:w w:val="100"/>
          <w:sz w:val="28"/>
          <w:szCs w:val="28"/>
        </w:rPr>
        <w:t>查</w:t>
      </w:r>
      <w:r>
        <w:rPr>
          <w:rFonts w:hint="eastAsia" w:ascii="仿宋" w:hAnsi="仿宋" w:eastAsia="仿宋" w:cs="仿宋"/>
          <w:color w:val="auto"/>
          <w:spacing w:val="2"/>
          <w:w w:val="100"/>
          <w:sz w:val="28"/>
          <w:szCs w:val="28"/>
        </w:rPr>
        <w:t>明原因</w:t>
      </w:r>
      <w:r>
        <w:rPr>
          <w:rFonts w:hint="eastAsia" w:ascii="仿宋" w:hAnsi="仿宋" w:eastAsia="仿宋" w:cs="仿宋"/>
          <w:color w:val="auto"/>
          <w:spacing w:val="5"/>
          <w:w w:val="100"/>
          <w:sz w:val="28"/>
          <w:szCs w:val="28"/>
        </w:rPr>
        <w:t>，</w:t>
      </w:r>
      <w:r>
        <w:rPr>
          <w:rFonts w:hint="eastAsia" w:ascii="仿宋" w:hAnsi="仿宋" w:eastAsia="仿宋" w:cs="仿宋"/>
          <w:color w:val="auto"/>
          <w:spacing w:val="2"/>
          <w:w w:val="100"/>
          <w:sz w:val="28"/>
          <w:szCs w:val="28"/>
        </w:rPr>
        <w:t>是补水箱</w:t>
      </w:r>
      <w:r>
        <w:rPr>
          <w:rFonts w:hint="eastAsia" w:ascii="仿宋" w:hAnsi="仿宋" w:eastAsia="仿宋" w:cs="仿宋"/>
          <w:color w:val="auto"/>
          <w:spacing w:val="5"/>
          <w:w w:val="100"/>
          <w:sz w:val="28"/>
          <w:szCs w:val="28"/>
        </w:rPr>
        <w:t>水</w:t>
      </w:r>
      <w:r>
        <w:rPr>
          <w:rFonts w:hint="eastAsia" w:ascii="仿宋" w:hAnsi="仿宋" w:eastAsia="仿宋" w:cs="仿宋"/>
          <w:color w:val="auto"/>
          <w:spacing w:val="2"/>
          <w:w w:val="100"/>
          <w:sz w:val="28"/>
          <w:szCs w:val="28"/>
        </w:rPr>
        <w:t>位过低</w:t>
      </w:r>
      <w:r>
        <w:rPr>
          <w:rFonts w:hint="eastAsia" w:ascii="仿宋" w:hAnsi="仿宋" w:eastAsia="仿宋" w:cs="仿宋"/>
          <w:color w:val="auto"/>
          <w:spacing w:val="5"/>
          <w:w w:val="100"/>
          <w:sz w:val="28"/>
          <w:szCs w:val="28"/>
        </w:rPr>
        <w:t>还</w:t>
      </w:r>
      <w:r>
        <w:rPr>
          <w:rFonts w:hint="eastAsia" w:ascii="仿宋" w:hAnsi="仿宋" w:eastAsia="仿宋" w:cs="仿宋"/>
          <w:color w:val="auto"/>
          <w:spacing w:val="2"/>
          <w:w w:val="100"/>
          <w:sz w:val="28"/>
          <w:szCs w:val="28"/>
        </w:rPr>
        <w:t>是机油</w:t>
      </w:r>
      <w:r>
        <w:rPr>
          <w:rFonts w:hint="eastAsia" w:ascii="仿宋" w:hAnsi="仿宋" w:eastAsia="仿宋" w:cs="仿宋"/>
          <w:color w:val="auto"/>
          <w:spacing w:val="5"/>
          <w:w w:val="100"/>
          <w:sz w:val="28"/>
          <w:szCs w:val="28"/>
        </w:rPr>
        <w:t>压</w:t>
      </w:r>
      <w:r>
        <w:rPr>
          <w:rFonts w:hint="eastAsia" w:ascii="仿宋" w:hAnsi="仿宋" w:eastAsia="仿宋" w:cs="仿宋"/>
          <w:color w:val="auto"/>
          <w:spacing w:val="2"/>
          <w:w w:val="100"/>
          <w:sz w:val="28"/>
          <w:szCs w:val="28"/>
        </w:rPr>
        <w:t>力过低</w:t>
      </w:r>
      <w:r>
        <w:rPr>
          <w:rFonts w:hint="eastAsia" w:ascii="仿宋" w:hAnsi="仿宋" w:eastAsia="仿宋" w:cs="仿宋"/>
          <w:color w:val="auto"/>
          <w:spacing w:val="0"/>
          <w:w w:val="100"/>
          <w:sz w:val="28"/>
          <w:szCs w:val="28"/>
        </w:rPr>
        <w:t>或 过</w:t>
      </w:r>
      <w:r>
        <w:rPr>
          <w:rFonts w:hint="eastAsia" w:ascii="仿宋" w:hAnsi="仿宋" w:eastAsia="仿宋" w:cs="仿宋"/>
          <w:color w:val="auto"/>
          <w:spacing w:val="2"/>
          <w:w w:val="100"/>
          <w:sz w:val="28"/>
          <w:szCs w:val="28"/>
        </w:rPr>
        <w:t>高</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还</w:t>
      </w:r>
      <w:r>
        <w:rPr>
          <w:rFonts w:hint="eastAsia" w:ascii="仿宋" w:hAnsi="仿宋" w:eastAsia="仿宋" w:cs="仿宋"/>
          <w:color w:val="auto"/>
          <w:spacing w:val="0"/>
          <w:w w:val="100"/>
          <w:sz w:val="28"/>
          <w:szCs w:val="28"/>
        </w:rPr>
        <w:t>是</w:t>
      </w:r>
      <w:r>
        <w:rPr>
          <w:rFonts w:hint="eastAsia" w:ascii="仿宋" w:hAnsi="仿宋" w:eastAsia="仿宋" w:cs="仿宋"/>
          <w:color w:val="auto"/>
          <w:spacing w:val="2"/>
          <w:w w:val="100"/>
          <w:sz w:val="28"/>
          <w:szCs w:val="28"/>
        </w:rPr>
        <w:t>柴</w:t>
      </w:r>
      <w:r>
        <w:rPr>
          <w:rFonts w:hint="eastAsia" w:ascii="仿宋" w:hAnsi="仿宋" w:eastAsia="仿宋" w:cs="仿宋"/>
          <w:color w:val="auto"/>
          <w:spacing w:val="0"/>
          <w:w w:val="100"/>
          <w:sz w:val="28"/>
          <w:szCs w:val="28"/>
        </w:rPr>
        <w:t>油</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冷</w:t>
      </w:r>
      <w:r>
        <w:rPr>
          <w:rFonts w:hint="eastAsia" w:ascii="仿宋" w:hAnsi="仿宋" w:eastAsia="仿宋" w:cs="仿宋"/>
          <w:color w:val="auto"/>
          <w:spacing w:val="2"/>
          <w:w w:val="100"/>
          <w:sz w:val="28"/>
          <w:szCs w:val="28"/>
        </w:rPr>
        <w:t>却</w:t>
      </w:r>
      <w:r>
        <w:rPr>
          <w:rFonts w:hint="eastAsia" w:ascii="仿宋" w:hAnsi="仿宋" w:eastAsia="仿宋" w:cs="仿宋"/>
          <w:color w:val="auto"/>
          <w:spacing w:val="0"/>
          <w:w w:val="100"/>
          <w:sz w:val="28"/>
          <w:szCs w:val="28"/>
        </w:rPr>
        <w:t>水</w:t>
      </w:r>
      <w:r>
        <w:rPr>
          <w:rFonts w:hint="eastAsia" w:ascii="仿宋" w:hAnsi="仿宋" w:eastAsia="仿宋" w:cs="仿宋"/>
          <w:color w:val="auto"/>
          <w:spacing w:val="2"/>
          <w:w w:val="100"/>
          <w:sz w:val="28"/>
          <w:szCs w:val="28"/>
        </w:rPr>
        <w:t>不</w:t>
      </w:r>
      <w:r>
        <w:rPr>
          <w:rFonts w:hint="eastAsia" w:ascii="仿宋" w:hAnsi="仿宋" w:eastAsia="仿宋" w:cs="仿宋"/>
          <w:color w:val="auto"/>
          <w:spacing w:val="0"/>
          <w:w w:val="100"/>
          <w:sz w:val="28"/>
          <w:szCs w:val="28"/>
        </w:rPr>
        <w:t>足</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待</w:t>
      </w:r>
      <w:r>
        <w:rPr>
          <w:rFonts w:hint="eastAsia" w:ascii="仿宋" w:hAnsi="仿宋" w:eastAsia="仿宋" w:cs="仿宋"/>
          <w:color w:val="auto"/>
          <w:spacing w:val="2"/>
          <w:w w:val="100"/>
          <w:sz w:val="28"/>
          <w:szCs w:val="28"/>
        </w:rPr>
        <w:t>原</w:t>
      </w:r>
      <w:r>
        <w:rPr>
          <w:rFonts w:hint="eastAsia" w:ascii="仿宋" w:hAnsi="仿宋" w:eastAsia="仿宋" w:cs="仿宋"/>
          <w:color w:val="auto"/>
          <w:spacing w:val="0"/>
          <w:w w:val="100"/>
          <w:sz w:val="28"/>
          <w:szCs w:val="28"/>
        </w:rPr>
        <w:t>因</w:t>
      </w:r>
      <w:r>
        <w:rPr>
          <w:rFonts w:hint="eastAsia" w:ascii="仿宋" w:hAnsi="仿宋" w:eastAsia="仿宋" w:cs="仿宋"/>
          <w:color w:val="auto"/>
          <w:spacing w:val="2"/>
          <w:w w:val="100"/>
          <w:sz w:val="28"/>
          <w:szCs w:val="28"/>
        </w:rPr>
        <w:t>查</w:t>
      </w:r>
      <w:r>
        <w:rPr>
          <w:rFonts w:hint="eastAsia" w:ascii="仿宋" w:hAnsi="仿宋" w:eastAsia="仿宋" w:cs="仿宋"/>
          <w:color w:val="auto"/>
          <w:spacing w:val="0"/>
          <w:w w:val="100"/>
          <w:sz w:val="28"/>
          <w:szCs w:val="28"/>
        </w:rPr>
        <w:t>清</w:t>
      </w:r>
      <w:r>
        <w:rPr>
          <w:rFonts w:hint="eastAsia" w:ascii="仿宋" w:hAnsi="仿宋" w:eastAsia="仿宋" w:cs="仿宋"/>
          <w:color w:val="auto"/>
          <w:spacing w:val="2"/>
          <w:w w:val="100"/>
          <w:sz w:val="28"/>
          <w:szCs w:val="28"/>
        </w:rPr>
        <w:t>排</w:t>
      </w:r>
      <w:r>
        <w:rPr>
          <w:rFonts w:hint="eastAsia" w:ascii="仿宋" w:hAnsi="仿宋" w:eastAsia="仿宋" w:cs="仿宋"/>
          <w:color w:val="auto"/>
          <w:spacing w:val="0"/>
          <w:w w:val="100"/>
          <w:sz w:val="28"/>
          <w:szCs w:val="28"/>
        </w:rPr>
        <w:t>除</w:t>
      </w:r>
      <w:r>
        <w:rPr>
          <w:rFonts w:hint="eastAsia" w:ascii="仿宋" w:hAnsi="仿宋" w:eastAsia="仿宋" w:cs="仿宋"/>
          <w:color w:val="auto"/>
          <w:spacing w:val="2"/>
          <w:w w:val="100"/>
          <w:sz w:val="28"/>
          <w:szCs w:val="28"/>
        </w:rPr>
        <w:t>后</w:t>
      </w:r>
      <w:r>
        <w:rPr>
          <w:rFonts w:hint="eastAsia" w:ascii="仿宋" w:hAnsi="仿宋" w:eastAsia="仿宋" w:cs="仿宋"/>
          <w:color w:val="auto"/>
          <w:spacing w:val="0"/>
          <w:w w:val="100"/>
          <w:sz w:val="28"/>
          <w:szCs w:val="28"/>
        </w:rPr>
        <w:t>才</w:t>
      </w:r>
      <w:r>
        <w:rPr>
          <w:rFonts w:hint="eastAsia" w:ascii="仿宋" w:hAnsi="仿宋" w:eastAsia="仿宋" w:cs="仿宋"/>
          <w:color w:val="auto"/>
          <w:spacing w:val="2"/>
          <w:w w:val="100"/>
          <w:sz w:val="28"/>
          <w:szCs w:val="28"/>
        </w:rPr>
        <w:t>能</w:t>
      </w:r>
      <w:r>
        <w:rPr>
          <w:rFonts w:hint="eastAsia" w:ascii="仿宋" w:hAnsi="仿宋" w:eastAsia="仿宋" w:cs="仿宋"/>
          <w:color w:val="auto"/>
          <w:spacing w:val="0"/>
          <w:w w:val="100"/>
          <w:sz w:val="28"/>
          <w:szCs w:val="28"/>
        </w:rPr>
        <w:t>开</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w:t>
      </w:r>
    </w:p>
    <w:p w14:paraId="7D4EB636">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八、停机后确认</w:t>
      </w:r>
    </w:p>
    <w:p w14:paraId="557AA8E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1.停机位置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确定停机位置有无淋水、顶帮是否完好</w:t>
      </w:r>
      <w:r>
        <w:rPr>
          <w:rFonts w:hint="eastAsia" w:ascii="仿宋" w:hAnsi="仿宋" w:eastAsia="仿宋" w:cs="仿宋"/>
          <w:color w:val="auto"/>
          <w:sz w:val="28"/>
          <w:szCs w:val="28"/>
          <w:highlight w:val="none"/>
          <w:lang w:eastAsia="zh-CN"/>
        </w:rPr>
        <w:t>。</w:t>
      </w:r>
    </w:p>
    <w:p w14:paraId="0767DDA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制动</w:t>
      </w:r>
      <w:r>
        <w:rPr>
          <w:rFonts w:hint="eastAsia" w:ascii="仿宋" w:hAnsi="仿宋" w:eastAsia="仿宋" w:cs="仿宋"/>
          <w:color w:val="auto"/>
          <w:sz w:val="28"/>
          <w:szCs w:val="28"/>
          <w:highlight w:val="none"/>
        </w:rPr>
        <w:t>：</w:t>
      </w:r>
      <w:r>
        <w:rPr>
          <w:rFonts w:hint="eastAsia" w:ascii="仿宋" w:hAnsi="仿宋" w:eastAsia="仿宋" w:cs="仿宋"/>
          <w:color w:val="auto"/>
          <w:spacing w:val="3"/>
          <w:kern w:val="0"/>
          <w:sz w:val="28"/>
          <w:szCs w:val="28"/>
        </w:rPr>
        <w:t>松开制动踏板拉紧手制动操纵杆</w:t>
      </w:r>
      <w:r>
        <w:rPr>
          <w:rFonts w:hint="eastAsia" w:ascii="仿宋" w:hAnsi="仿宋" w:eastAsia="仿宋" w:cs="仿宋"/>
          <w:color w:val="auto"/>
          <w:sz w:val="28"/>
          <w:szCs w:val="28"/>
          <w:highlight w:val="none"/>
        </w:rPr>
        <w:t>。</w:t>
      </w:r>
    </w:p>
    <w:p w14:paraId="019DFA7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.铲斗</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铲斗</w:t>
      </w:r>
      <w:r>
        <w:rPr>
          <w:rFonts w:hint="eastAsia" w:ascii="仿宋" w:hAnsi="仿宋" w:eastAsia="仿宋" w:cs="仿宋"/>
          <w:color w:val="auto"/>
          <w:spacing w:val="3"/>
          <w:kern w:val="0"/>
          <w:sz w:val="28"/>
          <w:szCs w:val="28"/>
        </w:rPr>
        <w:t>放平到贴于地面</w:t>
      </w:r>
      <w:r>
        <w:rPr>
          <w:rFonts w:hint="eastAsia" w:ascii="仿宋" w:hAnsi="仿宋" w:eastAsia="仿宋" w:cs="仿宋"/>
          <w:color w:val="auto"/>
          <w:sz w:val="28"/>
          <w:szCs w:val="28"/>
          <w:highlight w:val="none"/>
        </w:rPr>
        <w:t>。</w:t>
      </w:r>
    </w:p>
    <w:p w14:paraId="1CDC3F4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4.停电闭锁：</w:t>
      </w:r>
      <w:r>
        <w:rPr>
          <w:rFonts w:hint="eastAsia" w:ascii="仿宋" w:hAnsi="仿宋" w:eastAsia="仿宋" w:cs="仿宋"/>
          <w:color w:val="auto"/>
          <w:sz w:val="28"/>
          <w:szCs w:val="28"/>
          <w:highlight w:val="none"/>
          <w:lang w:eastAsia="zh-CN"/>
        </w:rPr>
        <w:t>关闭</w:t>
      </w:r>
      <w:r>
        <w:rPr>
          <w:rFonts w:hint="eastAsia" w:ascii="仿宋" w:hAnsi="仿宋" w:eastAsia="仿宋" w:cs="仿宋"/>
          <w:color w:val="auto"/>
          <w:spacing w:val="3"/>
          <w:kern w:val="0"/>
          <w:sz w:val="28"/>
          <w:szCs w:val="28"/>
        </w:rPr>
        <w:t>发动机熄火开关使发动机熄火</w:t>
      </w:r>
      <w:r>
        <w:rPr>
          <w:rFonts w:hint="eastAsia" w:ascii="仿宋" w:hAnsi="仿宋" w:eastAsia="仿宋" w:cs="仿宋"/>
          <w:color w:val="auto"/>
          <w:spacing w:val="3"/>
          <w:kern w:val="0"/>
          <w:sz w:val="28"/>
          <w:szCs w:val="28"/>
          <w:lang w:eastAsia="zh-CN"/>
        </w:rPr>
        <w:t>，</w:t>
      </w:r>
      <w:r>
        <w:rPr>
          <w:rFonts w:hint="eastAsia" w:ascii="仿宋" w:hAnsi="仿宋" w:eastAsia="仿宋" w:cs="仿宋"/>
          <w:color w:val="auto"/>
          <w:spacing w:val="3"/>
          <w:kern w:val="0"/>
          <w:sz w:val="28"/>
          <w:szCs w:val="28"/>
        </w:rPr>
        <w:t>拉下总电源开关，切断电源</w:t>
      </w:r>
      <w:r>
        <w:rPr>
          <w:rFonts w:hint="eastAsia" w:ascii="仿宋" w:hAnsi="仿宋" w:eastAsia="仿宋" w:cs="仿宋"/>
          <w:color w:val="auto"/>
          <w:spacing w:val="3"/>
          <w:kern w:val="0"/>
          <w:sz w:val="28"/>
          <w:szCs w:val="28"/>
          <w:lang w:eastAsia="zh-CN"/>
        </w:rPr>
        <w:t>，</w:t>
      </w:r>
      <w:r>
        <w:rPr>
          <w:rFonts w:hint="eastAsia" w:ascii="仿宋" w:hAnsi="仿宋" w:eastAsia="仿宋" w:cs="仿宋"/>
          <w:color w:val="auto"/>
          <w:spacing w:val="3"/>
          <w:kern w:val="0"/>
          <w:sz w:val="28"/>
          <w:szCs w:val="28"/>
        </w:rPr>
        <w:t>拔出钥匙</w:t>
      </w:r>
      <w:r>
        <w:rPr>
          <w:rFonts w:hint="eastAsia" w:ascii="仿宋" w:hAnsi="仿宋" w:eastAsia="仿宋" w:cs="仿宋"/>
          <w:color w:val="auto"/>
          <w:spacing w:val="3"/>
          <w:kern w:val="0"/>
          <w:sz w:val="28"/>
          <w:szCs w:val="28"/>
          <w:lang w:eastAsia="zh-CN"/>
        </w:rPr>
        <w:t>。</w:t>
      </w:r>
    </w:p>
    <w:p w14:paraId="24C41D43">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九</w:t>
      </w:r>
      <w:r>
        <w:rPr>
          <w:rFonts w:hint="eastAsia" w:ascii="仿宋" w:hAnsi="仿宋" w:eastAsia="仿宋" w:cs="仿宋"/>
          <w:b/>
          <w:color w:val="auto"/>
          <w:sz w:val="28"/>
          <w:szCs w:val="28"/>
          <w:highlight w:val="none"/>
        </w:rPr>
        <w:t>、常见三违</w:t>
      </w:r>
    </w:p>
    <w:p w14:paraId="602C6F3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（一）</w:t>
      </w:r>
      <w:r>
        <w:rPr>
          <w:rFonts w:hint="eastAsia" w:ascii="仿宋" w:hAnsi="仿宋" w:eastAsia="仿宋" w:cs="仿宋"/>
          <w:color w:val="auto"/>
          <w:sz w:val="28"/>
          <w:szCs w:val="28"/>
        </w:rPr>
        <w:t>携带烟草和点火物品（手机），穿化纤衣服入井或入井前饮酒的；</w:t>
      </w:r>
    </w:p>
    <w:p w14:paraId="5A48C83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无证上岗、证件过期的；</w:t>
      </w:r>
    </w:p>
    <w:p w14:paraId="4922286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w:t>
      </w:r>
      <w:r>
        <w:rPr>
          <w:rFonts w:hint="eastAsia" w:ascii="仿宋" w:hAnsi="仿宋" w:eastAsia="仿宋" w:cs="仿宋"/>
          <w:color w:val="auto"/>
          <w:sz w:val="28"/>
          <w:szCs w:val="28"/>
        </w:rPr>
        <w:t>违反“行车不行人，行人不行车”制度的；</w:t>
      </w:r>
    </w:p>
    <w:p w14:paraId="3F8CB7F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w:t>
      </w:r>
      <w:r>
        <w:rPr>
          <w:rFonts w:hint="eastAsia" w:ascii="仿宋" w:hAnsi="仿宋" w:eastAsia="仿宋" w:cs="仿宋"/>
          <w:color w:val="auto"/>
          <w:sz w:val="28"/>
          <w:szCs w:val="28"/>
        </w:rPr>
        <w:t>扒车、跳车和坐矿车的；</w:t>
      </w:r>
    </w:p>
    <w:p w14:paraId="138FD88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w:t>
      </w:r>
      <w:r>
        <w:rPr>
          <w:rFonts w:hint="eastAsia" w:ascii="仿宋" w:hAnsi="仿宋" w:eastAsia="仿宋" w:cs="仿宋"/>
          <w:color w:val="auto"/>
          <w:sz w:val="28"/>
          <w:szCs w:val="28"/>
        </w:rPr>
        <w:t>人力推车放飞车或在坡度大于7‰的巷道内人力推车的；</w:t>
      </w:r>
    </w:p>
    <w:p w14:paraId="0DC5A67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（六）</w:t>
      </w:r>
      <w:r>
        <w:rPr>
          <w:rFonts w:hint="eastAsia" w:ascii="仿宋" w:hAnsi="仿宋" w:eastAsia="仿宋" w:cs="仿宋"/>
          <w:color w:val="auto"/>
          <w:sz w:val="28"/>
          <w:szCs w:val="28"/>
        </w:rPr>
        <w:t>岗位工睡岗的；</w:t>
      </w:r>
    </w:p>
    <w:p w14:paraId="61DB7FC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（七）</w:t>
      </w:r>
      <w:r>
        <w:rPr>
          <w:rFonts w:hint="eastAsia" w:ascii="仿宋" w:hAnsi="仿宋" w:eastAsia="仿宋" w:cs="仿宋"/>
          <w:color w:val="auto"/>
          <w:sz w:val="28"/>
          <w:szCs w:val="28"/>
        </w:rPr>
        <w:t>设备运行时，人员接触设备的机械转动和传动部位或带电体的；</w:t>
      </w:r>
    </w:p>
    <w:p w14:paraId="3B8D19F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（八）</w:t>
      </w:r>
      <w:r>
        <w:rPr>
          <w:rFonts w:hint="eastAsia" w:ascii="仿宋" w:hAnsi="仿宋" w:eastAsia="仿宋" w:cs="仿宋"/>
          <w:color w:val="auto"/>
          <w:sz w:val="28"/>
          <w:szCs w:val="28"/>
        </w:rPr>
        <w:t>无措施施工或不按措施施工造成严重后果的；</w:t>
      </w:r>
    </w:p>
    <w:p w14:paraId="6FDE434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14:paraId="7EB87F3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井下打架斗殴的；</w:t>
      </w:r>
    </w:p>
    <w:p w14:paraId="1C05CCA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对“三违”处罚无理取闹或辱骂安监员、管理人员的；</w:t>
      </w:r>
    </w:p>
    <w:p w14:paraId="193C72E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带电检修、搬迁电气设备的；</w:t>
      </w:r>
    </w:p>
    <w:p w14:paraId="0A251D6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起吊或拉移重物时，在重物下方或可能倒向的位置工作或逗留的；</w:t>
      </w:r>
    </w:p>
    <w:p w14:paraId="213226F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私自打开栅栏、密闭或擅自进入栅栏区、无风区及带有警示标志危险区的；</w:t>
      </w:r>
    </w:p>
    <w:p w14:paraId="020EA65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人为造成安全隐患的；</w:t>
      </w:r>
    </w:p>
    <w:p w14:paraId="087BB26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跨越运行的皮带不走过桥的；</w:t>
      </w:r>
    </w:p>
    <w:p w14:paraId="176EC160">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电气设备出现失爆的；</w:t>
      </w:r>
    </w:p>
    <w:p w14:paraId="1C8CD81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擅自进入限员管理区域导致人员超规定的；</w:t>
      </w:r>
    </w:p>
    <w:p w14:paraId="622FE49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串岗、脱岗、空岗的；</w:t>
      </w:r>
    </w:p>
    <w:p w14:paraId="2D31933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违章指挥的；</w:t>
      </w:r>
    </w:p>
    <w:p w14:paraId="545F9A17">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用水冲洗电气、通讯设备的；</w:t>
      </w:r>
    </w:p>
    <w:p w14:paraId="18830C1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带压拆卸风水管路的；</w:t>
      </w:r>
    </w:p>
    <w:p w14:paraId="7B573F9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不随身携带、不按规定使用矿灯、安全帽、自救器的；</w:t>
      </w:r>
    </w:p>
    <w:p w14:paraId="100AE08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乘罐或行走期间起哄，人为造成人员拥挤的；</w:t>
      </w:r>
    </w:p>
    <w:p w14:paraId="760EDDB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不按规定路线行走的；</w:t>
      </w:r>
    </w:p>
    <w:p w14:paraId="5625FEA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斜巷运输巷道片盘口、上、下车场蹲坐、逗留的；</w:t>
      </w:r>
    </w:p>
    <w:p w14:paraId="70EB89D6">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不按规定乘坐架空乘人装置的；</w:t>
      </w:r>
    </w:p>
    <w:p w14:paraId="1A4D893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跨越皮带不走人行过桥的；</w:t>
      </w:r>
    </w:p>
    <w:p w14:paraId="30E24DA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（二十九）</w:t>
      </w:r>
      <w:r>
        <w:rPr>
          <w:rFonts w:hint="eastAsia" w:ascii="仿宋" w:hAnsi="仿宋" w:eastAsia="仿宋" w:cs="仿宋"/>
          <w:color w:val="auto"/>
          <w:sz w:val="28"/>
          <w:szCs w:val="28"/>
        </w:rPr>
        <w:t>过风门未及时关闭的；</w:t>
      </w:r>
    </w:p>
    <w:p w14:paraId="3EED1CA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w:t>
      </w:r>
      <w:r>
        <w:rPr>
          <w:rFonts w:hint="eastAsia" w:ascii="仿宋" w:hAnsi="仿宋" w:eastAsia="仿宋" w:cs="仿宋"/>
          <w:color w:val="auto"/>
          <w:sz w:val="28"/>
          <w:szCs w:val="28"/>
        </w:rPr>
        <w:t>各种保护、安全设施不按规定装设、使用、检查、检修、检测、试验或不灵敏可靠；</w:t>
      </w:r>
    </w:p>
    <w:p w14:paraId="7A0A6F7F">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w:t>
      </w:r>
      <w:r>
        <w:rPr>
          <w:rFonts w:hint="eastAsia" w:ascii="仿宋" w:hAnsi="仿宋" w:eastAsia="仿宋" w:cs="仿宋"/>
          <w:color w:val="auto"/>
          <w:sz w:val="28"/>
          <w:szCs w:val="28"/>
        </w:rPr>
        <w:t>操作按钮失灵继续使用或未按规定使用的；</w:t>
      </w:r>
    </w:p>
    <w:p w14:paraId="6CB77BA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（三十二）</w:t>
      </w:r>
      <w:r>
        <w:rPr>
          <w:rFonts w:hint="eastAsia" w:ascii="仿宋" w:hAnsi="仿宋" w:eastAsia="仿宋" w:cs="仿宋"/>
          <w:color w:val="auto"/>
          <w:sz w:val="28"/>
          <w:szCs w:val="28"/>
        </w:rPr>
        <w:t>各类司机误操作的；</w:t>
      </w:r>
    </w:p>
    <w:p w14:paraId="29000D0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（三十三）</w:t>
      </w:r>
      <w:r>
        <w:rPr>
          <w:rFonts w:hint="eastAsia" w:ascii="仿宋" w:hAnsi="仿宋" w:eastAsia="仿宋" w:cs="仿宋"/>
          <w:color w:val="auto"/>
          <w:sz w:val="28"/>
          <w:szCs w:val="28"/>
        </w:rPr>
        <w:t>风水管不正常使用U型卡的；</w:t>
      </w:r>
    </w:p>
    <w:p w14:paraId="1EABFD61">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（三十四）</w:t>
      </w:r>
      <w:r>
        <w:rPr>
          <w:rFonts w:hint="eastAsia" w:ascii="仿宋" w:hAnsi="仿宋" w:eastAsia="仿宋" w:cs="仿宋"/>
          <w:color w:val="auto"/>
          <w:sz w:val="28"/>
          <w:szCs w:val="28"/>
        </w:rPr>
        <w:t>登高作业不按规定佩戴保险带、保险绳等的；</w:t>
      </w:r>
    </w:p>
    <w:p w14:paraId="10983F0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（三十五）</w:t>
      </w:r>
      <w:r>
        <w:rPr>
          <w:rFonts w:hint="eastAsia" w:ascii="仿宋" w:hAnsi="仿宋" w:eastAsia="仿宋" w:cs="仿宋"/>
          <w:color w:val="auto"/>
          <w:sz w:val="28"/>
          <w:szCs w:val="28"/>
        </w:rPr>
        <w:t>让（替）他人捎带人员定位卡下井的；</w:t>
      </w:r>
    </w:p>
    <w:p w14:paraId="6A4B0FBB">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（三十六）</w:t>
      </w:r>
      <w:r>
        <w:rPr>
          <w:rFonts w:hint="eastAsia" w:ascii="仿宋" w:hAnsi="仿宋" w:eastAsia="仿宋" w:cs="仿宋"/>
          <w:color w:val="auto"/>
          <w:sz w:val="28"/>
          <w:szCs w:val="28"/>
        </w:rPr>
        <w:t>未按规定携带</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便携仪的；</w:t>
      </w:r>
    </w:p>
    <w:p w14:paraId="73BA28D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（三十七）</w:t>
      </w:r>
      <w:r>
        <w:rPr>
          <w:rFonts w:hint="eastAsia" w:ascii="仿宋" w:hAnsi="仿宋" w:eastAsia="仿宋" w:cs="仿宋"/>
          <w:color w:val="auto"/>
          <w:sz w:val="28"/>
          <w:szCs w:val="28"/>
        </w:rPr>
        <w:t>吊装吊环未按规定使用矿统一加工带编号的；</w:t>
      </w:r>
    </w:p>
    <w:p w14:paraId="0315274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（三十八）</w:t>
      </w:r>
      <w:r>
        <w:rPr>
          <w:rFonts w:hint="eastAsia" w:ascii="仿宋" w:hAnsi="仿宋" w:eastAsia="仿宋" w:cs="仿宋"/>
          <w:color w:val="auto"/>
          <w:sz w:val="28"/>
          <w:szCs w:val="28"/>
        </w:rPr>
        <w:t>临时登高工具或脚手架固定不牢的；</w:t>
      </w:r>
    </w:p>
    <w:p w14:paraId="49A222E4">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（三十九）</w:t>
      </w:r>
      <w:r>
        <w:rPr>
          <w:rFonts w:hint="eastAsia" w:ascii="仿宋" w:hAnsi="仿宋" w:eastAsia="仿宋" w:cs="仿宋"/>
          <w:color w:val="auto"/>
          <w:sz w:val="28"/>
          <w:szCs w:val="28"/>
        </w:rPr>
        <w:t>自救器损坏或过期未及时更换的；</w:t>
      </w:r>
    </w:p>
    <w:p w14:paraId="6AD8A7B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w:t>
      </w:r>
      <w:r>
        <w:rPr>
          <w:rFonts w:hint="eastAsia" w:ascii="仿宋" w:hAnsi="仿宋" w:eastAsia="仿宋" w:cs="仿宋"/>
          <w:color w:val="auto"/>
          <w:sz w:val="28"/>
          <w:szCs w:val="28"/>
        </w:rPr>
        <w:t>携带非防爆电子产品入井的；</w:t>
      </w:r>
    </w:p>
    <w:p w14:paraId="5409DDF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（四十一）</w:t>
      </w:r>
      <w:r>
        <w:rPr>
          <w:rFonts w:hint="eastAsia" w:ascii="仿宋" w:hAnsi="仿宋" w:eastAsia="仿宋" w:cs="仿宋"/>
          <w:color w:val="auto"/>
          <w:sz w:val="28"/>
          <w:szCs w:val="28"/>
        </w:rPr>
        <w:t>其他违反《煤矿安全规程》、《操作规程》及《作业规程》等有关规定的。</w:t>
      </w:r>
      <w:bookmarkStart w:id="161" w:name="_Toc6354"/>
      <w:bookmarkStart w:id="162" w:name="_Toc20815"/>
      <w:bookmarkStart w:id="163" w:name="_Toc25166"/>
      <w:bookmarkStart w:id="164" w:name="_Toc24060"/>
      <w:bookmarkStart w:id="165" w:name="_Toc13580"/>
      <w:bookmarkStart w:id="166" w:name="_Toc819"/>
    </w:p>
    <w:p w14:paraId="70497646">
      <w:pPr>
        <w:rPr>
          <w:rFonts w:hint="eastAsia" w:ascii="仿宋" w:hAnsi="仿宋" w:eastAsia="仿宋" w:cs="仿宋"/>
          <w:b/>
          <w:bCs/>
          <w:color w:val="auto"/>
          <w:kern w:val="0"/>
          <w:sz w:val="36"/>
          <w:szCs w:val="36"/>
          <w:highlight w:val="none"/>
          <w:lang w:val="en-US" w:eastAsia="zh-CN"/>
        </w:rPr>
      </w:pPr>
      <w:bookmarkStart w:id="167" w:name="_Toc22112"/>
      <w:bookmarkStart w:id="168" w:name="_Toc9924"/>
      <w:r>
        <w:rPr>
          <w:rFonts w:hint="eastAsia" w:ascii="仿宋" w:hAnsi="仿宋" w:eastAsia="仿宋" w:cs="仿宋"/>
          <w:b/>
          <w:bCs/>
          <w:color w:val="auto"/>
          <w:kern w:val="0"/>
          <w:sz w:val="36"/>
          <w:szCs w:val="36"/>
          <w:highlight w:val="none"/>
          <w:lang w:val="en-US" w:eastAsia="zh-CN"/>
        </w:rPr>
        <w:br w:type="page"/>
      </w:r>
    </w:p>
    <w:p w14:paraId="71BEDD6C">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36"/>
          <w:szCs w:val="36"/>
          <w:highlight w:val="none"/>
          <w:lang w:val="en-US" w:eastAsia="zh-CN"/>
        </w:rPr>
      </w:pPr>
      <w:bookmarkStart w:id="169" w:name="_Toc27666"/>
      <w:r>
        <w:rPr>
          <w:rFonts w:hint="eastAsia" w:ascii="仿宋" w:hAnsi="仿宋" w:eastAsia="仿宋" w:cs="仿宋"/>
          <w:b/>
          <w:bCs/>
          <w:color w:val="auto"/>
          <w:kern w:val="0"/>
          <w:sz w:val="36"/>
          <w:szCs w:val="36"/>
          <w:highlight w:val="none"/>
          <w:lang w:val="en-US" w:eastAsia="zh-CN"/>
        </w:rPr>
        <w:t>综掘机司机</w:t>
      </w:r>
      <w:bookmarkEnd w:id="161"/>
      <w:bookmarkEnd w:id="162"/>
      <w:bookmarkEnd w:id="163"/>
      <w:bookmarkEnd w:id="164"/>
      <w:bookmarkEnd w:id="165"/>
      <w:bookmarkEnd w:id="167"/>
      <w:bookmarkEnd w:id="168"/>
      <w:bookmarkEnd w:id="169"/>
    </w:p>
    <w:tbl>
      <w:tblPr>
        <w:tblStyle w:val="12"/>
        <w:tblW w:w="8608" w:type="dxa"/>
        <w:tblInd w:w="0" w:type="dxa"/>
        <w:tblLayout w:type="fixed"/>
        <w:tblCellMar>
          <w:top w:w="0" w:type="dxa"/>
          <w:left w:w="0" w:type="dxa"/>
          <w:bottom w:w="0" w:type="dxa"/>
          <w:right w:w="0" w:type="dxa"/>
        </w:tblCellMar>
      </w:tblPr>
      <w:tblGrid>
        <w:gridCol w:w="568"/>
        <w:gridCol w:w="2839"/>
        <w:gridCol w:w="517"/>
        <w:gridCol w:w="4684"/>
      </w:tblGrid>
      <w:tr w14:paraId="7CEAFD53">
        <w:tblPrEx>
          <w:tblCellMar>
            <w:top w:w="0" w:type="dxa"/>
            <w:left w:w="0" w:type="dxa"/>
            <w:bottom w:w="0" w:type="dxa"/>
            <w:right w:w="0" w:type="dxa"/>
          </w:tblCellMar>
        </w:tblPrEx>
        <w:trPr>
          <w:trHeight w:val="653" w:hRule="atLeast"/>
        </w:trPr>
        <w:tc>
          <w:tcPr>
            <w:tcW w:w="8608"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76DF76">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170" w:name="_Toc7888"/>
            <w:bookmarkStart w:id="171" w:name="_Toc32593"/>
            <w:r>
              <w:rPr>
                <w:rFonts w:hint="eastAsia" w:ascii="仿宋" w:hAnsi="仿宋" w:eastAsia="仿宋" w:cs="仿宋"/>
                <w:b w:val="0"/>
                <w:bCs/>
                <w:color w:val="auto"/>
                <w:kern w:val="0"/>
                <w:sz w:val="21"/>
                <w:szCs w:val="21"/>
                <w:lang w:val="en-US" w:eastAsia="zh-CN"/>
              </w:rPr>
              <w:t>综掘机司机岗位风险告知卡</w:t>
            </w:r>
            <w:bookmarkEnd w:id="170"/>
            <w:bookmarkEnd w:id="171"/>
          </w:p>
        </w:tc>
      </w:tr>
      <w:tr w14:paraId="5CEF0D13">
        <w:tblPrEx>
          <w:tblCellMar>
            <w:top w:w="0" w:type="dxa"/>
            <w:left w:w="0" w:type="dxa"/>
            <w:bottom w:w="0" w:type="dxa"/>
            <w:right w:w="0" w:type="dxa"/>
          </w:tblCellMar>
        </w:tblPrEx>
        <w:trPr>
          <w:trHeight w:val="1912" w:hRule="atLeast"/>
        </w:trPr>
        <w:tc>
          <w:tcPr>
            <w:tcW w:w="568"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AF6B1D">
            <w:pPr>
              <w:keepNext w:val="0"/>
              <w:keepLines w:val="0"/>
              <w:pageBreakBefore w:val="0"/>
              <w:widowControl w:val="0"/>
              <w:kinsoku/>
              <w:wordWrap/>
              <w:overflowPunct/>
              <w:topLinePunct w:val="0"/>
              <w:autoSpaceDE/>
              <w:autoSpaceDN/>
              <w:bidi w:val="0"/>
              <w:adjustRightInd/>
              <w:snapToGri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172" w:name="_Toc15301"/>
            <w:bookmarkStart w:id="173" w:name="_Toc22495"/>
            <w:r>
              <w:rPr>
                <w:rFonts w:hint="eastAsia" w:ascii="仿宋" w:hAnsi="仿宋" w:eastAsia="仿宋" w:cs="仿宋"/>
                <w:b/>
                <w:bCs w:val="0"/>
                <w:color w:val="auto"/>
                <w:kern w:val="0"/>
                <w:sz w:val="21"/>
                <w:szCs w:val="21"/>
                <w:lang w:val="en-US" w:eastAsia="zh-CN"/>
              </w:rPr>
              <w:t>风险类型</w:t>
            </w:r>
            <w:bookmarkEnd w:id="172"/>
            <w:bookmarkEnd w:id="173"/>
          </w:p>
        </w:tc>
        <w:tc>
          <w:tcPr>
            <w:tcW w:w="283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76E2A9">
            <w:pPr>
              <w:keepNext w:val="0"/>
              <w:keepLines w:val="0"/>
              <w:pageBreakBefore w:val="0"/>
              <w:widowControl w:val="0"/>
              <w:kinsoku/>
              <w:wordWrap/>
              <w:overflowPunct/>
              <w:topLinePunct w:val="0"/>
              <w:autoSpaceDE/>
              <w:autoSpaceDN/>
              <w:bidi w:val="0"/>
              <w:adjustRightInd/>
              <w:snapToGri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174" w:name="_Toc19268"/>
            <w:bookmarkStart w:id="175" w:name="_Toc28742"/>
            <w:r>
              <w:rPr>
                <w:rFonts w:hint="eastAsia" w:ascii="仿宋" w:hAnsi="仿宋" w:eastAsia="仿宋" w:cs="仿宋"/>
                <w:b w:val="0"/>
                <w:bCs/>
                <w:color w:val="auto"/>
                <w:kern w:val="0"/>
                <w:sz w:val="21"/>
                <w:szCs w:val="21"/>
                <w:lang w:val="en-US" w:eastAsia="zh-CN"/>
              </w:rPr>
              <w:t>冒顶（片帮）、机械伤害、职业病危害</w:t>
            </w:r>
            <w:bookmarkEnd w:id="174"/>
            <w:bookmarkEnd w:id="175"/>
          </w:p>
        </w:tc>
        <w:tc>
          <w:tcPr>
            <w:tcW w:w="51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0760486">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176" w:name="_Toc9752"/>
            <w:bookmarkStart w:id="177" w:name="_Toc20181"/>
            <w:r>
              <w:rPr>
                <w:rFonts w:hint="eastAsia" w:ascii="仿宋" w:hAnsi="仿宋" w:eastAsia="仿宋" w:cs="仿宋"/>
                <w:b/>
                <w:bCs w:val="0"/>
                <w:color w:val="auto"/>
                <w:kern w:val="0"/>
                <w:sz w:val="21"/>
                <w:szCs w:val="21"/>
                <w:lang w:val="en-US" w:eastAsia="zh-CN"/>
              </w:rPr>
              <w:t>事故报告</w:t>
            </w:r>
            <w:bookmarkEnd w:id="176"/>
            <w:bookmarkEnd w:id="177"/>
          </w:p>
        </w:tc>
        <w:tc>
          <w:tcPr>
            <w:tcW w:w="468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96E869">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both"/>
              <w:textAlignment w:val="auto"/>
              <w:outlineLvl w:val="9"/>
              <w:rPr>
                <w:rFonts w:hint="default" w:ascii="仿宋" w:hAnsi="仿宋" w:eastAsia="仿宋" w:cs="仿宋"/>
                <w:b w:val="0"/>
                <w:bCs/>
                <w:color w:val="auto"/>
                <w:kern w:val="0"/>
                <w:sz w:val="21"/>
                <w:szCs w:val="21"/>
                <w:lang w:val="en-US" w:eastAsia="zh-CN"/>
              </w:rPr>
            </w:pPr>
            <w:bookmarkStart w:id="178" w:name="_Toc27670"/>
            <w:bookmarkStart w:id="179" w:name="_Toc27220"/>
            <w:r>
              <w:rPr>
                <w:rFonts w:hint="eastAsia" w:ascii="仿宋" w:hAnsi="仿宋" w:eastAsia="仿宋" w:cs="仿宋"/>
                <w:b w:val="0"/>
                <w:bCs/>
                <w:color w:val="auto"/>
                <w:kern w:val="0"/>
                <w:sz w:val="21"/>
                <w:szCs w:val="21"/>
                <w:lang w:val="en-US" w:eastAsia="zh-CN"/>
              </w:rPr>
              <w:t>调度室：8650200、8650202、#</w:t>
            </w:r>
            <w:bookmarkEnd w:id="178"/>
            <w:bookmarkEnd w:id="179"/>
          </w:p>
          <w:p w14:paraId="15A01653">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both"/>
              <w:textAlignment w:val="auto"/>
              <w:outlineLvl w:val="9"/>
              <w:rPr>
                <w:rFonts w:hint="eastAsia" w:ascii="仿宋" w:hAnsi="仿宋" w:eastAsia="仿宋" w:cs="仿宋"/>
                <w:b w:val="0"/>
                <w:bCs/>
                <w:color w:val="auto"/>
                <w:kern w:val="0"/>
                <w:sz w:val="21"/>
                <w:szCs w:val="21"/>
                <w:lang w:val="en-US" w:eastAsia="zh-CN"/>
              </w:rPr>
            </w:pPr>
            <w:bookmarkStart w:id="180" w:name="_Toc6375"/>
            <w:bookmarkStart w:id="181" w:name="_Toc3446"/>
            <w:r>
              <w:rPr>
                <w:rFonts w:hint="eastAsia" w:ascii="仿宋" w:hAnsi="仿宋" w:eastAsia="仿宋" w:cs="仿宋"/>
                <w:b w:val="0"/>
                <w:bCs/>
                <w:color w:val="auto"/>
                <w:kern w:val="0"/>
                <w:sz w:val="21"/>
                <w:szCs w:val="21"/>
                <w:lang w:val="en-US" w:eastAsia="zh-CN"/>
              </w:rPr>
              <w:t>工区值班： 8650159</w:t>
            </w:r>
            <w:bookmarkEnd w:id="180"/>
            <w:bookmarkEnd w:id="181"/>
          </w:p>
          <w:p w14:paraId="22D6C3F7">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both"/>
              <w:textAlignment w:val="auto"/>
              <w:outlineLvl w:val="9"/>
              <w:rPr>
                <w:rFonts w:hint="eastAsia" w:ascii="仿宋" w:hAnsi="仿宋" w:eastAsia="仿宋" w:cs="仿宋"/>
                <w:b w:val="0"/>
                <w:bCs/>
                <w:color w:val="auto"/>
                <w:kern w:val="0"/>
                <w:sz w:val="21"/>
                <w:szCs w:val="21"/>
              </w:rPr>
            </w:pPr>
            <w:bookmarkStart w:id="182" w:name="_Toc20329"/>
            <w:bookmarkStart w:id="183" w:name="_Toc12736"/>
            <w:r>
              <w:rPr>
                <w:rFonts w:hint="eastAsia" w:ascii="仿宋" w:hAnsi="仿宋" w:eastAsia="仿宋" w:cs="仿宋"/>
                <w:b w:val="0"/>
                <w:bCs/>
                <w:color w:val="auto"/>
                <w:kern w:val="0"/>
                <w:sz w:val="21"/>
                <w:szCs w:val="21"/>
                <w:lang w:val="en-US" w:eastAsia="zh-CN"/>
              </w:rPr>
              <w:t>安监科值班：8650512</w:t>
            </w:r>
            <w:bookmarkEnd w:id="182"/>
            <w:bookmarkEnd w:id="183"/>
          </w:p>
        </w:tc>
      </w:tr>
      <w:tr w14:paraId="2149756D">
        <w:tblPrEx>
          <w:tblCellMar>
            <w:top w:w="0" w:type="dxa"/>
            <w:left w:w="0" w:type="dxa"/>
            <w:bottom w:w="0" w:type="dxa"/>
            <w:right w:w="0" w:type="dxa"/>
          </w:tblCellMar>
        </w:tblPrEx>
        <w:trPr>
          <w:trHeight w:val="653"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04662B">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184" w:name="_Toc26989"/>
            <w:bookmarkStart w:id="185" w:name="_Toc17474"/>
            <w:r>
              <w:rPr>
                <w:rFonts w:hint="eastAsia" w:ascii="仿宋" w:hAnsi="仿宋" w:eastAsia="仿宋" w:cs="仿宋"/>
                <w:b/>
                <w:bCs w:val="0"/>
                <w:color w:val="auto"/>
                <w:kern w:val="0"/>
                <w:sz w:val="21"/>
                <w:szCs w:val="21"/>
                <w:lang w:val="en-US" w:eastAsia="zh-CN"/>
              </w:rPr>
              <w:t>主要危害因素</w:t>
            </w:r>
            <w:bookmarkEnd w:id="184"/>
            <w:bookmarkEnd w:id="185"/>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1FE707">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186" w:name="_Toc21831"/>
            <w:bookmarkStart w:id="187" w:name="_Toc7217"/>
            <w:r>
              <w:rPr>
                <w:rFonts w:hint="eastAsia" w:ascii="仿宋" w:hAnsi="仿宋" w:eastAsia="仿宋" w:cs="仿宋"/>
                <w:b/>
                <w:bCs w:val="0"/>
                <w:color w:val="auto"/>
                <w:kern w:val="0"/>
                <w:sz w:val="21"/>
                <w:szCs w:val="21"/>
                <w:lang w:val="en-US" w:eastAsia="zh-CN"/>
              </w:rPr>
              <w:t>管控措施</w:t>
            </w:r>
            <w:bookmarkEnd w:id="186"/>
            <w:bookmarkEnd w:id="187"/>
          </w:p>
        </w:tc>
      </w:tr>
      <w:tr w14:paraId="12FD0D80">
        <w:tblPrEx>
          <w:tblCellMar>
            <w:top w:w="0" w:type="dxa"/>
            <w:left w:w="0" w:type="dxa"/>
            <w:bottom w:w="0" w:type="dxa"/>
            <w:right w:w="0" w:type="dxa"/>
          </w:tblCellMar>
        </w:tblPrEx>
        <w:trPr>
          <w:trHeight w:val="653"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E1DA9E4">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88" w:name="_Toc21728"/>
            <w:bookmarkStart w:id="189" w:name="_Toc13450"/>
            <w:r>
              <w:rPr>
                <w:rFonts w:hint="eastAsia" w:ascii="仿宋" w:hAnsi="仿宋" w:eastAsia="仿宋" w:cs="仿宋"/>
                <w:b w:val="0"/>
                <w:bCs/>
                <w:color w:val="auto"/>
                <w:kern w:val="0"/>
                <w:sz w:val="21"/>
                <w:szCs w:val="21"/>
                <w:lang w:val="en-US" w:eastAsia="zh-CN"/>
              </w:rPr>
              <w:t>1.不持证上岗</w:t>
            </w:r>
            <w:bookmarkEnd w:id="188"/>
            <w:r>
              <w:rPr>
                <w:rFonts w:hint="eastAsia" w:ascii="仿宋" w:hAnsi="仿宋" w:eastAsia="仿宋" w:cs="仿宋"/>
                <w:b w:val="0"/>
                <w:bCs/>
                <w:color w:val="auto"/>
                <w:kern w:val="0"/>
                <w:sz w:val="21"/>
                <w:szCs w:val="21"/>
                <w:lang w:val="en-US" w:eastAsia="zh-CN"/>
              </w:rPr>
              <w:t>。</w:t>
            </w:r>
            <w:bookmarkEnd w:id="189"/>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ACFC38E">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0" w:name="_Toc4820"/>
            <w:bookmarkStart w:id="191" w:name="_Toc23550"/>
            <w:r>
              <w:rPr>
                <w:rFonts w:hint="eastAsia" w:ascii="仿宋" w:hAnsi="仿宋" w:eastAsia="仿宋" w:cs="仿宋"/>
                <w:b w:val="0"/>
                <w:bCs/>
                <w:color w:val="auto"/>
                <w:kern w:val="0"/>
                <w:sz w:val="21"/>
                <w:szCs w:val="21"/>
                <w:lang w:val="en-US" w:eastAsia="zh-CN"/>
              </w:rPr>
              <w:t>1.持证上岗</w:t>
            </w:r>
            <w:bookmarkEnd w:id="190"/>
            <w:r>
              <w:rPr>
                <w:rFonts w:hint="eastAsia" w:ascii="仿宋" w:hAnsi="仿宋" w:eastAsia="仿宋" w:cs="仿宋"/>
                <w:b w:val="0"/>
                <w:bCs/>
                <w:color w:val="auto"/>
                <w:kern w:val="0"/>
                <w:sz w:val="21"/>
                <w:szCs w:val="21"/>
                <w:lang w:val="en-US" w:eastAsia="zh-CN"/>
              </w:rPr>
              <w:t>。</w:t>
            </w:r>
            <w:bookmarkEnd w:id="191"/>
          </w:p>
        </w:tc>
      </w:tr>
      <w:tr w14:paraId="5BF09EB3">
        <w:tblPrEx>
          <w:tblCellMar>
            <w:top w:w="0" w:type="dxa"/>
            <w:left w:w="0" w:type="dxa"/>
            <w:bottom w:w="0" w:type="dxa"/>
            <w:right w:w="0" w:type="dxa"/>
          </w:tblCellMar>
        </w:tblPrEx>
        <w:trPr>
          <w:trHeight w:val="929"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B2EFE22">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2" w:name="_Toc20512"/>
            <w:bookmarkStart w:id="193" w:name="_Toc24924"/>
            <w:r>
              <w:rPr>
                <w:rFonts w:hint="eastAsia" w:ascii="仿宋" w:hAnsi="仿宋" w:eastAsia="仿宋" w:cs="仿宋"/>
                <w:b w:val="0"/>
                <w:bCs/>
                <w:color w:val="auto"/>
                <w:kern w:val="0"/>
                <w:sz w:val="21"/>
                <w:szCs w:val="21"/>
                <w:lang w:val="en-US" w:eastAsia="zh-CN"/>
              </w:rPr>
              <w:t>2.顶帮掉落，砸伤人员；通风不良，造成甲烷积聚。</w:t>
            </w:r>
            <w:bookmarkEnd w:id="192"/>
            <w:bookmarkEnd w:id="193"/>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0FB48B0">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4" w:name="_Toc25903"/>
            <w:bookmarkStart w:id="195" w:name="_Toc15295"/>
            <w:r>
              <w:rPr>
                <w:rFonts w:hint="eastAsia" w:ascii="仿宋" w:hAnsi="仿宋" w:eastAsia="仿宋" w:cs="仿宋"/>
                <w:b w:val="0"/>
                <w:bCs/>
                <w:color w:val="auto"/>
                <w:kern w:val="0"/>
                <w:sz w:val="21"/>
                <w:szCs w:val="21"/>
                <w:lang w:val="en-US" w:eastAsia="zh-CN"/>
              </w:rPr>
              <w:t>2.敲帮问顶，确认顶板完好；保持掘进工作面正常通风，监控系统正常运行。</w:t>
            </w:r>
            <w:bookmarkEnd w:id="194"/>
            <w:bookmarkEnd w:id="195"/>
          </w:p>
        </w:tc>
      </w:tr>
      <w:tr w14:paraId="300101A4">
        <w:tblPrEx>
          <w:tblCellMar>
            <w:top w:w="0" w:type="dxa"/>
            <w:left w:w="0" w:type="dxa"/>
            <w:bottom w:w="0" w:type="dxa"/>
            <w:right w:w="0" w:type="dxa"/>
          </w:tblCellMar>
        </w:tblPrEx>
        <w:trPr>
          <w:trHeight w:val="1780"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02DBCA3">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6" w:name="_Toc26587"/>
            <w:bookmarkStart w:id="197" w:name="_Toc5136"/>
            <w:r>
              <w:rPr>
                <w:rFonts w:hint="eastAsia" w:ascii="仿宋" w:hAnsi="仿宋" w:eastAsia="仿宋" w:cs="仿宋"/>
                <w:b w:val="0"/>
                <w:bCs/>
                <w:color w:val="auto"/>
                <w:kern w:val="0"/>
                <w:sz w:val="21"/>
                <w:szCs w:val="21"/>
                <w:lang w:val="en-US" w:eastAsia="zh-CN"/>
              </w:rPr>
              <w:t>3.二运掉道、弯曲易伤人；靠近运转部位，造成人身伤害；停机后截割臂未及时落地，人员自下方通过，砸伤人员；急停闭锁不完好，导致紧急情况无法停机。</w:t>
            </w:r>
            <w:bookmarkEnd w:id="196"/>
            <w:bookmarkEnd w:id="197"/>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CE1C9F3">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8" w:name="_Toc8161"/>
            <w:bookmarkStart w:id="199" w:name="_Toc24636"/>
            <w:r>
              <w:rPr>
                <w:rFonts w:hint="eastAsia" w:ascii="仿宋" w:hAnsi="仿宋" w:eastAsia="仿宋" w:cs="仿宋"/>
                <w:b w:val="0"/>
                <w:bCs/>
                <w:color w:val="auto"/>
                <w:kern w:val="0"/>
                <w:sz w:val="21"/>
                <w:szCs w:val="21"/>
                <w:lang w:val="en-US" w:eastAsia="zh-CN"/>
              </w:rPr>
              <w:t>3.掘进机运行时，二运两侧保证无人；运行前确认绞车运行行程附近无人；停机后及时将截割臂落地；开机前检查急停完好情况。</w:t>
            </w:r>
            <w:bookmarkEnd w:id="198"/>
            <w:bookmarkEnd w:id="199"/>
          </w:p>
        </w:tc>
      </w:tr>
      <w:tr w14:paraId="655F95B2">
        <w:tblPrEx>
          <w:tblCellMar>
            <w:top w:w="0" w:type="dxa"/>
            <w:left w:w="0" w:type="dxa"/>
            <w:bottom w:w="0" w:type="dxa"/>
            <w:right w:w="0" w:type="dxa"/>
          </w:tblCellMar>
        </w:tblPrEx>
        <w:trPr>
          <w:trHeight w:val="873"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94FB55A">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200" w:name="_Toc7312"/>
            <w:bookmarkStart w:id="201" w:name="_Toc25625"/>
            <w:r>
              <w:rPr>
                <w:rFonts w:hint="eastAsia" w:ascii="仿宋" w:hAnsi="仿宋" w:eastAsia="仿宋" w:cs="仿宋"/>
                <w:b w:val="0"/>
                <w:bCs/>
                <w:color w:val="auto"/>
                <w:kern w:val="0"/>
                <w:sz w:val="21"/>
                <w:szCs w:val="21"/>
                <w:lang w:val="en-US" w:eastAsia="zh-CN"/>
              </w:rPr>
              <w:t>4.内外喷雾效果不良，粉尘积聚。</w:t>
            </w:r>
            <w:bookmarkEnd w:id="200"/>
            <w:bookmarkEnd w:id="201"/>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B37BAF2">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firstLine="420" w:firstLineChars="200"/>
              <w:jc w:val="both"/>
              <w:textAlignment w:val="auto"/>
              <w:outlineLvl w:val="9"/>
              <w:rPr>
                <w:rFonts w:hint="eastAsia" w:ascii="仿宋" w:hAnsi="仿宋" w:eastAsia="仿宋" w:cs="仿宋"/>
                <w:b w:val="0"/>
                <w:bCs/>
                <w:color w:val="auto"/>
                <w:kern w:val="0"/>
                <w:sz w:val="21"/>
                <w:szCs w:val="21"/>
              </w:rPr>
            </w:pPr>
            <w:bookmarkStart w:id="202" w:name="_Toc27343"/>
            <w:bookmarkStart w:id="203" w:name="_Toc1782"/>
            <w:r>
              <w:rPr>
                <w:rFonts w:hint="eastAsia" w:ascii="仿宋" w:hAnsi="仿宋" w:eastAsia="仿宋" w:cs="仿宋"/>
                <w:b w:val="0"/>
                <w:bCs/>
                <w:color w:val="auto"/>
                <w:kern w:val="0"/>
                <w:sz w:val="21"/>
                <w:szCs w:val="21"/>
                <w:lang w:val="en-US" w:eastAsia="zh-CN"/>
              </w:rPr>
              <w:t>4.开机前检查喷雾完好情况。</w:t>
            </w:r>
            <w:bookmarkEnd w:id="202"/>
            <w:bookmarkEnd w:id="203"/>
          </w:p>
        </w:tc>
      </w:tr>
      <w:tr w14:paraId="5CB84414">
        <w:tblPrEx>
          <w:tblCellMar>
            <w:top w:w="0" w:type="dxa"/>
            <w:left w:w="0" w:type="dxa"/>
            <w:bottom w:w="0" w:type="dxa"/>
            <w:right w:w="0" w:type="dxa"/>
          </w:tblCellMar>
        </w:tblPrEx>
        <w:trPr>
          <w:trHeight w:val="896"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7BA96F">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204" w:name="_Toc29361"/>
            <w:bookmarkStart w:id="205" w:name="_Toc1310"/>
            <w:r>
              <w:rPr>
                <w:rFonts w:hint="eastAsia" w:ascii="仿宋" w:hAnsi="仿宋" w:eastAsia="仿宋" w:cs="仿宋"/>
                <w:b w:val="0"/>
                <w:bCs/>
                <w:color w:val="auto"/>
                <w:kern w:val="0"/>
                <w:sz w:val="21"/>
                <w:szCs w:val="21"/>
                <w:lang w:val="en-US" w:eastAsia="zh-CN"/>
              </w:rPr>
              <w:t>5.信号器不完好，信号不清，无法发出警示。</w:t>
            </w:r>
            <w:bookmarkEnd w:id="204"/>
            <w:bookmarkEnd w:id="205"/>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DEB2B1E">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firstLine="420" w:firstLineChars="200"/>
              <w:jc w:val="both"/>
              <w:textAlignment w:val="auto"/>
              <w:outlineLvl w:val="9"/>
              <w:rPr>
                <w:rFonts w:hint="eastAsia" w:ascii="仿宋" w:hAnsi="仿宋" w:eastAsia="仿宋" w:cs="仿宋"/>
                <w:b w:val="0"/>
                <w:bCs/>
                <w:color w:val="auto"/>
                <w:kern w:val="0"/>
                <w:sz w:val="21"/>
                <w:szCs w:val="21"/>
              </w:rPr>
            </w:pPr>
            <w:bookmarkStart w:id="206" w:name="_Toc28988"/>
            <w:bookmarkStart w:id="207" w:name="_Toc21367"/>
            <w:r>
              <w:rPr>
                <w:rFonts w:hint="eastAsia" w:ascii="仿宋" w:hAnsi="仿宋" w:eastAsia="仿宋" w:cs="仿宋"/>
                <w:b w:val="0"/>
                <w:bCs/>
                <w:color w:val="auto"/>
                <w:kern w:val="0"/>
                <w:sz w:val="21"/>
                <w:szCs w:val="21"/>
                <w:lang w:val="en-US" w:eastAsia="zh-CN"/>
              </w:rPr>
              <w:t>5.开机前检查信号是否完好，信号不清不得开机。</w:t>
            </w:r>
            <w:bookmarkEnd w:id="206"/>
            <w:bookmarkEnd w:id="207"/>
          </w:p>
        </w:tc>
      </w:tr>
      <w:tr w14:paraId="64718BBD">
        <w:tblPrEx>
          <w:tblCellMar>
            <w:top w:w="0" w:type="dxa"/>
            <w:left w:w="0" w:type="dxa"/>
            <w:bottom w:w="0" w:type="dxa"/>
            <w:right w:w="0" w:type="dxa"/>
          </w:tblCellMar>
        </w:tblPrEx>
        <w:trPr>
          <w:trHeight w:val="866"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75B3C4">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08" w:name="_Toc23861"/>
            <w:bookmarkStart w:id="209" w:name="_Toc8820"/>
            <w:r>
              <w:rPr>
                <w:rFonts w:hint="eastAsia" w:ascii="仿宋" w:hAnsi="仿宋" w:eastAsia="仿宋" w:cs="仿宋"/>
                <w:b w:val="0"/>
                <w:bCs/>
                <w:color w:val="auto"/>
                <w:kern w:val="0"/>
                <w:sz w:val="21"/>
                <w:szCs w:val="21"/>
                <w:lang w:val="en-US" w:eastAsia="zh-CN"/>
              </w:rPr>
              <w:t>6.未佩戴防尘口罩和耳塞。</w:t>
            </w:r>
            <w:bookmarkEnd w:id="208"/>
            <w:bookmarkEnd w:id="209"/>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506FB69">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210" w:name="_Toc9214"/>
            <w:bookmarkStart w:id="211" w:name="_Toc2558"/>
            <w:r>
              <w:rPr>
                <w:rFonts w:hint="eastAsia" w:ascii="仿宋" w:hAnsi="仿宋" w:eastAsia="仿宋" w:cs="仿宋"/>
                <w:b w:val="0"/>
                <w:bCs/>
                <w:color w:val="auto"/>
                <w:kern w:val="0"/>
                <w:sz w:val="21"/>
                <w:szCs w:val="21"/>
                <w:lang w:val="en-US" w:eastAsia="zh-CN"/>
              </w:rPr>
              <w:t>6.佩戴好防护手套、耳塞等劳保用品。</w:t>
            </w:r>
            <w:bookmarkEnd w:id="210"/>
            <w:bookmarkEnd w:id="211"/>
          </w:p>
        </w:tc>
      </w:tr>
      <w:tr w14:paraId="349A3826">
        <w:tblPrEx>
          <w:tblCellMar>
            <w:top w:w="0" w:type="dxa"/>
            <w:left w:w="0" w:type="dxa"/>
            <w:bottom w:w="0" w:type="dxa"/>
            <w:right w:w="0" w:type="dxa"/>
          </w:tblCellMar>
        </w:tblPrEx>
        <w:trPr>
          <w:trHeight w:val="1550" w:hRule="atLeast"/>
        </w:trPr>
        <w:tc>
          <w:tcPr>
            <w:tcW w:w="568"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3E90183">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bookmarkStart w:id="212" w:name="_Toc7308"/>
            <w:bookmarkStart w:id="213" w:name="_Toc7280"/>
            <w:r>
              <w:rPr>
                <w:rFonts w:hint="eastAsia" w:ascii="仿宋" w:hAnsi="仿宋" w:eastAsia="仿宋" w:cs="仿宋"/>
                <w:b/>
                <w:bCs/>
                <w:color w:val="auto"/>
                <w:kern w:val="0"/>
                <w:sz w:val="21"/>
                <w:szCs w:val="21"/>
                <w:highlight w:val="none"/>
                <w:lang w:val="en-US" w:eastAsia="zh-CN"/>
              </w:rPr>
              <w:t>应知</w:t>
            </w:r>
          </w:p>
          <w:p w14:paraId="5D241B23">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04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E66B37">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33C2584F">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31EC16C6">
        <w:tblPrEx>
          <w:tblCellMar>
            <w:top w:w="0" w:type="dxa"/>
            <w:left w:w="0" w:type="dxa"/>
            <w:bottom w:w="0" w:type="dxa"/>
            <w:right w:w="0" w:type="dxa"/>
          </w:tblCellMar>
        </w:tblPrEx>
        <w:trPr>
          <w:trHeight w:val="1550" w:hRule="atLeast"/>
        </w:trPr>
        <w:tc>
          <w:tcPr>
            <w:tcW w:w="568"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7C5FF2">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bCs w:val="0"/>
                <w:color w:val="auto"/>
                <w:kern w:val="0"/>
                <w:sz w:val="21"/>
                <w:szCs w:val="21"/>
                <w:lang w:val="en-US" w:eastAsia="zh-CN"/>
              </w:rPr>
              <w:t>应急处置措施</w:t>
            </w:r>
            <w:bookmarkEnd w:id="212"/>
            <w:bookmarkEnd w:id="213"/>
          </w:p>
        </w:tc>
        <w:tc>
          <w:tcPr>
            <w:tcW w:w="804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3FE41A">
            <w:pPr>
              <w:keepNext w:val="0"/>
              <w:keepLines w:val="0"/>
              <w:pageBreakBefore w:val="0"/>
              <w:widowControl w:val="0"/>
              <w:numPr>
                <w:ilvl w:val="0"/>
                <w:numId w:val="0"/>
              </w:numPr>
              <w:kinsoku/>
              <w:wordWrap/>
              <w:overflowPunct/>
              <w:topLinePunct w:val="0"/>
              <w:autoSpaceDE/>
              <w:autoSpaceDN/>
              <w:bidi w:val="0"/>
              <w:adjustRightInd/>
              <w:spacing w:before="100" w:beforeAutospacing="1" w:after="100" w:afterAutospacing="1" w:line="240" w:lineRule="auto"/>
              <w:ind w:left="420" w:leftChars="200" w:firstLine="0" w:firstLineChars="0"/>
              <w:jc w:val="left"/>
              <w:textAlignment w:val="auto"/>
              <w:outlineLvl w:val="9"/>
              <w:rPr>
                <w:rFonts w:hint="eastAsia" w:ascii="仿宋" w:hAnsi="仿宋" w:eastAsia="仿宋" w:cs="仿宋"/>
                <w:b w:val="0"/>
                <w:bCs/>
                <w:color w:val="auto"/>
                <w:kern w:val="0"/>
                <w:sz w:val="21"/>
                <w:szCs w:val="21"/>
              </w:rPr>
            </w:pPr>
            <w:bookmarkStart w:id="214" w:name="_Toc30035"/>
            <w:bookmarkStart w:id="215" w:name="_Toc17892"/>
            <w:r>
              <w:rPr>
                <w:rFonts w:hint="eastAsia" w:ascii="仿宋" w:hAnsi="仿宋" w:eastAsia="仿宋" w:cs="仿宋"/>
                <w:b w:val="0"/>
                <w:bCs/>
                <w:color w:val="auto"/>
                <w:kern w:val="0"/>
                <w:sz w:val="21"/>
                <w:szCs w:val="21"/>
                <w:lang w:val="en-US" w:eastAsia="zh-CN"/>
              </w:rPr>
              <w:t>1.出现紧急情况时，立即停机闭锁，找出故障点并将故障排除检查完毕方可开机</w:t>
            </w:r>
            <w:bookmarkEnd w:id="214"/>
            <w:bookmarkStart w:id="216" w:name="_Toc13785"/>
            <w:r>
              <w:rPr>
                <w:rFonts w:hint="eastAsia" w:ascii="仿宋" w:hAnsi="仿宋" w:eastAsia="仿宋" w:cs="仿宋"/>
                <w:b w:val="0"/>
                <w:bCs/>
                <w:color w:val="auto"/>
                <w:kern w:val="0"/>
                <w:sz w:val="21"/>
                <w:szCs w:val="21"/>
                <w:lang w:val="en-US" w:eastAsia="zh-CN"/>
              </w:rPr>
              <w:t>。   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bookmarkEnd w:id="215"/>
            <w:bookmarkEnd w:id="216"/>
          </w:p>
        </w:tc>
      </w:tr>
    </w:tbl>
    <w:p w14:paraId="7155D6E3">
      <w:pPr>
        <w:keepNext w:val="0"/>
        <w:keepLines w:val="0"/>
        <w:pageBreakBefore w:val="0"/>
        <w:widowControl w:val="0"/>
        <w:kinsoku/>
        <w:wordWrap/>
        <w:overflowPunct/>
        <w:topLinePunct w:val="0"/>
        <w:autoSpaceDE/>
        <w:autoSpaceDN/>
        <w:bidi w:val="0"/>
        <w:adjustRightInd/>
        <w:textAlignment w:val="auto"/>
        <w:outlineLvl w:val="9"/>
        <w:rPr>
          <w:color w:val="auto"/>
        </w:rPr>
      </w:pPr>
    </w:p>
    <w:tbl>
      <w:tblPr>
        <w:tblStyle w:val="12"/>
        <w:tblW w:w="8701" w:type="dxa"/>
        <w:tblInd w:w="0" w:type="dxa"/>
        <w:tblLayout w:type="fixed"/>
        <w:tblCellMar>
          <w:top w:w="0" w:type="dxa"/>
          <w:left w:w="108" w:type="dxa"/>
          <w:bottom w:w="0" w:type="dxa"/>
          <w:right w:w="108" w:type="dxa"/>
        </w:tblCellMar>
      </w:tblPr>
      <w:tblGrid>
        <w:gridCol w:w="3213"/>
        <w:gridCol w:w="5488"/>
      </w:tblGrid>
      <w:tr w14:paraId="09FCECB1">
        <w:tblPrEx>
          <w:tblCellMar>
            <w:top w:w="0" w:type="dxa"/>
            <w:left w:w="108" w:type="dxa"/>
            <w:bottom w:w="0" w:type="dxa"/>
            <w:right w:w="108" w:type="dxa"/>
          </w:tblCellMar>
        </w:tblPrEx>
        <w:trPr>
          <w:trHeight w:val="611" w:hRule="atLeast"/>
        </w:trPr>
        <w:tc>
          <w:tcPr>
            <w:tcW w:w="8701" w:type="dxa"/>
            <w:gridSpan w:val="2"/>
            <w:tcBorders>
              <w:top w:val="single" w:color="auto" w:sz="4" w:space="0"/>
              <w:left w:val="single" w:color="auto" w:sz="4" w:space="0"/>
              <w:bottom w:val="single" w:color="auto" w:sz="4" w:space="0"/>
              <w:right w:val="single" w:color="auto" w:sz="4" w:space="0"/>
            </w:tcBorders>
            <w:vAlign w:val="bottom"/>
          </w:tcPr>
          <w:p w14:paraId="064ADD5A">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jc w:val="center"/>
              <w:textAlignment w:val="auto"/>
              <w:outlineLvl w:val="9"/>
              <w:rPr>
                <w:rFonts w:hint="eastAsia" w:ascii="仿宋" w:hAnsi="仿宋" w:eastAsia="仿宋" w:cs="仿宋"/>
                <w:b w:val="0"/>
                <w:bCs/>
                <w:color w:val="auto"/>
                <w:kern w:val="0"/>
                <w:sz w:val="21"/>
                <w:szCs w:val="21"/>
                <w:lang w:val="en-US" w:eastAsia="zh-CN"/>
              </w:rPr>
            </w:pPr>
            <w:bookmarkStart w:id="217" w:name="_Toc24355"/>
            <w:bookmarkStart w:id="218" w:name="_Toc26009"/>
            <w:r>
              <w:rPr>
                <w:rFonts w:hint="eastAsia" w:ascii="仿宋" w:hAnsi="仿宋" w:eastAsia="仿宋" w:cs="仿宋"/>
                <w:b/>
                <w:bCs w:val="0"/>
                <w:color w:val="auto"/>
                <w:kern w:val="0"/>
                <w:sz w:val="21"/>
                <w:szCs w:val="21"/>
                <w:lang w:val="en-US" w:eastAsia="zh-CN"/>
              </w:rPr>
              <w:t>综掘机</w:t>
            </w:r>
            <w:r>
              <w:rPr>
                <w:rFonts w:hint="eastAsia" w:ascii="仿宋" w:hAnsi="仿宋" w:eastAsia="仿宋" w:cs="仿宋"/>
                <w:b/>
                <w:bCs w:val="0"/>
                <w:color w:val="auto"/>
                <w:kern w:val="0"/>
                <w:sz w:val="21"/>
                <w:szCs w:val="21"/>
              </w:rPr>
              <w:t>安全提示卡</w:t>
            </w:r>
            <w:bookmarkEnd w:id="217"/>
            <w:bookmarkEnd w:id="218"/>
          </w:p>
        </w:tc>
      </w:tr>
      <w:tr w14:paraId="2698B14A">
        <w:tblPrEx>
          <w:tblCellMar>
            <w:top w:w="0" w:type="dxa"/>
            <w:left w:w="108" w:type="dxa"/>
            <w:bottom w:w="0" w:type="dxa"/>
            <w:right w:w="108" w:type="dxa"/>
          </w:tblCellMar>
        </w:tblPrEx>
        <w:trPr>
          <w:trHeight w:val="638" w:hRule="atLeast"/>
        </w:trPr>
        <w:tc>
          <w:tcPr>
            <w:tcW w:w="3213" w:type="dxa"/>
            <w:tcBorders>
              <w:top w:val="single" w:color="auto" w:sz="4" w:space="0"/>
              <w:left w:val="single" w:color="auto" w:sz="4" w:space="0"/>
              <w:bottom w:val="single" w:color="auto" w:sz="4" w:space="0"/>
              <w:right w:val="single" w:color="auto" w:sz="4" w:space="0"/>
            </w:tcBorders>
            <w:vAlign w:val="bottom"/>
          </w:tcPr>
          <w:p w14:paraId="3CEE3F1E">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19" w:name="_Toc29944"/>
            <w:bookmarkStart w:id="220" w:name="_Toc97"/>
            <w:r>
              <w:rPr>
                <w:rFonts w:hint="eastAsia" w:ascii="仿宋" w:hAnsi="仿宋" w:eastAsia="仿宋" w:cs="仿宋"/>
                <w:b w:val="0"/>
                <w:bCs/>
                <w:color w:val="auto"/>
                <w:kern w:val="0"/>
                <w:sz w:val="21"/>
                <w:szCs w:val="21"/>
              </w:rPr>
              <w:t>开机前检查</w:t>
            </w:r>
            <w:bookmarkEnd w:id="219"/>
            <w:bookmarkEnd w:id="220"/>
          </w:p>
        </w:tc>
        <w:tc>
          <w:tcPr>
            <w:tcW w:w="5488" w:type="dxa"/>
            <w:tcBorders>
              <w:top w:val="single" w:color="auto" w:sz="4" w:space="0"/>
              <w:left w:val="nil"/>
              <w:bottom w:val="single" w:color="auto" w:sz="4" w:space="0"/>
              <w:right w:val="single" w:color="auto" w:sz="4" w:space="0"/>
            </w:tcBorders>
            <w:vAlign w:val="bottom"/>
          </w:tcPr>
          <w:p w14:paraId="36C151E3">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1" w:name="_Toc27712"/>
            <w:bookmarkStart w:id="222" w:name="_Toc29523"/>
            <w:r>
              <w:rPr>
                <w:rFonts w:hint="eastAsia" w:ascii="仿宋" w:hAnsi="仿宋" w:eastAsia="仿宋" w:cs="仿宋"/>
                <w:b w:val="0"/>
                <w:bCs/>
                <w:color w:val="auto"/>
                <w:kern w:val="0"/>
                <w:sz w:val="21"/>
                <w:szCs w:val="21"/>
              </w:rPr>
              <w:t>停机后确认</w:t>
            </w:r>
            <w:bookmarkEnd w:id="221"/>
            <w:bookmarkEnd w:id="222"/>
          </w:p>
        </w:tc>
      </w:tr>
      <w:tr w14:paraId="66AD5667">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2F74E486">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3" w:name="_Toc1289"/>
            <w:bookmarkStart w:id="224" w:name="_Toc19211"/>
            <w:r>
              <w:rPr>
                <w:rFonts w:hint="eastAsia" w:ascii="仿宋" w:hAnsi="仿宋" w:eastAsia="仿宋" w:cs="仿宋"/>
                <w:b w:val="0"/>
                <w:bCs/>
                <w:color w:val="auto"/>
                <w:kern w:val="0"/>
                <w:sz w:val="21"/>
                <w:szCs w:val="21"/>
              </w:rPr>
              <w:t>★1.顶帮</w:t>
            </w:r>
            <w:bookmarkEnd w:id="223"/>
            <w:bookmarkEnd w:id="224"/>
          </w:p>
        </w:tc>
        <w:tc>
          <w:tcPr>
            <w:tcW w:w="5488" w:type="dxa"/>
            <w:tcBorders>
              <w:top w:val="nil"/>
              <w:left w:val="nil"/>
              <w:bottom w:val="single" w:color="auto" w:sz="4" w:space="0"/>
              <w:right w:val="single" w:color="auto" w:sz="4" w:space="0"/>
            </w:tcBorders>
            <w:vAlign w:val="bottom"/>
          </w:tcPr>
          <w:p w14:paraId="7645272E">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5" w:name="_Toc766"/>
            <w:bookmarkStart w:id="226" w:name="_Toc1008"/>
            <w:r>
              <w:rPr>
                <w:rFonts w:hint="eastAsia" w:ascii="仿宋" w:hAnsi="仿宋" w:eastAsia="仿宋" w:cs="仿宋"/>
                <w:b w:val="0"/>
                <w:bCs/>
                <w:color w:val="auto"/>
                <w:kern w:val="0"/>
                <w:sz w:val="21"/>
                <w:szCs w:val="21"/>
              </w:rPr>
              <w:t>1.退离迎头</w:t>
            </w:r>
            <w:bookmarkEnd w:id="225"/>
            <w:bookmarkEnd w:id="226"/>
          </w:p>
        </w:tc>
      </w:tr>
      <w:tr w14:paraId="76C41384">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576B1119">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7" w:name="_Toc20518"/>
            <w:bookmarkStart w:id="228" w:name="_Toc14212"/>
            <w:r>
              <w:rPr>
                <w:rFonts w:hint="eastAsia" w:ascii="仿宋" w:hAnsi="仿宋" w:eastAsia="仿宋" w:cs="仿宋"/>
                <w:b w:val="0"/>
                <w:bCs/>
                <w:color w:val="auto"/>
                <w:kern w:val="0"/>
                <w:sz w:val="21"/>
                <w:szCs w:val="21"/>
              </w:rPr>
              <w:t>2</w:t>
            </w:r>
            <w:r>
              <w:rPr>
                <w:rFonts w:hint="eastAsia" w:ascii="仿宋" w:hAnsi="仿宋" w:eastAsia="仿宋" w:cs="仿宋"/>
                <w:b w:val="0"/>
                <w:bCs/>
                <w:color w:val="auto"/>
                <w:kern w:val="0"/>
                <w:sz w:val="21"/>
                <w:szCs w:val="21"/>
                <w:lang w:val="en-US" w:eastAsia="zh-CN"/>
              </w:rPr>
              <w:t>.</w:t>
            </w:r>
            <w:r>
              <w:rPr>
                <w:rFonts w:hint="eastAsia" w:ascii="仿宋" w:hAnsi="仿宋" w:eastAsia="仿宋" w:cs="仿宋"/>
                <w:b w:val="0"/>
                <w:bCs/>
                <w:color w:val="auto"/>
                <w:kern w:val="0"/>
                <w:sz w:val="21"/>
                <w:szCs w:val="21"/>
              </w:rPr>
              <w:t>口罩</w:t>
            </w:r>
            <w:bookmarkEnd w:id="227"/>
            <w:bookmarkEnd w:id="228"/>
          </w:p>
        </w:tc>
        <w:tc>
          <w:tcPr>
            <w:tcW w:w="5488" w:type="dxa"/>
            <w:tcBorders>
              <w:top w:val="nil"/>
              <w:left w:val="nil"/>
              <w:bottom w:val="single" w:color="auto" w:sz="4" w:space="0"/>
              <w:right w:val="single" w:color="auto" w:sz="4" w:space="0"/>
            </w:tcBorders>
            <w:vAlign w:val="bottom"/>
          </w:tcPr>
          <w:p w14:paraId="7791359E">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9" w:name="_Toc25266"/>
            <w:bookmarkStart w:id="230" w:name="_Toc30657"/>
            <w:r>
              <w:rPr>
                <w:rFonts w:hint="eastAsia" w:ascii="仿宋" w:hAnsi="仿宋" w:eastAsia="仿宋" w:cs="仿宋"/>
                <w:b w:val="0"/>
                <w:bCs/>
                <w:color w:val="auto"/>
                <w:kern w:val="0"/>
                <w:sz w:val="21"/>
                <w:szCs w:val="21"/>
                <w:lang w:val="en-US" w:eastAsia="zh-CN"/>
              </w:rPr>
              <w:t>2.</w:t>
            </w:r>
            <w:r>
              <w:rPr>
                <w:rFonts w:hint="eastAsia" w:ascii="仿宋" w:hAnsi="仿宋" w:eastAsia="仿宋" w:cs="仿宋"/>
                <w:b w:val="0"/>
                <w:bCs/>
                <w:color w:val="auto"/>
                <w:kern w:val="0"/>
                <w:sz w:val="21"/>
                <w:szCs w:val="21"/>
              </w:rPr>
              <w:t>铲板、截割头</w:t>
            </w:r>
            <w:bookmarkEnd w:id="229"/>
            <w:bookmarkEnd w:id="230"/>
          </w:p>
        </w:tc>
      </w:tr>
      <w:tr w14:paraId="56F1F5F7">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57950F54">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lang w:eastAsia="zh-CN"/>
              </w:rPr>
            </w:pPr>
            <w:bookmarkStart w:id="231" w:name="_Toc4022"/>
            <w:bookmarkStart w:id="232" w:name="_Toc1225"/>
            <w:r>
              <w:rPr>
                <w:rFonts w:hint="eastAsia" w:ascii="仿宋" w:hAnsi="仿宋" w:eastAsia="仿宋" w:cs="仿宋"/>
                <w:b w:val="0"/>
                <w:bCs/>
                <w:color w:val="auto"/>
                <w:kern w:val="0"/>
                <w:sz w:val="21"/>
                <w:szCs w:val="21"/>
              </w:rPr>
              <w:t>3.通风、</w:t>
            </w:r>
            <w:r>
              <w:rPr>
                <w:rFonts w:hint="eastAsia" w:ascii="仿宋" w:hAnsi="仿宋" w:eastAsia="仿宋" w:cs="仿宋"/>
                <w:b w:val="0"/>
                <w:bCs/>
                <w:color w:val="auto"/>
                <w:kern w:val="0"/>
                <w:sz w:val="21"/>
                <w:szCs w:val="21"/>
                <w:lang w:eastAsia="zh-CN"/>
              </w:rPr>
              <w:t>甲烷</w:t>
            </w:r>
            <w:bookmarkEnd w:id="231"/>
            <w:bookmarkEnd w:id="232"/>
          </w:p>
        </w:tc>
        <w:tc>
          <w:tcPr>
            <w:tcW w:w="5488" w:type="dxa"/>
            <w:tcBorders>
              <w:top w:val="nil"/>
              <w:left w:val="nil"/>
              <w:bottom w:val="single" w:color="auto" w:sz="4" w:space="0"/>
              <w:right w:val="single" w:color="auto" w:sz="4" w:space="0"/>
            </w:tcBorders>
            <w:vAlign w:val="bottom"/>
          </w:tcPr>
          <w:p w14:paraId="666CD67D">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33" w:name="_Toc32482"/>
            <w:bookmarkStart w:id="234" w:name="_Toc15389"/>
            <w:r>
              <w:rPr>
                <w:rFonts w:hint="eastAsia" w:ascii="仿宋" w:hAnsi="仿宋" w:eastAsia="仿宋" w:cs="仿宋"/>
                <w:b w:val="0"/>
                <w:bCs/>
                <w:color w:val="auto"/>
                <w:kern w:val="0"/>
                <w:sz w:val="21"/>
                <w:szCs w:val="21"/>
              </w:rPr>
              <w:t>3.进水截止阀</w:t>
            </w:r>
            <w:bookmarkEnd w:id="233"/>
            <w:bookmarkEnd w:id="234"/>
          </w:p>
        </w:tc>
      </w:tr>
      <w:tr w14:paraId="2D1C760F">
        <w:tblPrEx>
          <w:tblCellMar>
            <w:top w:w="0" w:type="dxa"/>
            <w:left w:w="108" w:type="dxa"/>
            <w:bottom w:w="0" w:type="dxa"/>
            <w:right w:w="108" w:type="dxa"/>
          </w:tblCellMar>
        </w:tblPrEx>
        <w:trPr>
          <w:trHeight w:val="981" w:hRule="atLeast"/>
        </w:trPr>
        <w:tc>
          <w:tcPr>
            <w:tcW w:w="3213" w:type="dxa"/>
            <w:tcBorders>
              <w:top w:val="nil"/>
              <w:left w:val="single" w:color="auto" w:sz="4" w:space="0"/>
              <w:bottom w:val="single" w:color="auto" w:sz="4" w:space="0"/>
              <w:right w:val="single" w:color="auto" w:sz="4" w:space="0"/>
            </w:tcBorders>
            <w:vAlign w:val="bottom"/>
          </w:tcPr>
          <w:p w14:paraId="65DB3BCB">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35" w:name="_Toc14399"/>
            <w:bookmarkStart w:id="236" w:name="_Toc19894"/>
            <w:r>
              <w:rPr>
                <w:rFonts w:hint="eastAsia" w:ascii="仿宋" w:hAnsi="仿宋" w:eastAsia="仿宋" w:cs="仿宋"/>
                <w:b w:val="0"/>
                <w:bCs/>
                <w:color w:val="auto"/>
                <w:kern w:val="0"/>
                <w:sz w:val="21"/>
                <w:szCs w:val="21"/>
              </w:rPr>
              <w:t>★4.二运两侧及前方无其他人员、障碍物</w:t>
            </w:r>
            <w:bookmarkEnd w:id="235"/>
            <w:bookmarkEnd w:id="236"/>
          </w:p>
        </w:tc>
        <w:tc>
          <w:tcPr>
            <w:tcW w:w="5488" w:type="dxa"/>
            <w:tcBorders>
              <w:top w:val="nil"/>
              <w:left w:val="nil"/>
              <w:bottom w:val="single" w:color="auto" w:sz="4" w:space="0"/>
              <w:right w:val="single" w:color="auto" w:sz="4" w:space="0"/>
            </w:tcBorders>
            <w:vAlign w:val="bottom"/>
          </w:tcPr>
          <w:p w14:paraId="73A5A877">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37" w:name="_Toc11463"/>
            <w:bookmarkStart w:id="238" w:name="_Toc1998"/>
            <w:r>
              <w:rPr>
                <w:rFonts w:hint="eastAsia" w:ascii="仿宋" w:hAnsi="仿宋" w:eastAsia="仿宋" w:cs="仿宋"/>
                <w:b w:val="0"/>
                <w:bCs/>
                <w:color w:val="auto"/>
                <w:kern w:val="0"/>
                <w:sz w:val="21"/>
                <w:szCs w:val="21"/>
              </w:rPr>
              <w:t>★4.操作阀、停电闭锁</w:t>
            </w:r>
            <w:bookmarkEnd w:id="237"/>
            <w:bookmarkEnd w:id="238"/>
          </w:p>
        </w:tc>
      </w:tr>
      <w:tr w14:paraId="7CB6B2EA">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463F1239">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39" w:name="_Toc3480"/>
            <w:bookmarkStart w:id="240" w:name="_Toc3068"/>
            <w:r>
              <w:rPr>
                <w:rFonts w:hint="eastAsia" w:ascii="仿宋" w:hAnsi="仿宋" w:eastAsia="仿宋" w:cs="仿宋"/>
                <w:b w:val="0"/>
                <w:bCs/>
                <w:color w:val="auto"/>
                <w:kern w:val="0"/>
                <w:sz w:val="21"/>
                <w:szCs w:val="21"/>
              </w:rPr>
              <w:t>5.皮带搭接</w:t>
            </w:r>
            <w:bookmarkEnd w:id="239"/>
            <w:bookmarkEnd w:id="240"/>
          </w:p>
        </w:tc>
        <w:tc>
          <w:tcPr>
            <w:tcW w:w="5488" w:type="dxa"/>
            <w:tcBorders>
              <w:top w:val="nil"/>
              <w:left w:val="nil"/>
              <w:bottom w:val="single" w:color="auto" w:sz="4" w:space="0"/>
              <w:right w:val="single" w:color="auto" w:sz="4" w:space="0"/>
            </w:tcBorders>
            <w:vAlign w:val="bottom"/>
          </w:tcPr>
          <w:p w14:paraId="5928376B">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r>
      <w:tr w14:paraId="17DDF5A3">
        <w:tblPrEx>
          <w:tblCellMar>
            <w:top w:w="0" w:type="dxa"/>
            <w:left w:w="108" w:type="dxa"/>
            <w:bottom w:w="0" w:type="dxa"/>
            <w:right w:w="108" w:type="dxa"/>
          </w:tblCellMar>
        </w:tblPrEx>
        <w:trPr>
          <w:trHeight w:val="324" w:hRule="atLeast"/>
        </w:trPr>
        <w:tc>
          <w:tcPr>
            <w:tcW w:w="8701" w:type="dxa"/>
            <w:gridSpan w:val="2"/>
            <w:vMerge w:val="restart"/>
            <w:tcBorders>
              <w:top w:val="single" w:color="auto" w:sz="4" w:space="0"/>
              <w:left w:val="single" w:color="auto" w:sz="4" w:space="0"/>
              <w:bottom w:val="single" w:color="auto" w:sz="4" w:space="0"/>
              <w:right w:val="single" w:color="auto" w:sz="4" w:space="0"/>
            </w:tcBorders>
            <w:vAlign w:val="bottom"/>
          </w:tcPr>
          <w:p w14:paraId="06F4BD44">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lang w:val="en-US" w:eastAsia="zh-CN"/>
              </w:rPr>
            </w:pPr>
            <w:bookmarkStart w:id="241" w:name="_Toc13700"/>
            <w:bookmarkStart w:id="242" w:name="_Toc1110"/>
            <w:r>
              <w:rPr>
                <w:rFonts w:hint="eastAsia" w:ascii="仿宋" w:hAnsi="仿宋" w:eastAsia="仿宋" w:cs="仿宋"/>
                <w:b w:val="0"/>
                <w:bCs/>
                <w:color w:val="auto"/>
                <w:kern w:val="0"/>
                <w:sz w:val="21"/>
                <w:szCs w:val="21"/>
              </w:rPr>
              <w:t>手指口述：第一次按开机前检查内容逐项检查并口述确认，存在问题整改后再确认；中间再次操作只检查带“★”部分；全部结束后按停机后确认内容逐项检查并口述确认。</w:t>
            </w:r>
            <w:bookmarkEnd w:id="241"/>
            <w:bookmarkEnd w:id="242"/>
            <w:r>
              <w:rPr>
                <w:rFonts w:hint="eastAsia" w:ascii="仿宋" w:hAnsi="仿宋" w:eastAsia="仿宋" w:cs="仿宋"/>
                <w:b w:val="0"/>
                <w:bCs/>
                <w:color w:val="auto"/>
                <w:kern w:val="0"/>
                <w:sz w:val="21"/>
                <w:szCs w:val="21"/>
              </w:rPr>
              <w:t xml:space="preserve"> </w:t>
            </w:r>
          </w:p>
        </w:tc>
      </w:tr>
      <w:tr w14:paraId="78A167B4">
        <w:tblPrEx>
          <w:tblCellMar>
            <w:top w:w="0" w:type="dxa"/>
            <w:left w:w="108" w:type="dxa"/>
            <w:bottom w:w="0" w:type="dxa"/>
            <w:right w:w="108" w:type="dxa"/>
          </w:tblCellMar>
        </w:tblPrEx>
        <w:trPr>
          <w:trHeight w:val="324" w:hRule="atLeast"/>
        </w:trPr>
        <w:tc>
          <w:tcPr>
            <w:tcW w:w="8701" w:type="dxa"/>
            <w:gridSpan w:val="2"/>
            <w:vMerge w:val="continue"/>
            <w:tcBorders>
              <w:top w:val="single" w:color="auto" w:sz="4" w:space="0"/>
              <w:left w:val="single" w:color="auto" w:sz="4" w:space="0"/>
              <w:bottom w:val="single" w:color="auto" w:sz="4" w:space="0"/>
              <w:right w:val="single" w:color="auto" w:sz="4" w:space="0"/>
            </w:tcBorders>
            <w:vAlign w:val="center"/>
          </w:tcPr>
          <w:p w14:paraId="00660658">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r>
      <w:tr w14:paraId="281AD116">
        <w:tblPrEx>
          <w:tblCellMar>
            <w:top w:w="0" w:type="dxa"/>
            <w:left w:w="108" w:type="dxa"/>
            <w:bottom w:w="0" w:type="dxa"/>
            <w:right w:w="108" w:type="dxa"/>
          </w:tblCellMar>
        </w:tblPrEx>
        <w:trPr>
          <w:trHeight w:val="312" w:hRule="atLeast"/>
        </w:trPr>
        <w:tc>
          <w:tcPr>
            <w:tcW w:w="8701" w:type="dxa"/>
            <w:gridSpan w:val="2"/>
            <w:vMerge w:val="continue"/>
            <w:tcBorders>
              <w:top w:val="single" w:color="auto" w:sz="4" w:space="0"/>
              <w:left w:val="single" w:color="auto" w:sz="4" w:space="0"/>
              <w:bottom w:val="single" w:color="auto" w:sz="4" w:space="0"/>
              <w:right w:val="single" w:color="auto" w:sz="4" w:space="0"/>
            </w:tcBorders>
            <w:vAlign w:val="center"/>
          </w:tcPr>
          <w:p w14:paraId="5AE9E408">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r>
    </w:tbl>
    <w:p w14:paraId="2FB9ED76">
      <w:pPr>
        <w:keepNext w:val="0"/>
        <w:keepLines w:val="0"/>
        <w:pageBreakBefore w:val="0"/>
        <w:widowControl w:val="0"/>
        <w:kinsoku/>
        <w:wordWrap/>
        <w:overflowPunct/>
        <w:topLinePunct w:val="0"/>
        <w:autoSpaceDE/>
        <w:autoSpaceDN/>
        <w:bidi w:val="0"/>
        <w:adjustRightInd/>
        <w:jc w:val="center"/>
        <w:textAlignment w:val="auto"/>
        <w:outlineLvl w:val="9"/>
        <w:rPr>
          <w:color w:val="auto"/>
          <w:sz w:val="21"/>
          <w:szCs w:val="21"/>
        </w:rPr>
      </w:pPr>
      <w:r>
        <w:rPr>
          <w:rFonts w:hint="eastAsia" w:ascii="仿宋" w:hAnsi="仿宋" w:eastAsia="仿宋" w:cs="仿宋"/>
          <w:b w:val="0"/>
          <w:bCs w:val="0"/>
          <w:color w:val="auto"/>
          <w:kern w:val="0"/>
          <w:sz w:val="21"/>
          <w:szCs w:val="21"/>
          <w:highlight w:val="none"/>
          <w:lang w:eastAsia="zh-CN"/>
        </w:rPr>
        <w:t>综掘机机</w:t>
      </w:r>
      <w:r>
        <w:rPr>
          <w:rFonts w:hint="eastAsia" w:ascii="仿宋" w:hAnsi="仿宋" w:eastAsia="仿宋" w:cs="仿宋"/>
          <w:b w:val="0"/>
          <w:bCs w:val="0"/>
          <w:color w:val="auto"/>
          <w:kern w:val="0"/>
          <w:sz w:val="21"/>
          <w:szCs w:val="21"/>
          <w:highlight w:val="none"/>
        </w:rPr>
        <w:t>单元检查表</w:t>
      </w:r>
    </w:p>
    <w:tbl>
      <w:tblPr>
        <w:tblStyle w:val="12"/>
        <w:tblW w:w="8716" w:type="dxa"/>
        <w:tblInd w:w="0" w:type="dxa"/>
        <w:tblLayout w:type="fixed"/>
        <w:tblCellMar>
          <w:top w:w="0" w:type="dxa"/>
          <w:left w:w="108" w:type="dxa"/>
          <w:bottom w:w="0" w:type="dxa"/>
          <w:right w:w="108" w:type="dxa"/>
        </w:tblCellMar>
      </w:tblPr>
      <w:tblGrid>
        <w:gridCol w:w="3213"/>
        <w:gridCol w:w="5503"/>
      </w:tblGrid>
      <w:tr w14:paraId="78A4E852">
        <w:tblPrEx>
          <w:tblCellMar>
            <w:top w:w="0" w:type="dxa"/>
            <w:left w:w="108" w:type="dxa"/>
            <w:bottom w:w="0" w:type="dxa"/>
            <w:right w:w="108" w:type="dxa"/>
          </w:tblCellMar>
        </w:tblPrEx>
        <w:trPr>
          <w:trHeight w:val="638" w:hRule="atLeast"/>
        </w:trPr>
        <w:tc>
          <w:tcPr>
            <w:tcW w:w="3213" w:type="dxa"/>
            <w:tcBorders>
              <w:top w:val="single" w:color="auto" w:sz="4" w:space="0"/>
              <w:left w:val="single" w:color="auto" w:sz="4" w:space="0"/>
              <w:bottom w:val="single" w:color="auto" w:sz="4" w:space="0"/>
              <w:right w:val="single" w:color="auto" w:sz="4" w:space="0"/>
            </w:tcBorders>
            <w:vAlign w:val="bottom"/>
          </w:tcPr>
          <w:p w14:paraId="0738ECFA">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43" w:name="_Toc5945"/>
            <w:bookmarkStart w:id="244" w:name="_Toc28262"/>
            <w:r>
              <w:rPr>
                <w:rFonts w:hint="eastAsia" w:ascii="仿宋" w:hAnsi="仿宋" w:eastAsia="仿宋" w:cs="仿宋"/>
                <w:b w:val="0"/>
                <w:bCs/>
                <w:color w:val="auto"/>
                <w:kern w:val="0"/>
                <w:sz w:val="21"/>
                <w:szCs w:val="21"/>
                <w:lang w:eastAsia="zh-CN"/>
              </w:rPr>
              <w:t>综掘机</w:t>
            </w:r>
            <w:r>
              <w:rPr>
                <w:rFonts w:hint="eastAsia" w:ascii="仿宋" w:hAnsi="仿宋" w:eastAsia="仿宋" w:cs="仿宋"/>
                <w:b w:val="0"/>
                <w:bCs/>
                <w:color w:val="auto"/>
                <w:kern w:val="0"/>
                <w:sz w:val="21"/>
                <w:szCs w:val="21"/>
              </w:rPr>
              <w:t>单元检查表</w:t>
            </w:r>
            <w:bookmarkEnd w:id="243"/>
            <w:bookmarkEnd w:id="244"/>
          </w:p>
        </w:tc>
        <w:tc>
          <w:tcPr>
            <w:tcW w:w="5503" w:type="dxa"/>
            <w:tcBorders>
              <w:top w:val="single" w:color="auto" w:sz="4" w:space="0"/>
              <w:left w:val="nil"/>
              <w:bottom w:val="single" w:color="auto" w:sz="4" w:space="0"/>
              <w:right w:val="single" w:color="auto" w:sz="4" w:space="0"/>
            </w:tcBorders>
            <w:vAlign w:val="bottom"/>
          </w:tcPr>
          <w:p w14:paraId="5C3CB5E1">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45" w:name="_Toc28970"/>
            <w:bookmarkStart w:id="246" w:name="_Toc23619"/>
            <w:r>
              <w:rPr>
                <w:rFonts w:hint="eastAsia" w:ascii="仿宋" w:hAnsi="仿宋" w:eastAsia="仿宋" w:cs="仿宋"/>
                <w:b w:val="0"/>
                <w:bCs/>
                <w:color w:val="auto"/>
                <w:kern w:val="0"/>
                <w:sz w:val="21"/>
                <w:szCs w:val="21"/>
              </w:rPr>
              <w:t>除尘风机单元检查表</w:t>
            </w:r>
            <w:bookmarkEnd w:id="245"/>
            <w:bookmarkEnd w:id="246"/>
          </w:p>
        </w:tc>
      </w:tr>
      <w:tr w14:paraId="35D7D2D9">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3B2E41B7">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47" w:name="_Toc24146"/>
            <w:bookmarkStart w:id="248" w:name="_Toc957"/>
            <w:r>
              <w:rPr>
                <w:rFonts w:hint="eastAsia" w:ascii="仿宋" w:hAnsi="仿宋" w:eastAsia="仿宋" w:cs="仿宋"/>
                <w:b w:val="0"/>
                <w:bCs/>
                <w:color w:val="auto"/>
                <w:kern w:val="0"/>
                <w:sz w:val="21"/>
                <w:szCs w:val="21"/>
              </w:rPr>
              <w:t>1.截齿、齿座</w:t>
            </w:r>
            <w:bookmarkEnd w:id="247"/>
            <w:bookmarkEnd w:id="248"/>
          </w:p>
        </w:tc>
        <w:tc>
          <w:tcPr>
            <w:tcW w:w="5503" w:type="dxa"/>
            <w:tcBorders>
              <w:top w:val="nil"/>
              <w:left w:val="nil"/>
              <w:bottom w:val="single" w:color="auto" w:sz="4" w:space="0"/>
              <w:right w:val="single" w:color="auto" w:sz="4" w:space="0"/>
            </w:tcBorders>
            <w:vAlign w:val="bottom"/>
          </w:tcPr>
          <w:p w14:paraId="215C162E">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49" w:name="_Toc8767"/>
            <w:bookmarkStart w:id="250" w:name="_Toc30115"/>
            <w:r>
              <w:rPr>
                <w:rFonts w:hint="eastAsia" w:ascii="仿宋" w:hAnsi="仿宋" w:eastAsia="仿宋" w:cs="仿宋"/>
                <w:b w:val="0"/>
                <w:bCs/>
                <w:color w:val="auto"/>
                <w:kern w:val="0"/>
                <w:sz w:val="21"/>
                <w:szCs w:val="21"/>
              </w:rPr>
              <w:t>1.吸风口距掘进机截割头距离</w:t>
            </w:r>
            <w:bookmarkEnd w:id="249"/>
            <w:bookmarkEnd w:id="250"/>
          </w:p>
        </w:tc>
      </w:tr>
      <w:tr w14:paraId="15562930">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38B134B3">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1" w:name="_Toc23994"/>
            <w:bookmarkStart w:id="252" w:name="_Toc5601"/>
            <w:r>
              <w:rPr>
                <w:rFonts w:hint="eastAsia" w:ascii="仿宋" w:hAnsi="仿宋" w:eastAsia="仿宋" w:cs="仿宋"/>
                <w:b w:val="0"/>
                <w:bCs/>
                <w:color w:val="auto"/>
                <w:kern w:val="0"/>
                <w:sz w:val="21"/>
                <w:szCs w:val="21"/>
              </w:rPr>
              <w:t>2.截割臂、液压管</w:t>
            </w:r>
            <w:bookmarkEnd w:id="251"/>
            <w:bookmarkEnd w:id="252"/>
          </w:p>
        </w:tc>
        <w:tc>
          <w:tcPr>
            <w:tcW w:w="5503" w:type="dxa"/>
            <w:tcBorders>
              <w:top w:val="nil"/>
              <w:left w:val="nil"/>
              <w:bottom w:val="single" w:color="auto" w:sz="4" w:space="0"/>
              <w:right w:val="single" w:color="auto" w:sz="4" w:space="0"/>
            </w:tcBorders>
            <w:vAlign w:val="bottom"/>
          </w:tcPr>
          <w:p w14:paraId="51C7981D">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3" w:name="_Toc1672"/>
            <w:bookmarkStart w:id="254" w:name="_Toc22839"/>
            <w:r>
              <w:rPr>
                <w:rFonts w:hint="eastAsia" w:ascii="仿宋" w:hAnsi="仿宋" w:eastAsia="仿宋" w:cs="仿宋"/>
                <w:b w:val="0"/>
                <w:bCs/>
                <w:color w:val="auto"/>
                <w:kern w:val="0"/>
                <w:sz w:val="21"/>
                <w:szCs w:val="21"/>
              </w:rPr>
              <w:t>2.负压风筒</w:t>
            </w:r>
            <w:bookmarkEnd w:id="253"/>
            <w:bookmarkEnd w:id="254"/>
          </w:p>
        </w:tc>
      </w:tr>
      <w:tr w14:paraId="7A8D71B4">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6D4D5DB7">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5" w:name="_Toc17441"/>
            <w:bookmarkStart w:id="256" w:name="_Toc29860"/>
            <w:r>
              <w:rPr>
                <w:rFonts w:hint="eastAsia" w:ascii="仿宋" w:hAnsi="仿宋" w:eastAsia="仿宋" w:cs="仿宋"/>
                <w:b w:val="0"/>
                <w:bCs/>
                <w:color w:val="auto"/>
                <w:kern w:val="0"/>
                <w:sz w:val="21"/>
                <w:szCs w:val="21"/>
              </w:rPr>
              <w:t>3.铲板、星轮</w:t>
            </w:r>
            <w:bookmarkEnd w:id="255"/>
            <w:bookmarkEnd w:id="256"/>
          </w:p>
        </w:tc>
        <w:tc>
          <w:tcPr>
            <w:tcW w:w="5503" w:type="dxa"/>
            <w:tcBorders>
              <w:top w:val="nil"/>
              <w:left w:val="nil"/>
              <w:bottom w:val="single" w:color="auto" w:sz="4" w:space="0"/>
              <w:right w:val="single" w:color="auto" w:sz="4" w:space="0"/>
            </w:tcBorders>
            <w:vAlign w:val="bottom"/>
          </w:tcPr>
          <w:p w14:paraId="7393ADDC">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7" w:name="_Toc30132"/>
            <w:bookmarkStart w:id="258" w:name="_Toc3465"/>
            <w:r>
              <w:rPr>
                <w:rFonts w:hint="eastAsia" w:ascii="仿宋" w:hAnsi="仿宋" w:eastAsia="仿宋" w:cs="仿宋"/>
                <w:b w:val="0"/>
                <w:bCs/>
                <w:color w:val="auto"/>
                <w:kern w:val="0"/>
                <w:sz w:val="21"/>
                <w:szCs w:val="21"/>
              </w:rPr>
              <w:t>3.固定，各部件齐全完好</w:t>
            </w:r>
            <w:bookmarkEnd w:id="257"/>
            <w:bookmarkEnd w:id="258"/>
          </w:p>
        </w:tc>
      </w:tr>
      <w:tr w14:paraId="13B2384D">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54198FB3">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9" w:name="_Toc10936"/>
            <w:bookmarkStart w:id="260" w:name="_Toc28381"/>
            <w:r>
              <w:rPr>
                <w:rFonts w:hint="eastAsia" w:ascii="仿宋" w:hAnsi="仿宋" w:eastAsia="仿宋" w:cs="仿宋"/>
                <w:b w:val="0"/>
                <w:bCs/>
                <w:color w:val="auto"/>
                <w:kern w:val="0"/>
                <w:sz w:val="21"/>
                <w:szCs w:val="21"/>
              </w:rPr>
              <w:t>4.急停闭锁、右履带、油温、油位</w:t>
            </w:r>
            <w:bookmarkEnd w:id="259"/>
            <w:bookmarkEnd w:id="260"/>
          </w:p>
        </w:tc>
        <w:tc>
          <w:tcPr>
            <w:tcW w:w="5503" w:type="dxa"/>
            <w:tcBorders>
              <w:top w:val="nil"/>
              <w:left w:val="nil"/>
              <w:bottom w:val="single" w:color="auto" w:sz="4" w:space="0"/>
              <w:right w:val="single" w:color="auto" w:sz="4" w:space="0"/>
            </w:tcBorders>
            <w:vAlign w:val="bottom"/>
          </w:tcPr>
          <w:p w14:paraId="791DBF3C">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1" w:name="_Toc1479"/>
            <w:bookmarkStart w:id="262" w:name="_Toc3168"/>
            <w:r>
              <w:rPr>
                <w:rFonts w:hint="eastAsia" w:ascii="仿宋" w:hAnsi="仿宋" w:eastAsia="仿宋" w:cs="仿宋"/>
                <w:b w:val="0"/>
                <w:bCs/>
                <w:color w:val="auto"/>
                <w:kern w:val="0"/>
                <w:sz w:val="21"/>
                <w:szCs w:val="21"/>
              </w:rPr>
              <w:t>4.水管连接</w:t>
            </w:r>
            <w:bookmarkEnd w:id="261"/>
            <w:bookmarkEnd w:id="262"/>
          </w:p>
        </w:tc>
      </w:tr>
      <w:tr w14:paraId="3822CEBE">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05181365">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3" w:name="_Toc2942"/>
            <w:bookmarkStart w:id="264" w:name="_Toc4998"/>
            <w:r>
              <w:rPr>
                <w:rFonts w:hint="eastAsia" w:ascii="仿宋" w:hAnsi="仿宋" w:eastAsia="仿宋" w:cs="仿宋"/>
                <w:b w:val="0"/>
                <w:bCs/>
                <w:color w:val="auto"/>
                <w:kern w:val="0"/>
                <w:sz w:val="21"/>
                <w:szCs w:val="21"/>
              </w:rPr>
              <w:t>5.二运、二运喷雾、电缆</w:t>
            </w:r>
            <w:bookmarkEnd w:id="263"/>
            <w:bookmarkEnd w:id="264"/>
          </w:p>
        </w:tc>
        <w:tc>
          <w:tcPr>
            <w:tcW w:w="5503" w:type="dxa"/>
            <w:tcBorders>
              <w:top w:val="nil"/>
              <w:left w:val="nil"/>
              <w:bottom w:val="single" w:color="auto" w:sz="4" w:space="0"/>
              <w:right w:val="single" w:color="auto" w:sz="4" w:space="0"/>
            </w:tcBorders>
            <w:vAlign w:val="bottom"/>
          </w:tcPr>
          <w:p w14:paraId="460F27DA">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5" w:name="_Toc28501"/>
            <w:bookmarkStart w:id="266" w:name="_Toc10568"/>
            <w:r>
              <w:rPr>
                <w:rFonts w:hint="eastAsia" w:ascii="仿宋" w:hAnsi="仿宋" w:eastAsia="仿宋" w:cs="仿宋"/>
                <w:b w:val="0"/>
                <w:bCs/>
                <w:color w:val="auto"/>
                <w:kern w:val="0"/>
                <w:sz w:val="21"/>
                <w:szCs w:val="21"/>
              </w:rPr>
              <w:t>5.喷雾</w:t>
            </w:r>
            <w:bookmarkEnd w:id="265"/>
            <w:bookmarkEnd w:id="266"/>
          </w:p>
        </w:tc>
      </w:tr>
      <w:tr w14:paraId="332CA48E">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1FE35A21">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7" w:name="_Toc30698"/>
            <w:bookmarkStart w:id="268" w:name="_Toc18355"/>
            <w:r>
              <w:rPr>
                <w:rFonts w:hint="eastAsia" w:ascii="仿宋" w:hAnsi="仿宋" w:eastAsia="仿宋" w:cs="仿宋"/>
                <w:b w:val="0"/>
                <w:bCs/>
                <w:color w:val="auto"/>
                <w:kern w:val="0"/>
                <w:sz w:val="21"/>
                <w:szCs w:val="21"/>
              </w:rPr>
              <w:t>6.电控装置、电铃、照明灯</w:t>
            </w:r>
            <w:bookmarkEnd w:id="267"/>
            <w:bookmarkEnd w:id="268"/>
          </w:p>
        </w:tc>
        <w:tc>
          <w:tcPr>
            <w:tcW w:w="5503" w:type="dxa"/>
            <w:tcBorders>
              <w:top w:val="nil"/>
              <w:left w:val="nil"/>
              <w:bottom w:val="single" w:color="auto" w:sz="4" w:space="0"/>
              <w:right w:val="single" w:color="auto" w:sz="4" w:space="0"/>
            </w:tcBorders>
            <w:vAlign w:val="bottom"/>
          </w:tcPr>
          <w:p w14:paraId="4EA3C135">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9" w:name="_Toc14158"/>
            <w:bookmarkStart w:id="270" w:name="_Toc31439"/>
            <w:r>
              <w:rPr>
                <w:rFonts w:hint="eastAsia" w:ascii="仿宋" w:hAnsi="仿宋" w:eastAsia="仿宋" w:cs="仿宋"/>
                <w:b w:val="0"/>
                <w:bCs/>
                <w:color w:val="auto"/>
                <w:kern w:val="0"/>
                <w:sz w:val="21"/>
                <w:szCs w:val="21"/>
              </w:rPr>
              <w:t>6.出风口3</w:t>
            </w:r>
            <w:r>
              <w:rPr>
                <w:rFonts w:hint="eastAsia" w:ascii="仿宋" w:hAnsi="仿宋" w:eastAsia="仿宋" w:cs="仿宋"/>
                <w:b w:val="0"/>
                <w:bCs/>
                <w:color w:val="auto"/>
                <w:kern w:val="0"/>
                <w:sz w:val="21"/>
                <w:szCs w:val="21"/>
                <w:lang w:eastAsia="zh-CN"/>
              </w:rPr>
              <w:t>m</w:t>
            </w:r>
            <w:r>
              <w:rPr>
                <w:rFonts w:hint="eastAsia" w:ascii="仿宋" w:hAnsi="仿宋" w:eastAsia="仿宋" w:cs="仿宋"/>
                <w:b w:val="0"/>
                <w:bCs/>
                <w:color w:val="auto"/>
                <w:kern w:val="0"/>
                <w:sz w:val="21"/>
                <w:szCs w:val="21"/>
              </w:rPr>
              <w:t>范围内杂物</w:t>
            </w:r>
            <w:bookmarkEnd w:id="269"/>
            <w:bookmarkEnd w:id="270"/>
          </w:p>
        </w:tc>
      </w:tr>
      <w:tr w14:paraId="723CA3BF">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4AFF5134">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71" w:name="_Toc2588"/>
            <w:bookmarkStart w:id="272" w:name="_Toc12645"/>
            <w:r>
              <w:rPr>
                <w:rFonts w:hint="eastAsia" w:ascii="仿宋" w:hAnsi="仿宋" w:eastAsia="仿宋" w:cs="仿宋"/>
                <w:b w:val="0"/>
                <w:bCs/>
                <w:color w:val="auto"/>
                <w:kern w:val="0"/>
                <w:sz w:val="21"/>
                <w:szCs w:val="21"/>
              </w:rPr>
              <w:t>7.左履带、截割闭锁</w:t>
            </w:r>
            <w:bookmarkEnd w:id="271"/>
            <w:bookmarkEnd w:id="272"/>
          </w:p>
        </w:tc>
        <w:tc>
          <w:tcPr>
            <w:tcW w:w="5503" w:type="dxa"/>
            <w:tcBorders>
              <w:top w:val="nil"/>
              <w:left w:val="nil"/>
              <w:bottom w:val="single" w:color="auto" w:sz="4" w:space="0"/>
              <w:right w:val="single" w:color="auto" w:sz="4" w:space="0"/>
            </w:tcBorders>
            <w:vAlign w:val="bottom"/>
          </w:tcPr>
          <w:p w14:paraId="643209FD">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rPr>
              <w:t>　</w:t>
            </w:r>
          </w:p>
        </w:tc>
      </w:tr>
      <w:tr w14:paraId="0BDCEAC4">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12A4F6B3">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73" w:name="_Toc26180"/>
            <w:bookmarkStart w:id="274" w:name="_Toc20546"/>
            <w:r>
              <w:rPr>
                <w:rFonts w:hint="eastAsia" w:ascii="仿宋" w:hAnsi="仿宋" w:eastAsia="仿宋" w:cs="仿宋"/>
                <w:b w:val="0"/>
                <w:bCs/>
                <w:color w:val="auto"/>
                <w:kern w:val="0"/>
                <w:sz w:val="21"/>
                <w:szCs w:val="21"/>
              </w:rPr>
              <w:t>8.操作手把、冷却、喷雾</w:t>
            </w:r>
            <w:bookmarkEnd w:id="273"/>
            <w:bookmarkEnd w:id="274"/>
          </w:p>
        </w:tc>
        <w:tc>
          <w:tcPr>
            <w:tcW w:w="5503" w:type="dxa"/>
            <w:tcBorders>
              <w:top w:val="nil"/>
              <w:left w:val="nil"/>
              <w:bottom w:val="single" w:color="auto" w:sz="4" w:space="0"/>
              <w:right w:val="single" w:color="auto" w:sz="4" w:space="0"/>
            </w:tcBorders>
            <w:vAlign w:val="bottom"/>
          </w:tcPr>
          <w:p w14:paraId="21B90F5E">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rPr>
              <w:t>　</w:t>
            </w:r>
          </w:p>
        </w:tc>
      </w:tr>
      <w:tr w14:paraId="1172A89A">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14:paraId="0B221611">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75" w:name="_Toc26568"/>
            <w:bookmarkStart w:id="276" w:name="_Toc27260"/>
            <w:r>
              <w:rPr>
                <w:rFonts w:hint="eastAsia" w:ascii="仿宋" w:hAnsi="仿宋" w:eastAsia="仿宋" w:cs="仿宋"/>
                <w:b w:val="0"/>
                <w:bCs/>
                <w:color w:val="auto"/>
                <w:kern w:val="0"/>
                <w:sz w:val="21"/>
                <w:szCs w:val="21"/>
              </w:rPr>
              <w:t>9.一运、一运喷雾</w:t>
            </w:r>
            <w:bookmarkEnd w:id="275"/>
            <w:bookmarkEnd w:id="276"/>
          </w:p>
        </w:tc>
        <w:tc>
          <w:tcPr>
            <w:tcW w:w="5503" w:type="dxa"/>
            <w:tcBorders>
              <w:top w:val="nil"/>
              <w:left w:val="nil"/>
              <w:bottom w:val="single" w:color="auto" w:sz="4" w:space="0"/>
              <w:right w:val="single" w:color="auto" w:sz="4" w:space="0"/>
            </w:tcBorders>
            <w:vAlign w:val="bottom"/>
          </w:tcPr>
          <w:p w14:paraId="6F2E0F87">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rPr>
              <w:t>　</w:t>
            </w:r>
          </w:p>
        </w:tc>
      </w:tr>
      <w:tr w14:paraId="1697CB25">
        <w:tblPrEx>
          <w:tblCellMar>
            <w:top w:w="0" w:type="dxa"/>
            <w:left w:w="108" w:type="dxa"/>
            <w:bottom w:w="0" w:type="dxa"/>
            <w:right w:w="108" w:type="dxa"/>
          </w:tblCellMar>
        </w:tblPrEx>
        <w:trPr>
          <w:trHeight w:val="962" w:hRule="atLeast"/>
        </w:trPr>
        <w:tc>
          <w:tcPr>
            <w:tcW w:w="8716" w:type="dxa"/>
            <w:gridSpan w:val="2"/>
            <w:tcBorders>
              <w:top w:val="nil"/>
              <w:left w:val="single" w:color="auto" w:sz="4" w:space="0"/>
              <w:bottom w:val="single" w:color="000000" w:sz="4" w:space="0"/>
              <w:right w:val="single" w:color="auto" w:sz="4" w:space="0"/>
            </w:tcBorders>
            <w:vAlign w:val="center"/>
          </w:tcPr>
          <w:p w14:paraId="5387755B">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both"/>
              <w:textAlignment w:val="auto"/>
              <w:outlineLvl w:val="9"/>
              <w:rPr>
                <w:rFonts w:hint="eastAsia" w:ascii="仿宋" w:hAnsi="仿宋" w:eastAsia="仿宋" w:cs="仿宋"/>
                <w:b w:val="0"/>
                <w:bCs/>
                <w:color w:val="auto"/>
                <w:kern w:val="0"/>
                <w:sz w:val="21"/>
                <w:szCs w:val="21"/>
                <w:lang w:eastAsia="zh-CN"/>
              </w:rPr>
            </w:pPr>
            <w:bookmarkStart w:id="277" w:name="_Toc9781"/>
            <w:bookmarkStart w:id="278" w:name="_Toc15180"/>
            <w:r>
              <w:rPr>
                <w:rFonts w:hint="eastAsia" w:ascii="仿宋" w:hAnsi="仿宋" w:eastAsia="仿宋" w:cs="仿宋"/>
                <w:b w:val="0"/>
                <w:bCs/>
                <w:color w:val="auto"/>
                <w:kern w:val="0"/>
                <w:sz w:val="21"/>
                <w:szCs w:val="21"/>
              </w:rPr>
              <w:t>接班后单元检查表检查前，先进行停电闭锁确认</w:t>
            </w:r>
            <w:r>
              <w:rPr>
                <w:rFonts w:hint="eastAsia" w:ascii="仿宋" w:hAnsi="仿宋" w:eastAsia="仿宋" w:cs="仿宋"/>
                <w:b w:val="0"/>
                <w:bCs/>
                <w:color w:val="auto"/>
                <w:kern w:val="0"/>
                <w:sz w:val="21"/>
                <w:szCs w:val="21"/>
                <w:lang w:eastAsia="zh-CN"/>
              </w:rPr>
              <w:t>。</w:t>
            </w:r>
            <w:bookmarkEnd w:id="277"/>
            <w:bookmarkEnd w:id="278"/>
          </w:p>
        </w:tc>
      </w:tr>
    </w:tbl>
    <w:tbl>
      <w:tblPr>
        <w:tblStyle w:val="12"/>
        <w:tblpPr w:leftFromText="180" w:rightFromText="180" w:vertAnchor="text" w:horzAnchor="page" w:tblpX="1832" w:tblpY="493"/>
        <w:tblOverlap w:val="never"/>
        <w:tblW w:w="8670" w:type="dxa"/>
        <w:tblInd w:w="0" w:type="dxa"/>
        <w:tblLayout w:type="fixed"/>
        <w:tblCellMar>
          <w:top w:w="0" w:type="dxa"/>
          <w:left w:w="108" w:type="dxa"/>
          <w:bottom w:w="0" w:type="dxa"/>
          <w:right w:w="108" w:type="dxa"/>
        </w:tblCellMar>
      </w:tblPr>
      <w:tblGrid>
        <w:gridCol w:w="1236"/>
        <w:gridCol w:w="1618"/>
        <w:gridCol w:w="5816"/>
      </w:tblGrid>
      <w:tr w14:paraId="245954F4">
        <w:tblPrEx>
          <w:tblCellMar>
            <w:top w:w="0" w:type="dxa"/>
            <w:left w:w="108" w:type="dxa"/>
            <w:bottom w:w="0" w:type="dxa"/>
            <w:right w:w="108" w:type="dxa"/>
          </w:tblCellMar>
        </w:tblPrEx>
        <w:trPr>
          <w:trHeight w:val="669" w:hRule="atLeast"/>
        </w:trPr>
        <w:tc>
          <w:tcPr>
            <w:tcW w:w="8670" w:type="dxa"/>
            <w:gridSpan w:val="3"/>
            <w:tcBorders>
              <w:top w:val="single" w:color="auto" w:sz="4" w:space="0"/>
              <w:left w:val="single" w:color="auto" w:sz="4" w:space="0"/>
              <w:bottom w:val="single" w:color="auto" w:sz="4" w:space="0"/>
              <w:right w:val="single" w:color="auto" w:sz="4" w:space="0"/>
            </w:tcBorders>
            <w:vAlign w:val="center"/>
          </w:tcPr>
          <w:p w14:paraId="5B43016C">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jc w:val="center"/>
              <w:textAlignment w:val="auto"/>
              <w:outlineLvl w:val="9"/>
              <w:rPr>
                <w:rFonts w:hint="eastAsia" w:ascii="仿宋" w:hAnsi="仿宋" w:eastAsia="仿宋" w:cs="仿宋"/>
                <w:b w:val="0"/>
                <w:bCs/>
                <w:color w:val="auto"/>
                <w:kern w:val="0"/>
                <w:sz w:val="21"/>
                <w:szCs w:val="21"/>
              </w:rPr>
            </w:pPr>
            <w:bookmarkStart w:id="279" w:name="_Toc21295"/>
            <w:bookmarkStart w:id="280" w:name="_Toc7822"/>
            <w:r>
              <w:rPr>
                <w:rFonts w:hint="eastAsia" w:ascii="仿宋" w:hAnsi="仿宋" w:eastAsia="仿宋" w:cs="仿宋"/>
                <w:b/>
                <w:bCs w:val="0"/>
                <w:color w:val="auto"/>
                <w:kern w:val="0"/>
                <w:sz w:val="21"/>
                <w:szCs w:val="21"/>
                <w:lang w:val="en-US" w:eastAsia="zh-CN"/>
              </w:rPr>
              <w:t>综掘机司机操作过程中注意事项</w:t>
            </w:r>
            <w:bookmarkEnd w:id="279"/>
            <w:bookmarkEnd w:id="280"/>
          </w:p>
        </w:tc>
      </w:tr>
      <w:tr w14:paraId="6F198E35">
        <w:tblPrEx>
          <w:tblCellMar>
            <w:top w:w="0" w:type="dxa"/>
            <w:left w:w="108" w:type="dxa"/>
            <w:bottom w:w="0" w:type="dxa"/>
            <w:right w:w="108" w:type="dxa"/>
          </w:tblCellMar>
        </w:tblPrEx>
        <w:trPr>
          <w:trHeight w:val="638" w:hRule="atLeast"/>
        </w:trPr>
        <w:tc>
          <w:tcPr>
            <w:tcW w:w="1236" w:type="dxa"/>
            <w:tcBorders>
              <w:top w:val="nil"/>
              <w:left w:val="single" w:color="auto" w:sz="4" w:space="0"/>
              <w:bottom w:val="single" w:color="auto" w:sz="4" w:space="0"/>
              <w:right w:val="single" w:color="auto" w:sz="4" w:space="0"/>
            </w:tcBorders>
            <w:vAlign w:val="center"/>
          </w:tcPr>
          <w:p w14:paraId="57285AF4">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281" w:name="_Toc16369"/>
            <w:bookmarkStart w:id="282" w:name="_Toc5923"/>
            <w:r>
              <w:rPr>
                <w:rFonts w:hint="eastAsia" w:ascii="仿宋" w:hAnsi="仿宋" w:eastAsia="仿宋" w:cs="仿宋"/>
                <w:b/>
                <w:bCs w:val="0"/>
                <w:color w:val="auto"/>
                <w:kern w:val="0"/>
                <w:sz w:val="21"/>
                <w:szCs w:val="21"/>
              </w:rPr>
              <w:t>操作顺序</w:t>
            </w:r>
            <w:bookmarkEnd w:id="281"/>
            <w:bookmarkEnd w:id="282"/>
          </w:p>
        </w:tc>
        <w:tc>
          <w:tcPr>
            <w:tcW w:w="1618" w:type="dxa"/>
            <w:tcBorders>
              <w:top w:val="nil"/>
              <w:left w:val="nil"/>
              <w:bottom w:val="single" w:color="auto" w:sz="4" w:space="0"/>
              <w:right w:val="single" w:color="auto" w:sz="4" w:space="0"/>
            </w:tcBorders>
            <w:vAlign w:val="center"/>
          </w:tcPr>
          <w:p w14:paraId="1CDF2E9A">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283" w:name="_Toc22860"/>
            <w:bookmarkStart w:id="284" w:name="_Toc7175"/>
            <w:r>
              <w:rPr>
                <w:rFonts w:hint="eastAsia" w:ascii="仿宋" w:hAnsi="仿宋" w:eastAsia="仿宋" w:cs="仿宋"/>
                <w:b/>
                <w:bCs w:val="0"/>
                <w:color w:val="auto"/>
                <w:kern w:val="0"/>
                <w:sz w:val="21"/>
                <w:szCs w:val="21"/>
              </w:rPr>
              <w:t>提示词</w:t>
            </w:r>
            <w:bookmarkEnd w:id="283"/>
            <w:bookmarkEnd w:id="284"/>
          </w:p>
        </w:tc>
        <w:tc>
          <w:tcPr>
            <w:tcW w:w="5816" w:type="dxa"/>
            <w:tcBorders>
              <w:top w:val="nil"/>
              <w:left w:val="nil"/>
              <w:bottom w:val="single" w:color="auto" w:sz="4" w:space="0"/>
              <w:right w:val="single" w:color="auto" w:sz="4" w:space="0"/>
            </w:tcBorders>
            <w:vAlign w:val="center"/>
          </w:tcPr>
          <w:p w14:paraId="77B68AE0">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285" w:name="_Toc32321"/>
            <w:bookmarkStart w:id="286" w:name="_Toc98"/>
            <w:r>
              <w:rPr>
                <w:rFonts w:hint="eastAsia" w:ascii="仿宋" w:hAnsi="仿宋" w:eastAsia="仿宋" w:cs="仿宋"/>
                <w:b/>
                <w:bCs w:val="0"/>
                <w:color w:val="auto"/>
                <w:kern w:val="0"/>
                <w:sz w:val="21"/>
                <w:szCs w:val="21"/>
              </w:rPr>
              <w:t>操作注意事项解释</w:t>
            </w:r>
            <w:bookmarkEnd w:id="285"/>
            <w:bookmarkEnd w:id="286"/>
          </w:p>
        </w:tc>
      </w:tr>
      <w:tr w14:paraId="18A8F40F">
        <w:tblPrEx>
          <w:tblCellMar>
            <w:top w:w="0" w:type="dxa"/>
            <w:left w:w="108" w:type="dxa"/>
            <w:bottom w:w="0" w:type="dxa"/>
            <w:right w:w="108" w:type="dxa"/>
          </w:tblCellMar>
        </w:tblPrEx>
        <w:trPr>
          <w:trHeight w:val="964" w:hRule="atLeast"/>
        </w:trPr>
        <w:tc>
          <w:tcPr>
            <w:tcW w:w="1236" w:type="dxa"/>
            <w:vMerge w:val="restart"/>
            <w:tcBorders>
              <w:top w:val="nil"/>
              <w:left w:val="single" w:color="auto" w:sz="4" w:space="0"/>
              <w:right w:val="single" w:color="auto" w:sz="4" w:space="0"/>
            </w:tcBorders>
            <w:vAlign w:val="center"/>
          </w:tcPr>
          <w:p w14:paraId="60E8134F">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87" w:name="_Toc19583"/>
            <w:bookmarkStart w:id="288" w:name="_Toc32109"/>
            <w:r>
              <w:rPr>
                <w:rFonts w:hint="eastAsia" w:ascii="仿宋" w:hAnsi="仿宋" w:eastAsia="仿宋" w:cs="仿宋"/>
                <w:b w:val="0"/>
                <w:bCs/>
                <w:color w:val="auto"/>
                <w:kern w:val="0"/>
                <w:sz w:val="21"/>
                <w:szCs w:val="21"/>
              </w:rPr>
              <w:t>运行中</w:t>
            </w:r>
            <w:bookmarkEnd w:id="287"/>
            <w:bookmarkEnd w:id="288"/>
          </w:p>
        </w:tc>
        <w:tc>
          <w:tcPr>
            <w:tcW w:w="1618" w:type="dxa"/>
            <w:tcBorders>
              <w:top w:val="nil"/>
              <w:left w:val="nil"/>
              <w:bottom w:val="single" w:color="auto" w:sz="4" w:space="0"/>
              <w:right w:val="single" w:color="auto" w:sz="4" w:space="0"/>
            </w:tcBorders>
            <w:vAlign w:val="center"/>
          </w:tcPr>
          <w:p w14:paraId="272867AA">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89" w:name="_Toc14814"/>
            <w:bookmarkStart w:id="290" w:name="_Toc15980"/>
            <w:r>
              <w:rPr>
                <w:rFonts w:hint="eastAsia" w:ascii="仿宋" w:hAnsi="仿宋" w:eastAsia="仿宋" w:cs="仿宋"/>
                <w:b w:val="0"/>
                <w:bCs/>
                <w:color w:val="auto"/>
                <w:kern w:val="0"/>
                <w:sz w:val="21"/>
                <w:szCs w:val="21"/>
              </w:rPr>
              <w:t>看运行</w:t>
            </w:r>
            <w:bookmarkEnd w:id="289"/>
            <w:bookmarkEnd w:id="290"/>
          </w:p>
        </w:tc>
        <w:tc>
          <w:tcPr>
            <w:tcW w:w="5816" w:type="dxa"/>
            <w:tcBorders>
              <w:top w:val="nil"/>
              <w:left w:val="nil"/>
              <w:bottom w:val="single" w:color="auto" w:sz="4" w:space="0"/>
              <w:right w:val="single" w:color="auto" w:sz="4" w:space="0"/>
            </w:tcBorders>
            <w:vAlign w:val="center"/>
          </w:tcPr>
          <w:p w14:paraId="0840DD2D">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left"/>
              <w:textAlignment w:val="auto"/>
              <w:outlineLvl w:val="9"/>
              <w:rPr>
                <w:rFonts w:hint="eastAsia" w:ascii="仿宋" w:hAnsi="仿宋" w:eastAsia="仿宋" w:cs="仿宋"/>
                <w:b w:val="0"/>
                <w:bCs/>
                <w:color w:val="auto"/>
                <w:kern w:val="0"/>
                <w:sz w:val="21"/>
                <w:szCs w:val="21"/>
              </w:rPr>
            </w:pPr>
            <w:bookmarkStart w:id="291" w:name="_Toc28608"/>
            <w:bookmarkStart w:id="292" w:name="_Toc31528"/>
            <w:r>
              <w:rPr>
                <w:rFonts w:hint="eastAsia" w:ascii="仿宋" w:hAnsi="仿宋" w:eastAsia="仿宋" w:cs="仿宋"/>
                <w:b w:val="0"/>
                <w:bCs/>
                <w:color w:val="auto"/>
                <w:kern w:val="0"/>
                <w:sz w:val="21"/>
                <w:szCs w:val="21"/>
              </w:rPr>
              <w:t>综掘机运行是否正常；观察围岩变化；注意不要割坏原来支护的锚杆锚网；操作时综掘机运行范围段有无其他人员</w:t>
            </w:r>
            <w:bookmarkEnd w:id="291"/>
            <w:bookmarkEnd w:id="292"/>
          </w:p>
        </w:tc>
      </w:tr>
      <w:tr w14:paraId="5CCA0738">
        <w:tblPrEx>
          <w:tblCellMar>
            <w:top w:w="0" w:type="dxa"/>
            <w:left w:w="108" w:type="dxa"/>
            <w:bottom w:w="0" w:type="dxa"/>
            <w:right w:w="108" w:type="dxa"/>
          </w:tblCellMar>
        </w:tblPrEx>
        <w:trPr>
          <w:trHeight w:val="452" w:hRule="atLeast"/>
        </w:trPr>
        <w:tc>
          <w:tcPr>
            <w:tcW w:w="1236" w:type="dxa"/>
            <w:vMerge w:val="continue"/>
            <w:tcBorders>
              <w:left w:val="single" w:color="auto" w:sz="4" w:space="0"/>
              <w:right w:val="single" w:color="auto" w:sz="4" w:space="0"/>
            </w:tcBorders>
            <w:vAlign w:val="center"/>
          </w:tcPr>
          <w:p w14:paraId="73FA77E1">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nil"/>
              <w:left w:val="nil"/>
              <w:bottom w:val="single" w:color="auto" w:sz="4" w:space="0"/>
              <w:right w:val="single" w:color="auto" w:sz="4" w:space="0"/>
            </w:tcBorders>
            <w:vAlign w:val="center"/>
          </w:tcPr>
          <w:p w14:paraId="389A5D77">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93" w:name="_Toc9737"/>
            <w:bookmarkStart w:id="294" w:name="_Toc26813"/>
            <w:r>
              <w:rPr>
                <w:rFonts w:hint="eastAsia" w:ascii="仿宋" w:hAnsi="仿宋" w:eastAsia="仿宋" w:cs="仿宋"/>
                <w:b w:val="0"/>
                <w:bCs/>
                <w:color w:val="auto"/>
                <w:kern w:val="0"/>
                <w:sz w:val="21"/>
                <w:szCs w:val="21"/>
              </w:rPr>
              <w:t>听异响</w:t>
            </w:r>
            <w:bookmarkEnd w:id="293"/>
            <w:bookmarkEnd w:id="294"/>
          </w:p>
        </w:tc>
        <w:tc>
          <w:tcPr>
            <w:tcW w:w="5816" w:type="dxa"/>
            <w:tcBorders>
              <w:top w:val="nil"/>
              <w:left w:val="nil"/>
              <w:bottom w:val="single" w:color="auto" w:sz="4" w:space="0"/>
              <w:right w:val="single" w:color="auto" w:sz="4" w:space="0"/>
            </w:tcBorders>
            <w:vAlign w:val="center"/>
          </w:tcPr>
          <w:p w14:paraId="51C17E64">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95" w:name="_Toc22789"/>
            <w:bookmarkStart w:id="296" w:name="_Toc30811"/>
            <w:r>
              <w:rPr>
                <w:rFonts w:hint="eastAsia" w:ascii="仿宋" w:hAnsi="仿宋" w:eastAsia="仿宋" w:cs="仿宋"/>
                <w:b w:val="0"/>
                <w:bCs/>
                <w:color w:val="auto"/>
                <w:kern w:val="0"/>
                <w:sz w:val="21"/>
                <w:szCs w:val="21"/>
              </w:rPr>
              <w:t>设备异常声音</w:t>
            </w:r>
            <w:bookmarkEnd w:id="295"/>
            <w:bookmarkEnd w:id="296"/>
          </w:p>
        </w:tc>
      </w:tr>
      <w:tr w14:paraId="4EC6249E">
        <w:tblPrEx>
          <w:tblCellMar>
            <w:top w:w="0" w:type="dxa"/>
            <w:left w:w="108" w:type="dxa"/>
            <w:bottom w:w="0" w:type="dxa"/>
            <w:right w:w="108" w:type="dxa"/>
          </w:tblCellMar>
        </w:tblPrEx>
        <w:trPr>
          <w:trHeight w:val="373" w:hRule="atLeast"/>
        </w:trPr>
        <w:tc>
          <w:tcPr>
            <w:tcW w:w="1236" w:type="dxa"/>
            <w:vMerge w:val="continue"/>
            <w:tcBorders>
              <w:left w:val="single" w:color="auto" w:sz="4" w:space="0"/>
              <w:right w:val="single" w:color="auto" w:sz="4" w:space="0"/>
            </w:tcBorders>
            <w:vAlign w:val="center"/>
          </w:tcPr>
          <w:p w14:paraId="302E57BB">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nil"/>
              <w:left w:val="nil"/>
              <w:bottom w:val="single" w:color="auto" w:sz="4" w:space="0"/>
              <w:right w:val="single" w:color="auto" w:sz="4" w:space="0"/>
            </w:tcBorders>
            <w:vAlign w:val="center"/>
          </w:tcPr>
          <w:p w14:paraId="5C142904">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97" w:name="_Toc12255"/>
            <w:bookmarkStart w:id="298" w:name="_Toc27379"/>
            <w:r>
              <w:rPr>
                <w:rFonts w:hint="eastAsia" w:ascii="仿宋" w:hAnsi="仿宋" w:eastAsia="仿宋" w:cs="仿宋"/>
                <w:b w:val="0"/>
                <w:bCs/>
                <w:color w:val="auto"/>
                <w:kern w:val="0"/>
                <w:sz w:val="21"/>
                <w:szCs w:val="21"/>
              </w:rPr>
              <w:t>互提醒</w:t>
            </w:r>
            <w:bookmarkEnd w:id="297"/>
            <w:bookmarkEnd w:id="298"/>
          </w:p>
        </w:tc>
        <w:tc>
          <w:tcPr>
            <w:tcW w:w="5816" w:type="dxa"/>
            <w:tcBorders>
              <w:top w:val="nil"/>
              <w:left w:val="nil"/>
              <w:bottom w:val="single" w:color="auto" w:sz="4" w:space="0"/>
              <w:right w:val="single" w:color="auto" w:sz="4" w:space="0"/>
            </w:tcBorders>
            <w:vAlign w:val="center"/>
          </w:tcPr>
          <w:p w14:paraId="6AD9C510">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99" w:name="_Toc18416"/>
            <w:bookmarkStart w:id="300" w:name="_Toc28465"/>
            <w:r>
              <w:rPr>
                <w:rFonts w:hint="eastAsia" w:ascii="仿宋" w:hAnsi="仿宋" w:eastAsia="仿宋" w:cs="仿宋"/>
                <w:b w:val="0"/>
                <w:bCs/>
                <w:color w:val="auto"/>
                <w:kern w:val="0"/>
                <w:sz w:val="21"/>
                <w:szCs w:val="21"/>
              </w:rPr>
              <w:t>前进、后退时相互提醒</w:t>
            </w:r>
            <w:bookmarkEnd w:id="299"/>
            <w:bookmarkEnd w:id="300"/>
          </w:p>
        </w:tc>
      </w:tr>
      <w:tr w14:paraId="03D10688">
        <w:tblPrEx>
          <w:tblCellMar>
            <w:top w:w="0" w:type="dxa"/>
            <w:left w:w="108" w:type="dxa"/>
            <w:bottom w:w="0" w:type="dxa"/>
            <w:right w:w="108" w:type="dxa"/>
          </w:tblCellMar>
        </w:tblPrEx>
        <w:trPr>
          <w:trHeight w:val="373" w:hRule="atLeast"/>
        </w:trPr>
        <w:tc>
          <w:tcPr>
            <w:tcW w:w="1236" w:type="dxa"/>
            <w:vMerge w:val="continue"/>
            <w:tcBorders>
              <w:left w:val="single" w:color="auto" w:sz="4" w:space="0"/>
              <w:right w:val="single" w:color="auto" w:sz="4" w:space="0"/>
            </w:tcBorders>
            <w:vAlign w:val="center"/>
          </w:tcPr>
          <w:p w14:paraId="72FBA86A">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single" w:color="auto" w:sz="4" w:space="0"/>
              <w:left w:val="single" w:color="auto" w:sz="4" w:space="0"/>
              <w:bottom w:val="single" w:color="auto" w:sz="4" w:space="0"/>
              <w:right w:val="single" w:color="auto" w:sz="4" w:space="0"/>
            </w:tcBorders>
            <w:vAlign w:val="center"/>
          </w:tcPr>
          <w:p w14:paraId="4B60F17D">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01" w:name="_Toc11991"/>
            <w:bookmarkStart w:id="302" w:name="_Toc17495"/>
            <w:r>
              <w:rPr>
                <w:rFonts w:hint="eastAsia" w:ascii="仿宋" w:hAnsi="仿宋" w:eastAsia="仿宋" w:cs="仿宋"/>
                <w:b w:val="0"/>
                <w:bCs/>
                <w:color w:val="auto"/>
                <w:kern w:val="0"/>
                <w:sz w:val="21"/>
                <w:szCs w:val="21"/>
              </w:rPr>
              <w:t>嗅异味</w:t>
            </w:r>
            <w:bookmarkEnd w:id="301"/>
            <w:bookmarkEnd w:id="302"/>
          </w:p>
        </w:tc>
        <w:tc>
          <w:tcPr>
            <w:tcW w:w="5816" w:type="dxa"/>
            <w:tcBorders>
              <w:top w:val="single" w:color="auto" w:sz="4" w:space="0"/>
              <w:left w:val="single" w:color="auto" w:sz="4" w:space="0"/>
              <w:bottom w:val="single" w:color="auto" w:sz="4" w:space="0"/>
              <w:right w:val="single" w:color="auto" w:sz="4" w:space="0"/>
            </w:tcBorders>
            <w:vAlign w:val="center"/>
          </w:tcPr>
          <w:p w14:paraId="3F09084D">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03" w:name="_Toc7681"/>
            <w:bookmarkStart w:id="304" w:name="_Toc32112"/>
            <w:r>
              <w:rPr>
                <w:rFonts w:hint="eastAsia" w:ascii="仿宋" w:hAnsi="仿宋" w:eastAsia="仿宋" w:cs="仿宋"/>
                <w:b w:val="0"/>
                <w:bCs/>
                <w:color w:val="auto"/>
                <w:kern w:val="0"/>
                <w:sz w:val="21"/>
                <w:szCs w:val="21"/>
              </w:rPr>
              <w:t>闻气味是否异常</w:t>
            </w:r>
            <w:bookmarkEnd w:id="303"/>
            <w:bookmarkEnd w:id="304"/>
          </w:p>
        </w:tc>
      </w:tr>
      <w:tr w14:paraId="2A7EF674">
        <w:tblPrEx>
          <w:tblCellMar>
            <w:top w:w="0" w:type="dxa"/>
            <w:left w:w="108" w:type="dxa"/>
            <w:bottom w:w="0" w:type="dxa"/>
            <w:right w:w="108" w:type="dxa"/>
          </w:tblCellMar>
        </w:tblPrEx>
        <w:trPr>
          <w:trHeight w:val="514" w:hRule="atLeast"/>
        </w:trPr>
        <w:tc>
          <w:tcPr>
            <w:tcW w:w="1236" w:type="dxa"/>
            <w:vMerge w:val="continue"/>
            <w:tcBorders>
              <w:left w:val="single" w:color="auto" w:sz="4" w:space="0"/>
              <w:right w:val="single" w:color="auto" w:sz="4" w:space="0"/>
            </w:tcBorders>
            <w:vAlign w:val="center"/>
          </w:tcPr>
          <w:p w14:paraId="741BFD03">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single" w:color="auto" w:sz="4" w:space="0"/>
              <w:left w:val="single" w:color="auto" w:sz="4" w:space="0"/>
              <w:bottom w:val="single" w:color="auto" w:sz="4" w:space="0"/>
              <w:right w:val="single" w:color="auto" w:sz="4" w:space="0"/>
            </w:tcBorders>
            <w:vAlign w:val="center"/>
          </w:tcPr>
          <w:p w14:paraId="22939C5F">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05" w:name="_Toc19959"/>
            <w:bookmarkStart w:id="306" w:name="_Toc4434"/>
            <w:r>
              <w:rPr>
                <w:rFonts w:hint="eastAsia" w:ascii="仿宋" w:hAnsi="仿宋" w:eastAsia="仿宋" w:cs="仿宋"/>
                <w:b w:val="0"/>
                <w:bCs/>
                <w:color w:val="auto"/>
                <w:kern w:val="0"/>
                <w:sz w:val="21"/>
                <w:szCs w:val="21"/>
              </w:rPr>
              <w:t>防误入</w:t>
            </w:r>
            <w:bookmarkEnd w:id="305"/>
            <w:bookmarkEnd w:id="306"/>
          </w:p>
        </w:tc>
        <w:tc>
          <w:tcPr>
            <w:tcW w:w="5816" w:type="dxa"/>
            <w:tcBorders>
              <w:top w:val="single" w:color="auto" w:sz="4" w:space="0"/>
              <w:left w:val="single" w:color="auto" w:sz="4" w:space="0"/>
              <w:bottom w:val="single" w:color="auto" w:sz="4" w:space="0"/>
              <w:right w:val="single" w:color="auto" w:sz="4" w:space="0"/>
            </w:tcBorders>
            <w:vAlign w:val="center"/>
          </w:tcPr>
          <w:p w14:paraId="73E53507">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07" w:name="_Toc14498"/>
            <w:bookmarkStart w:id="308" w:name="_Toc12196"/>
            <w:r>
              <w:rPr>
                <w:rFonts w:hint="eastAsia" w:ascii="仿宋" w:hAnsi="仿宋" w:eastAsia="仿宋" w:cs="仿宋"/>
                <w:b w:val="0"/>
                <w:bCs/>
                <w:color w:val="auto"/>
                <w:kern w:val="0"/>
                <w:sz w:val="21"/>
                <w:szCs w:val="21"/>
              </w:rPr>
              <w:t>人员误入综掘机活动范围，立即停机</w:t>
            </w:r>
            <w:bookmarkEnd w:id="307"/>
            <w:bookmarkEnd w:id="308"/>
          </w:p>
        </w:tc>
      </w:tr>
      <w:tr w14:paraId="5D21A557">
        <w:tblPrEx>
          <w:tblCellMar>
            <w:top w:w="0" w:type="dxa"/>
            <w:left w:w="108" w:type="dxa"/>
            <w:bottom w:w="0" w:type="dxa"/>
            <w:right w:w="108" w:type="dxa"/>
          </w:tblCellMar>
        </w:tblPrEx>
        <w:trPr>
          <w:trHeight w:val="514" w:hRule="atLeast"/>
        </w:trPr>
        <w:tc>
          <w:tcPr>
            <w:tcW w:w="1236" w:type="dxa"/>
            <w:vMerge w:val="continue"/>
            <w:tcBorders>
              <w:left w:val="single" w:color="auto" w:sz="4" w:space="0"/>
              <w:bottom w:val="single" w:color="auto" w:sz="4" w:space="0"/>
              <w:right w:val="single" w:color="auto" w:sz="4" w:space="0"/>
            </w:tcBorders>
            <w:vAlign w:val="center"/>
          </w:tcPr>
          <w:p w14:paraId="7F3BEF7F">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single" w:color="auto" w:sz="4" w:space="0"/>
              <w:left w:val="nil"/>
              <w:bottom w:val="single" w:color="auto" w:sz="4" w:space="0"/>
              <w:right w:val="single" w:color="auto" w:sz="4" w:space="0"/>
            </w:tcBorders>
            <w:vAlign w:val="center"/>
          </w:tcPr>
          <w:p w14:paraId="34F82CED">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lang w:eastAsia="zh-CN"/>
              </w:rPr>
            </w:pPr>
            <w:bookmarkStart w:id="309" w:name="_Toc31700"/>
            <w:bookmarkStart w:id="310" w:name="_Toc13521"/>
            <w:r>
              <w:rPr>
                <w:rFonts w:hint="eastAsia" w:ascii="仿宋" w:hAnsi="仿宋" w:eastAsia="仿宋" w:cs="仿宋"/>
                <w:b w:val="0"/>
                <w:bCs/>
                <w:color w:val="auto"/>
                <w:kern w:val="0"/>
                <w:sz w:val="21"/>
                <w:szCs w:val="21"/>
                <w:lang w:eastAsia="zh-CN"/>
              </w:rPr>
              <w:t>守岗位</w:t>
            </w:r>
            <w:bookmarkEnd w:id="309"/>
            <w:bookmarkEnd w:id="310"/>
          </w:p>
        </w:tc>
        <w:tc>
          <w:tcPr>
            <w:tcW w:w="5816" w:type="dxa"/>
            <w:tcBorders>
              <w:top w:val="single" w:color="auto" w:sz="4" w:space="0"/>
              <w:left w:val="nil"/>
              <w:bottom w:val="single" w:color="auto" w:sz="4" w:space="0"/>
              <w:right w:val="single" w:color="auto" w:sz="4" w:space="0"/>
            </w:tcBorders>
            <w:vAlign w:val="center"/>
          </w:tcPr>
          <w:p w14:paraId="4B6E894F">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11" w:name="_Toc22751"/>
            <w:bookmarkStart w:id="312" w:name="_Toc12801"/>
            <w:r>
              <w:rPr>
                <w:rFonts w:hint="eastAsia" w:ascii="仿宋" w:hAnsi="仿宋" w:eastAsia="仿宋" w:cs="仿宋"/>
                <w:b w:val="0"/>
                <w:bCs/>
                <w:color w:val="auto"/>
                <w:kern w:val="0"/>
                <w:sz w:val="21"/>
                <w:szCs w:val="21"/>
              </w:rPr>
              <w:t>在未切断机组电源之前，司机不得擅自离开综掘机</w:t>
            </w:r>
            <w:bookmarkEnd w:id="311"/>
            <w:bookmarkEnd w:id="312"/>
          </w:p>
        </w:tc>
      </w:tr>
    </w:tbl>
    <w:p w14:paraId="67417BEA">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Theme="minorEastAsia" w:hAnsiTheme="minorEastAsia" w:eastAsiaTheme="minorEastAsia" w:cstheme="minorEastAsia"/>
          <w:b/>
          <w:color w:val="auto"/>
          <w:kern w:val="0"/>
          <w:sz w:val="28"/>
          <w:szCs w:val="28"/>
          <w:lang w:eastAsia="zh-CN"/>
        </w:rPr>
      </w:pPr>
    </w:p>
    <w:p w14:paraId="7F993BAB">
      <w:pPr>
        <w:keepNext w:val="0"/>
        <w:keepLines w:val="0"/>
        <w:pageBreakBefore w:val="0"/>
        <w:widowControl w:val="0"/>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1BAF5E35">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14:paraId="3E387AB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14:paraId="39D02D9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14:paraId="6B14499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14:paraId="31DF5E3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14:paraId="503F9B24">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14:paraId="2FF84E0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14:paraId="1DDD0CC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14:paraId="45158CC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14:paraId="20FCFCB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14:paraId="624837A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14:paraId="24C1076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14:paraId="0496097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14:paraId="2011B20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14:paraId="0B314C6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14:paraId="2ABBECD0">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7B05618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6FB0BB8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6535D03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21A0B75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3266DE4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68F64D3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14:paraId="0E3C0A2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40D184B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10D4F1B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333B2A0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14:paraId="7C1EA5F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14:paraId="66801BB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14:paraId="1DCE7BA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14:paraId="376C3B8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14:paraId="3784CA2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14:paraId="67446269">
      <w:pPr>
        <w:keepNext w:val="0"/>
        <w:keepLines w:val="0"/>
        <w:pageBreakBefore w:val="0"/>
        <w:widowControl w:val="0"/>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0B6B6F0D">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40711489">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193C8AD3">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398CF8CD">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3C4AADE9">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6F05A0EA">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14:paraId="4FCD047D">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7368AAB1">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77FC19E5">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5B7CD688">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严禁在井下车场、各巷道口蹲坐休息。</w:t>
      </w:r>
    </w:p>
    <w:p w14:paraId="64BCAD8B">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11.</w:t>
      </w:r>
      <w:r>
        <w:rPr>
          <w:rFonts w:hint="eastAsia" w:ascii="仿宋" w:hAnsi="仿宋" w:eastAsia="仿宋" w:cs="仿宋"/>
          <w:color w:val="auto"/>
          <w:sz w:val="28"/>
          <w:szCs w:val="28"/>
          <w:highlight w:val="none"/>
        </w:rPr>
        <w:t>工作（休息）时必须随时检查自己周围顶帮、</w:t>
      </w:r>
      <w:r>
        <w:rPr>
          <w:rFonts w:hint="eastAsia" w:ascii="仿宋" w:hAnsi="仿宋" w:eastAsia="仿宋" w:cs="仿宋"/>
          <w:color w:val="auto"/>
          <w:sz w:val="28"/>
          <w:szCs w:val="28"/>
          <w:highlight w:val="none"/>
          <w:lang w:val="en-US" w:eastAsia="zh-CN"/>
        </w:rPr>
        <w:t>设备</w:t>
      </w:r>
      <w:r>
        <w:rPr>
          <w:rFonts w:hint="eastAsia" w:ascii="仿宋" w:hAnsi="仿宋" w:eastAsia="仿宋" w:cs="仿宋"/>
          <w:color w:val="auto"/>
          <w:sz w:val="28"/>
          <w:szCs w:val="28"/>
          <w:highlight w:val="none"/>
        </w:rPr>
        <w:t>及车辆等安全情况，发现险情及时躲避或处理。施工人员不得在以下地点逗留：巷道高度不够处、</w:t>
      </w:r>
      <w:r>
        <w:rPr>
          <w:rFonts w:hint="eastAsia" w:ascii="仿宋" w:hAnsi="仿宋" w:eastAsia="仿宋" w:cs="仿宋"/>
          <w:color w:val="auto"/>
          <w:sz w:val="28"/>
          <w:szCs w:val="28"/>
          <w:highlight w:val="none"/>
          <w:lang w:val="en-US" w:eastAsia="zh-CN"/>
        </w:rPr>
        <w:t>行人</w:t>
      </w:r>
      <w:r>
        <w:rPr>
          <w:rFonts w:hint="eastAsia" w:ascii="仿宋" w:hAnsi="仿宋" w:eastAsia="仿宋" w:cs="仿宋"/>
          <w:color w:val="auto"/>
          <w:sz w:val="28"/>
          <w:szCs w:val="28"/>
          <w:highlight w:val="none"/>
        </w:rPr>
        <w:t>安全间隙不够处、锚杆（索）失效等其它支护薄弱地点。</w:t>
      </w:r>
    </w:p>
    <w:p w14:paraId="0BBE5EAE">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12.</w:t>
      </w:r>
      <w:r>
        <w:rPr>
          <w:rFonts w:hint="eastAsia" w:ascii="仿宋" w:hAnsi="仿宋" w:eastAsia="仿宋" w:cs="仿宋"/>
          <w:snapToGrid w:val="0"/>
          <w:color w:val="auto"/>
          <w:kern w:val="0"/>
          <w:sz w:val="28"/>
          <w:szCs w:val="28"/>
        </w:rPr>
        <w:t>发现有冒顶、透水预兆时，必须停止作业，立即撤出。</w:t>
      </w:r>
    </w:p>
    <w:p w14:paraId="289A4A5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69F5020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410016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6ACA52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7FABC7B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005FD8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052E49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30D5C9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182646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0432881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2CD770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70985E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68EAA6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0FA5BED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05B7427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4336EF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3B4FDA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10C1B4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233B7B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3E0A43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334823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250116D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3F31493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3DC1C5D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6FEF645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57CA44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52FAFAD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2B8810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23BA75A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674886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7423B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64C8D46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4A513D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0F657E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572054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0E5F10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502753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6B065E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5D563DF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519B05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295510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6EBA3E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396E60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5AE665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1C7A4EA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429EBA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19F7AA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40EC7C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614FC150">
      <w:pPr>
        <w:keepNext w:val="0"/>
        <w:keepLines w:val="0"/>
        <w:pageBreakBefore w:val="0"/>
        <w:widowControl w:val="0"/>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三、安全风险辨识与管控措施</w:t>
      </w:r>
    </w:p>
    <w:p w14:paraId="77EBD706">
      <w:pPr>
        <w:keepNext w:val="0"/>
        <w:keepLines w:val="0"/>
        <w:pageBreakBefore w:val="0"/>
        <w:widowControl w:val="0"/>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（一）通用部分</w:t>
      </w:r>
    </w:p>
    <w:p w14:paraId="11EC5D0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14:paraId="7C2BF60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14:paraId="1FAF9A5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14:paraId="611FF6A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14:paraId="70CD08E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14:paraId="3925F5B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14:paraId="607FF1D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14:paraId="4F549B9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14:paraId="5AC8769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14:paraId="3601C91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E7EA0C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14:paraId="3751232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14:paraId="2E946B9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14:paraId="0D5C868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14:paraId="6C36D70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14:paraId="4D017EA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7A12EAAB">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14:paraId="263A52E5">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14:paraId="56F396BF">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14:paraId="43472520">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14:paraId="43687190">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14:paraId="747A950F">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14:paraId="2CE6856B">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4.风险描述：施工地点通风不良，存在甲烷积聚，导致甲烷爆炸的风险。</w:t>
      </w:r>
    </w:p>
    <w:p w14:paraId="17E0AC4E">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64DF11AA">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14:paraId="5FCAFF3B">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14:paraId="220E4858">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14:paraId="09504B34">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（4）一旦出现甲烷浓度超限，立即按照规定要求的撤人路线进行避灾。</w:t>
      </w:r>
    </w:p>
    <w:p w14:paraId="3F5F6DFC">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14:paraId="4E12B69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647E0322">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14:paraId="287C1E63">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14:paraId="245E03F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14:paraId="2C7FB245">
      <w:pPr>
        <w:keepNext w:val="0"/>
        <w:keepLines w:val="0"/>
        <w:pageBreakBefore w:val="0"/>
        <w:widowControl w:val="0"/>
        <w:numPr>
          <w:ilvl w:val="0"/>
          <w:numId w:val="14"/>
        </w:numPr>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highlight w:val="none"/>
          <w:lang w:val="en-US" w:eastAsia="zh-CN"/>
        </w:rPr>
        <w:t>专用部分</w:t>
      </w:r>
    </w:p>
    <w:p w14:paraId="68FF4242">
      <w:pPr>
        <w:pStyle w:val="5"/>
        <w:keepNext w:val="0"/>
        <w:keepLines w:val="0"/>
        <w:pageBreakBefore w:val="0"/>
        <w:widowControl w:val="0"/>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1.开机前检查</w:t>
      </w:r>
    </w:p>
    <w:p w14:paraId="63EEA8E5">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（1）风险描述：施工地点顶帮破碎，敲帮问顶不完全，永久支护不符合规程规定，导致冒顶、片帮伤人。</w:t>
      </w:r>
    </w:p>
    <w:p w14:paraId="3ACA90D4">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378BFF7F">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①</w:t>
      </w:r>
      <w:r>
        <w:rPr>
          <w:rFonts w:hint="eastAsia" w:ascii="仿宋" w:hAnsi="仿宋" w:eastAsia="仿宋" w:cs="仿宋"/>
          <w:color w:val="auto"/>
          <w:sz w:val="28"/>
          <w:szCs w:val="28"/>
        </w:rPr>
        <w:t>进入施工地点后，首先使用专用</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工具对施工地点顶板及帮部进行敲帮问顶，找掉危岩活矸。敲帮问顶应从完好支护的地点开始，由外向里、自上而下、先顶部后两帮依次进行，敲帮问顶范围内严禁其他人员进入。</w:t>
      </w:r>
    </w:p>
    <w:p w14:paraId="35C7E9A1">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②严格落实规程、措施要求，保证永久支护符合规程、措施规定。</w:t>
      </w:r>
    </w:p>
    <w:p w14:paraId="502AF3A9">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③</w:t>
      </w:r>
      <w:r>
        <w:rPr>
          <w:rFonts w:hint="eastAsia" w:ascii="仿宋" w:hAnsi="仿宋" w:eastAsia="仿宋" w:cs="仿宋"/>
          <w:color w:val="auto"/>
          <w:sz w:val="28"/>
          <w:szCs w:val="28"/>
        </w:rPr>
        <w:t>施工过程中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随时</w:t>
      </w:r>
      <w:r>
        <w:rPr>
          <w:rFonts w:hint="eastAsia" w:ascii="仿宋" w:hAnsi="仿宋" w:eastAsia="仿宋" w:cs="仿宋"/>
          <w:color w:val="auto"/>
          <w:sz w:val="28"/>
          <w:szCs w:val="28"/>
        </w:rPr>
        <w:t>观察</w:t>
      </w:r>
      <w:r>
        <w:rPr>
          <w:rFonts w:hint="eastAsia" w:ascii="仿宋" w:hAnsi="仿宋" w:eastAsia="仿宋" w:cs="仿宋"/>
          <w:color w:val="auto"/>
          <w:sz w:val="28"/>
          <w:szCs w:val="28"/>
          <w:lang w:val="en-US" w:eastAsia="zh-CN"/>
        </w:rPr>
        <w:t>顶帮</w:t>
      </w:r>
      <w:r>
        <w:rPr>
          <w:rFonts w:hint="eastAsia" w:ascii="仿宋" w:hAnsi="仿宋" w:eastAsia="仿宋" w:cs="仿宋"/>
          <w:color w:val="auto"/>
          <w:sz w:val="28"/>
          <w:szCs w:val="28"/>
        </w:rPr>
        <w:t>，发现异常立即停止操作，进行处理</w:t>
      </w:r>
      <w:r>
        <w:rPr>
          <w:rFonts w:hint="eastAsia" w:ascii="仿宋" w:hAnsi="仿宋" w:eastAsia="仿宋" w:cs="仿宋"/>
          <w:color w:val="auto"/>
          <w:sz w:val="28"/>
          <w:szCs w:val="28"/>
          <w:lang w:eastAsia="zh-CN"/>
        </w:rPr>
        <w:t>。</w:t>
      </w:r>
    </w:p>
    <w:p w14:paraId="11687395">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（2）风险描述：安全帽、防尘口罩、耳塞等防护用品佩戴不全，存在职业病危害。</w:t>
      </w:r>
    </w:p>
    <w:p w14:paraId="6A0B7A40">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管控措施：严格按照要求佩戴齐全安全帽、防尘口罩、耳塞等劳保用品，降低职业病危害。</w:t>
      </w:r>
    </w:p>
    <w:p w14:paraId="252782D3">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（3）风险描述：通风不良好，局部瓦斯积聚，存在瓦斯爆炸的风险。</w:t>
      </w:r>
    </w:p>
    <w:p w14:paraId="4B97987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14:paraId="5ABBBFCD">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①施工前，保证局部通风机运转正常，各类通风设施无漏风，风量满足规定要求。</w:t>
      </w:r>
    </w:p>
    <w:p w14:paraId="2231F679">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②按照规定悬挂便携仪和甲烷传感器，实时监测甲烷浓度，一旦出现甲烷超限，立即采取措施或撤人。</w:t>
      </w:r>
    </w:p>
    <w:p w14:paraId="19547353">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（4）风险描述：截割前，人员未全部撤离掘进机运行范围内，截割时易导致人员受伤。</w:t>
      </w:r>
    </w:p>
    <w:p w14:paraId="4DAF2E7B">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14:paraId="7B63C06B">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①截割前，发出警报，必须确保掘进机运行范围内无人员逗留。</w:t>
      </w:r>
    </w:p>
    <w:p w14:paraId="2DD6760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②截割前，在掘进机侧后方设置护栏和“正在截割、严禁入内”警示标示，严禁人员进入。</w:t>
      </w:r>
    </w:p>
    <w:p w14:paraId="09E69A2C">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2.操作过程中注意事项</w:t>
      </w:r>
    </w:p>
    <w:p w14:paraId="6D81AC54">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（1）风险描述：截割时，人员误入掘进机运行范围内，存在碰伤、挤伤人员的风险。</w:t>
      </w:r>
    </w:p>
    <w:p w14:paraId="6F93B664">
      <w:pPr>
        <w:pStyle w:val="5"/>
        <w:keepNext w:val="0"/>
        <w:keepLines w:val="0"/>
        <w:pageBreakBefore w:val="0"/>
        <w:widowControl w:val="0"/>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管控措施：掘进机运行时，严禁人员进入掘进机运行范围内。</w:t>
      </w:r>
    </w:p>
    <w:p w14:paraId="2179D91E">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3.停机后确认</w:t>
      </w:r>
    </w:p>
    <w:p w14:paraId="0F53D120">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（1）风险描述：停机后，铲板、截割头未落地，存在碰伤人员的风险。</w:t>
      </w:r>
    </w:p>
    <w:p w14:paraId="4D6B6A69">
      <w:pPr>
        <w:pStyle w:val="5"/>
        <w:keepNext w:val="0"/>
        <w:keepLines w:val="0"/>
        <w:pageBreakBefore w:val="0"/>
        <w:widowControl w:val="0"/>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管控措施：停机后，必须将铲板、截割头落地，并安设截割头护罩。</w:t>
      </w:r>
    </w:p>
    <w:p w14:paraId="63CB1FD2">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（2）风险描述：停机后，未停电闭锁，存在掘进机误启动，碰伤人员的风险。</w:t>
      </w:r>
    </w:p>
    <w:p w14:paraId="65E1C022">
      <w:pPr>
        <w:pStyle w:val="5"/>
        <w:keepNext w:val="0"/>
        <w:keepLines w:val="0"/>
        <w:pageBreakBefore w:val="0"/>
        <w:widowControl w:val="0"/>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管控措施：停机后，立即对掘进机进行停电闭锁，并悬挂“有人工作、不准送电”停电牌。</w:t>
      </w:r>
    </w:p>
    <w:p w14:paraId="1DB7E81A">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、开机前检查</w:t>
      </w:r>
    </w:p>
    <w:p w14:paraId="3019863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1.顶帮</w:t>
      </w:r>
      <w:r>
        <w:rPr>
          <w:rFonts w:hint="eastAsia" w:ascii="仿宋" w:hAnsi="仿宋" w:eastAsia="仿宋" w:cs="仿宋"/>
          <w:color w:val="auto"/>
          <w:sz w:val="28"/>
          <w:szCs w:val="28"/>
          <w:highlight w:val="none"/>
          <w:lang w:eastAsia="zh-CN"/>
        </w:rPr>
        <w:t>：</w:t>
      </w:r>
    </w:p>
    <w:p w14:paraId="3437800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用</w:t>
      </w:r>
      <w:r>
        <w:rPr>
          <w:rFonts w:hint="eastAsia" w:ascii="仿宋" w:hAnsi="仿宋" w:eastAsia="仿宋" w:cs="仿宋"/>
          <w:color w:val="auto"/>
          <w:sz w:val="28"/>
          <w:szCs w:val="28"/>
          <w:highlight w:val="none"/>
          <w:lang w:eastAsia="zh-CN"/>
        </w:rPr>
        <w:t>敲帮问顶专用</w:t>
      </w:r>
      <w:r>
        <w:rPr>
          <w:rFonts w:hint="eastAsia" w:ascii="仿宋" w:hAnsi="仿宋" w:eastAsia="仿宋" w:cs="仿宋"/>
          <w:color w:val="auto"/>
          <w:sz w:val="28"/>
          <w:szCs w:val="28"/>
          <w:highlight w:val="none"/>
        </w:rPr>
        <w:t>工具</w:t>
      </w:r>
      <w:r>
        <w:rPr>
          <w:rFonts w:hint="eastAsia" w:ascii="仿宋" w:hAnsi="仿宋" w:eastAsia="仿宋" w:cs="仿宋"/>
          <w:color w:val="auto"/>
          <w:sz w:val="28"/>
          <w:szCs w:val="28"/>
          <w:highlight w:val="none"/>
          <w:lang w:eastAsia="zh-CN"/>
        </w:rPr>
        <w:t>进行</w:t>
      </w:r>
      <w:r>
        <w:rPr>
          <w:rFonts w:hint="eastAsia" w:ascii="仿宋" w:hAnsi="仿宋" w:eastAsia="仿宋" w:cs="仿宋"/>
          <w:color w:val="auto"/>
          <w:sz w:val="28"/>
          <w:szCs w:val="28"/>
          <w:highlight w:val="none"/>
        </w:rPr>
        <w:t>敲帮问顶，摘除悬矸危岩和松动的煤帮；顶帮完好，无冒顶、漏矸、片帮。</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时遵循以下步骤：</w:t>
      </w:r>
    </w:p>
    <w:p w14:paraId="1D45EEB7">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、帮工作应有2名有经验的人员担任，一人</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、帮，一人观察顶板和退路。</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、帮人应站在安全地点工作，观察人应站在</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人的侧后面，并保证退路畅通。</w:t>
      </w:r>
    </w:p>
    <w:p w14:paraId="0E174329">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、帮应从有完好支护的地点开始，由近及远，先顶后帮，依次进行，</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、帮范围内严禁其他人员进入。</w:t>
      </w:r>
    </w:p>
    <w:p w14:paraId="1A143C2E">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、帮工作人员应戴手套，用长把工具</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、帮时，应防止煤、矸顺杆而下伤人。</w:t>
      </w:r>
    </w:p>
    <w:p w14:paraId="44314E38">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（4）顶帮遇有大块断裂煤矸或煤矸离层时，应首先设置临时支护，保证安全后再顺着裂隙、层理慢慢地找下，不得硬刨强挖。</w:t>
      </w:r>
    </w:p>
    <w:p w14:paraId="31098200">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顶帮支护：检查工作区域顶、帮支护情况，支护失效时，必须及时进行支护、加固。</w:t>
      </w:r>
    </w:p>
    <w:p w14:paraId="2D155E8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2.口罩</w:t>
      </w:r>
      <w:r>
        <w:rPr>
          <w:rFonts w:hint="eastAsia" w:ascii="仿宋" w:hAnsi="仿宋" w:eastAsia="仿宋" w:cs="仿宋"/>
          <w:color w:val="auto"/>
          <w:sz w:val="28"/>
          <w:szCs w:val="28"/>
          <w:highlight w:val="none"/>
          <w:lang w:eastAsia="zh-CN"/>
        </w:rPr>
        <w:t>：</w:t>
      </w:r>
    </w:p>
    <w:p w14:paraId="46B28F3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口罩是否佩带齐全。</w:t>
      </w:r>
    </w:p>
    <w:p w14:paraId="18503EFD">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3.通风、</w:t>
      </w:r>
      <w:r>
        <w:rPr>
          <w:rFonts w:hint="eastAsia" w:ascii="仿宋" w:hAnsi="仿宋" w:eastAsia="仿宋" w:cs="仿宋"/>
          <w:color w:val="auto"/>
          <w:sz w:val="28"/>
          <w:szCs w:val="28"/>
          <w:highlight w:val="none"/>
          <w:lang w:eastAsia="zh-CN"/>
        </w:rPr>
        <w:t>甲烷：</w:t>
      </w:r>
    </w:p>
    <w:p w14:paraId="473D0699">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通风：风筒正常通风，并检查风筒口距工作面不超过1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w:t>
      </w:r>
    </w:p>
    <w:p w14:paraId="56532A17">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：观察迎头悬挂的甲烷传感器及便携仪示数，只有</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浓度在1%以下时方可开机。甲烷传感器，必须悬挂在迎头无风筒侧的上方，距迎头不大于5</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，距顶板不大于0.3</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rPr>
        <w:t>，距帮不小于0.2</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rPr>
        <w:t>。</w:t>
      </w:r>
    </w:p>
    <w:p w14:paraId="167F78D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4.二运两侧及前方无其他人员、障碍物</w:t>
      </w:r>
      <w:r>
        <w:rPr>
          <w:rFonts w:hint="eastAsia" w:ascii="仿宋" w:hAnsi="仿宋" w:eastAsia="仿宋" w:cs="仿宋"/>
          <w:color w:val="auto"/>
          <w:sz w:val="28"/>
          <w:szCs w:val="28"/>
          <w:highlight w:val="none"/>
          <w:lang w:eastAsia="zh-CN"/>
        </w:rPr>
        <w:t>：</w:t>
      </w:r>
    </w:p>
    <w:p w14:paraId="0AD98BB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工作臂周围、二运两侧及前方无其他人员。障碍物：机具、管线等撤到二运以外，不影响运行。</w:t>
      </w:r>
    </w:p>
    <w:p w14:paraId="01CC3A9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皮带搭接</w:t>
      </w:r>
      <w:r>
        <w:rPr>
          <w:rFonts w:hint="eastAsia" w:ascii="仿宋" w:hAnsi="仿宋" w:eastAsia="仿宋" w:cs="仿宋"/>
          <w:color w:val="auto"/>
          <w:sz w:val="28"/>
          <w:szCs w:val="28"/>
          <w:highlight w:val="none"/>
          <w:lang w:eastAsia="zh-CN"/>
        </w:rPr>
        <w:t>：</w:t>
      </w:r>
    </w:p>
    <w:p w14:paraId="191F13A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与上部皮带搭接是否正常，上部皮带尾固定是否可靠、是否跑偏、皮带托辊是否齐全、皮带底积煤。</w:t>
      </w:r>
    </w:p>
    <w:p w14:paraId="4671046B">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、单元检查表</w:t>
      </w:r>
    </w:p>
    <w:p w14:paraId="20B34B8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综掘机单元检查表：</w:t>
      </w:r>
    </w:p>
    <w:p w14:paraId="1D4F2A3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（1）截齿、齿座</w:t>
      </w:r>
      <w:r>
        <w:rPr>
          <w:rFonts w:hint="eastAsia" w:ascii="仿宋" w:hAnsi="仿宋" w:eastAsia="仿宋" w:cs="仿宋"/>
          <w:color w:val="auto"/>
          <w:sz w:val="28"/>
          <w:szCs w:val="28"/>
          <w:highlight w:val="none"/>
          <w:lang w:eastAsia="zh-CN"/>
        </w:rPr>
        <w:t>：</w:t>
      </w:r>
    </w:p>
    <w:p w14:paraId="7B04EBE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截齿齐全、截齿座磨损不影响正常使用。</w:t>
      </w:r>
    </w:p>
    <w:p w14:paraId="667F34C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（2）截割臂、液压管</w:t>
      </w:r>
      <w:r>
        <w:rPr>
          <w:rFonts w:hint="eastAsia" w:ascii="仿宋" w:hAnsi="仿宋" w:eastAsia="仿宋" w:cs="仿宋"/>
          <w:color w:val="auto"/>
          <w:sz w:val="28"/>
          <w:szCs w:val="28"/>
          <w:highlight w:val="none"/>
          <w:lang w:eastAsia="zh-CN"/>
        </w:rPr>
        <w:t>：</w:t>
      </w:r>
    </w:p>
    <w:p w14:paraId="75844C2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截割臂伸缩正常，截割电机运转正常无异响，轴承润滑正常；液压闭锁可靠。</w:t>
      </w:r>
    </w:p>
    <w:p w14:paraId="6C65C0C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（3）铲板、星轮</w:t>
      </w:r>
      <w:r>
        <w:rPr>
          <w:rFonts w:hint="eastAsia" w:ascii="仿宋" w:hAnsi="仿宋" w:eastAsia="仿宋" w:cs="仿宋"/>
          <w:color w:val="auto"/>
          <w:sz w:val="28"/>
          <w:szCs w:val="28"/>
          <w:highlight w:val="none"/>
          <w:lang w:eastAsia="zh-CN"/>
        </w:rPr>
        <w:t>：</w:t>
      </w:r>
    </w:p>
    <w:p w14:paraId="64D5E42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星轮旋转正常、驱动装置密封良好，无漏油现象、不缺油。</w:t>
      </w:r>
    </w:p>
    <w:p w14:paraId="30CB3D8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（4）急停闭锁、右履带、油温、油位</w:t>
      </w:r>
      <w:r>
        <w:rPr>
          <w:rFonts w:hint="eastAsia" w:ascii="仿宋" w:hAnsi="仿宋" w:eastAsia="仿宋" w:cs="仿宋"/>
          <w:color w:val="auto"/>
          <w:sz w:val="28"/>
          <w:szCs w:val="28"/>
          <w:highlight w:val="none"/>
          <w:lang w:eastAsia="zh-CN"/>
        </w:rPr>
        <w:t>：</w:t>
      </w:r>
    </w:p>
    <w:p w14:paraId="6E04DC8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急停闭锁灵敏可靠；右侧履带、履带板、连接牢固，无裂纹，液压油箱油温不得超过70℃；可靠能直观看到油位刻度；液压泵工作压力不得超过额定工作压力（24MPa），不得反转。</w:t>
      </w:r>
    </w:p>
    <w:p w14:paraId="7DE892D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（5）二运、二运喷雾、电缆</w:t>
      </w:r>
      <w:r>
        <w:rPr>
          <w:rFonts w:hint="eastAsia" w:ascii="仿宋" w:hAnsi="仿宋" w:eastAsia="仿宋" w:cs="仿宋"/>
          <w:color w:val="auto"/>
          <w:sz w:val="28"/>
          <w:szCs w:val="28"/>
          <w:highlight w:val="none"/>
          <w:lang w:eastAsia="zh-CN"/>
        </w:rPr>
        <w:t>：</w:t>
      </w:r>
    </w:p>
    <w:p w14:paraId="5DADCF4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皮带无跑偏、皮带扣搭接牢固、三联辊、平托辊无缺失转动灵活；喷雾固定合格、雾化效果好；电缆卡齐全牢固，电缆拖动装置完好，电缆无破损、挤压、余量适当；</w:t>
      </w:r>
    </w:p>
    <w:p w14:paraId="2A1256A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（6）电控装置、电铃、照明灯</w:t>
      </w:r>
      <w:r>
        <w:rPr>
          <w:rFonts w:hint="eastAsia" w:ascii="仿宋" w:hAnsi="仿宋" w:eastAsia="仿宋" w:cs="仿宋"/>
          <w:color w:val="auto"/>
          <w:sz w:val="28"/>
          <w:szCs w:val="28"/>
          <w:highlight w:val="none"/>
          <w:lang w:eastAsia="zh-CN"/>
        </w:rPr>
        <w:t>：</w:t>
      </w:r>
    </w:p>
    <w:p w14:paraId="222B7DC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电控装置按钮灵敏可靠，指示灯、仪表完好，固定牢固；电铃声音响亮；照明能照射到迎头；</w:t>
      </w:r>
    </w:p>
    <w:p w14:paraId="031F1AD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（7）左履带、截割闭锁</w:t>
      </w:r>
      <w:r>
        <w:rPr>
          <w:rFonts w:hint="eastAsia" w:ascii="仿宋" w:hAnsi="仿宋" w:eastAsia="仿宋" w:cs="仿宋"/>
          <w:color w:val="auto"/>
          <w:sz w:val="28"/>
          <w:szCs w:val="28"/>
          <w:highlight w:val="none"/>
          <w:lang w:eastAsia="zh-CN"/>
        </w:rPr>
        <w:t>：</w:t>
      </w:r>
    </w:p>
    <w:p w14:paraId="1CBB10F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左侧履带、履带板、连接牢固，无裂纹；截割闭锁处于闭锁位置。</w:t>
      </w:r>
    </w:p>
    <w:p w14:paraId="0547A3D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（8）操作手把、冷却、喷雾</w:t>
      </w:r>
      <w:r>
        <w:rPr>
          <w:rFonts w:hint="eastAsia" w:ascii="仿宋" w:hAnsi="仿宋" w:eastAsia="仿宋" w:cs="仿宋"/>
          <w:color w:val="auto"/>
          <w:sz w:val="28"/>
          <w:szCs w:val="28"/>
          <w:highlight w:val="none"/>
          <w:lang w:eastAsia="zh-CN"/>
        </w:rPr>
        <w:t>：</w:t>
      </w:r>
    </w:p>
    <w:p w14:paraId="3D027C8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操作手把无明显变形可灵活操作，开关、急停闭锁反应灵敏可靠；冷却系统完好，管路、喷嘴畅通，不漏水。内外喷雾雾化良好。</w:t>
      </w:r>
    </w:p>
    <w:p w14:paraId="01363CC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（9）一运、转载喷雾</w:t>
      </w:r>
      <w:r>
        <w:rPr>
          <w:rFonts w:hint="eastAsia" w:ascii="仿宋" w:hAnsi="仿宋" w:eastAsia="仿宋" w:cs="仿宋"/>
          <w:color w:val="auto"/>
          <w:sz w:val="28"/>
          <w:szCs w:val="28"/>
          <w:highlight w:val="none"/>
          <w:lang w:eastAsia="zh-CN"/>
        </w:rPr>
        <w:t>：</w:t>
      </w:r>
    </w:p>
    <w:p w14:paraId="21C24F1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一运链条松紧适中，刮板、螺丝无缺失；转载喷雾雾化良好。</w:t>
      </w:r>
    </w:p>
    <w:p w14:paraId="0F033AB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2.除尘风机单元检查表：</w:t>
      </w:r>
    </w:p>
    <w:p w14:paraId="33BE857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（1）吸风口距离掘进机截割头距离；</w:t>
      </w:r>
    </w:p>
    <w:p w14:paraId="22A56DA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吸风口距离掘进机截割头距离符合规定。</w:t>
      </w:r>
    </w:p>
    <w:p w14:paraId="3C89090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（2）负压风筒；</w:t>
      </w:r>
    </w:p>
    <w:p w14:paraId="53E5C5F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负压风筒吊挂平直、无破口。</w:t>
      </w:r>
    </w:p>
    <w:p w14:paraId="7A3F2B0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（3）固定，各部件齐全完好。</w:t>
      </w:r>
    </w:p>
    <w:p w14:paraId="107A0BF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（4）水管连接；</w:t>
      </w:r>
    </w:p>
    <w:p w14:paraId="1291705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水管连接完好，无跑冒滴漏现象。</w:t>
      </w:r>
    </w:p>
    <w:p w14:paraId="55F97A8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（5）喷雾完好。</w:t>
      </w:r>
    </w:p>
    <w:p w14:paraId="3E179FF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（6）出风口3</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范围内杂物。</w:t>
      </w:r>
    </w:p>
    <w:p w14:paraId="6AC7A45B">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六、综掘机司机正规操作</w:t>
      </w:r>
    </w:p>
    <w:p w14:paraId="42CAF380">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（一）综掘机司机操作顺序：</w:t>
      </w:r>
    </w:p>
    <w:p w14:paraId="29A77FE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合上隔离开关、发出开机信号→启动液压泵→胶带转载机→刮板输送机（装载机）→截割部。</w:t>
      </w:r>
    </w:p>
    <w:p w14:paraId="666D10A4">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（二）综掘机司机正规操作：</w:t>
      </w:r>
    </w:p>
    <w:p w14:paraId="2CCB694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1.合上隔离开关、发出开机信号：</w:t>
      </w:r>
    </w:p>
    <w:p w14:paraId="7E7D306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用专用把手合上隔离开关，警铃信号发出。</w:t>
      </w:r>
    </w:p>
    <w:p w14:paraId="05DB7FF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2.启动液压泵：</w:t>
      </w:r>
    </w:p>
    <w:p w14:paraId="0A692B6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合上钮子开关、警铃信号发出，油泵电机启动。</w:t>
      </w:r>
    </w:p>
    <w:p w14:paraId="59AC844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3.胶带转载机：</w:t>
      </w:r>
    </w:p>
    <w:p w14:paraId="1C3F332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合上钮子开关、警铃信号发出，二运电滚筒启动。</w:t>
      </w:r>
    </w:p>
    <w:p w14:paraId="3FCEFD1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4.刮板输送机：</w:t>
      </w:r>
    </w:p>
    <w:p w14:paraId="3FEA510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操作控制手柄，刮板输送机运行。</w:t>
      </w:r>
    </w:p>
    <w:p w14:paraId="66BD482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5.截割部：</w:t>
      </w:r>
    </w:p>
    <w:p w14:paraId="1E6A9FE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合上钮子开关、警铃信号发出，截割头启动。</w:t>
      </w:r>
    </w:p>
    <w:p w14:paraId="0607ACE7">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七、综掘机司机操作过程中的安全注意事项：</w:t>
      </w:r>
    </w:p>
    <w:p w14:paraId="6154DB3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看运行：综掘机运行是否正常；观察围岩变化；注意不要割坏原来支护的锚杆锚网；操作时综掘机运行范围段有无其他人员</w:t>
      </w:r>
      <w:r>
        <w:rPr>
          <w:rFonts w:hint="eastAsia" w:ascii="仿宋" w:hAnsi="仿宋" w:eastAsia="仿宋" w:cs="仿宋"/>
          <w:color w:val="auto"/>
          <w:sz w:val="28"/>
          <w:szCs w:val="28"/>
          <w:highlight w:val="none"/>
          <w:lang w:eastAsia="zh-CN"/>
        </w:rPr>
        <w:t>。</w:t>
      </w:r>
    </w:p>
    <w:p w14:paraId="0100DC7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听异响：设备异常声音</w:t>
      </w:r>
      <w:r>
        <w:rPr>
          <w:rFonts w:hint="eastAsia" w:ascii="仿宋" w:hAnsi="仿宋" w:eastAsia="仿宋" w:cs="仿宋"/>
          <w:color w:val="auto"/>
          <w:sz w:val="28"/>
          <w:szCs w:val="28"/>
          <w:highlight w:val="none"/>
          <w:lang w:eastAsia="zh-CN"/>
        </w:rPr>
        <w:t>。</w:t>
      </w:r>
    </w:p>
    <w:p w14:paraId="29E90A0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互提醒：前进、后退时相互提醒</w:t>
      </w:r>
      <w:r>
        <w:rPr>
          <w:rFonts w:hint="eastAsia" w:ascii="仿宋" w:hAnsi="仿宋" w:eastAsia="仿宋" w:cs="仿宋"/>
          <w:color w:val="auto"/>
          <w:sz w:val="28"/>
          <w:szCs w:val="28"/>
          <w:highlight w:val="none"/>
          <w:lang w:eastAsia="zh-CN"/>
        </w:rPr>
        <w:t>。</w:t>
      </w:r>
    </w:p>
    <w:p w14:paraId="0F80166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嗅异味：闻气味是否异常</w:t>
      </w:r>
      <w:r>
        <w:rPr>
          <w:rFonts w:hint="eastAsia" w:ascii="仿宋" w:hAnsi="仿宋" w:eastAsia="仿宋" w:cs="仿宋"/>
          <w:color w:val="auto"/>
          <w:sz w:val="28"/>
          <w:szCs w:val="28"/>
          <w:highlight w:val="none"/>
          <w:lang w:eastAsia="zh-CN"/>
        </w:rPr>
        <w:t>。</w:t>
      </w:r>
    </w:p>
    <w:p w14:paraId="2C6FC29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防误入：人员误入综掘机活动范围，立即停机</w:t>
      </w:r>
      <w:r>
        <w:rPr>
          <w:rFonts w:hint="eastAsia" w:ascii="仿宋" w:hAnsi="仿宋" w:eastAsia="仿宋" w:cs="仿宋"/>
          <w:color w:val="auto"/>
          <w:sz w:val="28"/>
          <w:szCs w:val="28"/>
          <w:highlight w:val="none"/>
          <w:lang w:eastAsia="zh-CN"/>
        </w:rPr>
        <w:t>。</w:t>
      </w:r>
    </w:p>
    <w:p w14:paraId="1560A475">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八、全部注意事项</w:t>
      </w:r>
    </w:p>
    <w:p w14:paraId="3D6E050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1.迎头顶帮支护不完整，有冒顶倾向时，综掘机严禁进行作业。</w:t>
      </w:r>
    </w:p>
    <w:p w14:paraId="6795C43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2.人员严禁站在综掘机截割臂或截割头上工作。</w:t>
      </w:r>
    </w:p>
    <w:p w14:paraId="24534CB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3.开动掘进机前，必须发出警报。只有在综掘机前方和两侧附近无人时，方可开动掘进机。</w:t>
      </w:r>
    </w:p>
    <w:p w14:paraId="65683CB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4.掘进机停止工作和交班时，必须将掘进机切割头落地，并断开综掘机本体上的电源开关和隔离刀闸。</w:t>
      </w:r>
    </w:p>
    <w:p w14:paraId="4996DB7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5.机器必须配备正副两名司机，正司机负责操作，副司机负责监护。司机必须精神集中，开机要平稳，看好方向线，不得擅自离开工作岗位，不得委托无证人员操作。</w:t>
      </w:r>
    </w:p>
    <w:p w14:paraId="4291011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截割头必须在旋转状况下，才能截割煤岩，截割头不许带负荷起动。根据煤岩的软硬程度掌握好机器推进速度，禁止超负荷运转，避免发生截割电机过载和压刮板输送机等现象，截割时应放下铲板。如果落煤量大而造成过载时，司机必须立即停车，将掘进机退出，进行处理。严禁点动开车处理，以免烧毁电动机或损坏液压马达。</w:t>
      </w:r>
    </w:p>
    <w:p w14:paraId="2458779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截割头在最低工作位置时，禁止将铲板抬起。截割部与铲板间距不得小于300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，严禁截割头与铲板相碰。截割煤岩时应防止截齿触网、触棚。</w:t>
      </w:r>
    </w:p>
    <w:p w14:paraId="02E2B2C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司机应经常注意清底及清理机体两侧的浮煤（岩），扫底时应一刀压一刀，以免出现硬坎，防止履带前进时越垫越高。</w:t>
      </w:r>
    </w:p>
    <w:p w14:paraId="2C2359B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9</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煤岩块度超过机器龙门的宽度和高度时，必须先行破碎后方可装运。</w:t>
      </w:r>
    </w:p>
    <w:p w14:paraId="110917C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当油缸行至终止时，应立即放开手柄，避免溢流阀长时溢流，造成系统发热。</w:t>
      </w:r>
    </w:p>
    <w:p w14:paraId="46A0A43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综掘机向前掏槽时，不准使截割臂处于左、右极限位置。</w:t>
      </w:r>
    </w:p>
    <w:p w14:paraId="248509A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装载机、转载机及后配套运输设备不准超负荷运转。</w:t>
      </w:r>
    </w:p>
    <w:p w14:paraId="68DC3B1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注意机械各部、减速器和电机声响以及压力变化情况，压力表的指示出现问题时应立即停机检查。</w:t>
      </w:r>
    </w:p>
    <w:p w14:paraId="07F5E9A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风量不足、除尘设施不齐不准作业。</w:t>
      </w:r>
    </w:p>
    <w:p w14:paraId="547B3A2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截割电机长期工作后，不要立即停冷却水，应等电机冷却数分钟后再关闭水路。</w:t>
      </w:r>
    </w:p>
    <w:p w14:paraId="5C6FDEF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发现危急情况，必须用紧急停止开关切断电源，待查明事故原因、排除故障后方可继续开机。</w:t>
      </w:r>
    </w:p>
    <w:p w14:paraId="0DE0A64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岩石硬度大于掘进机截割能力时，应停止使用综掘机，并按措施要求采取相应措施。</w:t>
      </w:r>
    </w:p>
    <w:p w14:paraId="44CBEF2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岩石易破碎的，应在巷道断面顶部开始掘进；断面中粒砂状结构半煤岩，应在煤岩结合处的煤层开始掘进。司机要按正确的截割循环方式操作，并注意下列事项：</w:t>
      </w:r>
    </w:p>
    <w:p w14:paraId="072AEC2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（1）掘进半煤岩巷道时，应先截割煤，后截割岩石，即按先软后硬的程序。</w:t>
      </w:r>
    </w:p>
    <w:p w14:paraId="6FA4438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（2）一般情况下，应从工作面下部开始截割，首先切底掏槽。</w:t>
      </w:r>
    </w:p>
    <w:p w14:paraId="0270EEC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（3）截割必须考虑煤岩的层理，截割头应沿层理方向移动，不应横断层理。</w:t>
      </w:r>
    </w:p>
    <w:p w14:paraId="23F37AB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（4）截割全煤，应先四面刷帮，再破碎中间部分。</w:t>
      </w:r>
    </w:p>
    <w:p w14:paraId="71608C5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（5）对于硬煤，采取自上而下的截割程序。</w:t>
      </w:r>
    </w:p>
    <w:p w14:paraId="598C624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（6）对较破碎的顶板，应采取留顶煤或截割断面周围的方法。</w:t>
      </w:r>
    </w:p>
    <w:p w14:paraId="0251134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19.前进时将铲板落下，后退时将铲板抬起。发现有冒顶预兆或危及人员安全时，应立即停车，切断电源。</w:t>
      </w:r>
    </w:p>
    <w:p w14:paraId="344EAEC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20.检修掘进机时，必须停电、闭锁、挂停电牌。严禁其他人员在截割臂和转载桥下方停留或作业。</w:t>
      </w:r>
    </w:p>
    <w:p w14:paraId="2321EED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21.必须坚持使用掘进机上所有的安全闭锁和保护装置，不得擅自改动或甩掉不用，不能随意调整液压系统、雾化系统各部的压力。</w:t>
      </w:r>
    </w:p>
    <w:p w14:paraId="438CD3E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22.掘进机必须装有只准以专用工具开、闭的电器控制开关，专用工具必须由专职司机保管。司机离开操作台时，必须断开掘进机上的电源开关。</w:t>
      </w:r>
    </w:p>
    <w:p w14:paraId="58B2C29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23.掘进机前照明灯和尾灯齐全，亮度达到要求。</w:t>
      </w:r>
    </w:p>
    <w:p w14:paraId="4B1EA4F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24.掘进机作业时，应使用内、外喷雾装置，内喷雾装置的使用水压不得小于3兆帕，外喷雾装置的使用水压不得小于1.5兆帕；如果内喷雾装置的使用水压小于3兆帕或无内喷雾装置，则必须使用外喷雾装置和除尘器。</w:t>
      </w:r>
    </w:p>
    <w:p w14:paraId="5C78B45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25.各种电气设备控制开关的操作手柄、按钮、指示仪表、停电牌等要妥善保护，防止损坏、丢失。</w:t>
      </w:r>
    </w:p>
    <w:p w14:paraId="0F649C5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26.切割头变速时，应首先切断截割电机电源，当其转速接近为零时方可操作变速器手柄进行变速。严禁在高速运转时变速。</w:t>
      </w:r>
    </w:p>
    <w:p w14:paraId="2D3917B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27.经检查确认机器正常并在作业人员撤至安全地点后，方准合上电源总开关，按操作程序进行空载试运转，禁止带负荷起动。</w:t>
      </w:r>
    </w:p>
    <w:p w14:paraId="049D7DAF">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九</w:t>
      </w:r>
      <w:r>
        <w:rPr>
          <w:rFonts w:hint="eastAsia" w:ascii="仿宋" w:hAnsi="仿宋" w:eastAsia="仿宋" w:cs="仿宋"/>
          <w:b/>
          <w:bCs/>
          <w:color w:val="auto"/>
          <w:sz w:val="28"/>
          <w:szCs w:val="28"/>
          <w:highlight w:val="none"/>
        </w:rPr>
        <w:t>、停机后确认</w:t>
      </w:r>
    </w:p>
    <w:p w14:paraId="61B23BD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1.退离迎头：</w:t>
      </w:r>
    </w:p>
    <w:p w14:paraId="76545A1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综掘机后退到距工作面迎头5m以外的地方。 </w:t>
      </w:r>
    </w:p>
    <w:p w14:paraId="2963E3E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2.铲板、截割头：</w:t>
      </w:r>
    </w:p>
    <w:p w14:paraId="141D858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铲板、截割头落地。</w:t>
      </w:r>
    </w:p>
    <w:p w14:paraId="76FE937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3.进水截止阀：</w:t>
      </w:r>
    </w:p>
    <w:p w14:paraId="66F9601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关闭。</w:t>
      </w:r>
    </w:p>
    <w:p w14:paraId="3FEA039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4.操作阀、停电闭锁：</w:t>
      </w:r>
    </w:p>
    <w:p w14:paraId="119D95D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所有操作阀、按钮置于零位，并停电闭锁综掘机。</w:t>
      </w:r>
    </w:p>
    <w:p w14:paraId="45123324">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十</w:t>
      </w:r>
      <w:r>
        <w:rPr>
          <w:rFonts w:hint="eastAsia" w:ascii="仿宋" w:hAnsi="仿宋" w:eastAsia="仿宋" w:cs="仿宋"/>
          <w:b/>
          <w:color w:val="auto"/>
          <w:sz w:val="28"/>
          <w:szCs w:val="28"/>
          <w:highlight w:val="none"/>
        </w:rPr>
        <w:t>、事故案例教育</w:t>
      </w:r>
    </w:p>
    <w:p w14:paraId="6D16D9E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4405812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1998年1月21日，某矿综掘工区早班和中班交接班验收，早班班长看到迎头右帮宽度不够，影响验收，安排处理，综掘机司机陈某看到右帮及前方无人就开机截割；此时，职工陆某在左帮处收拾钻机及风水管，由于没有撤出截割头截割范围，被钻机和风水管缠绕住，一起卷入截割头，陈某发现后立即停止截割，立即组织抢救，经抢救无效死亡。</w:t>
      </w:r>
    </w:p>
    <w:p w14:paraId="32EE79B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2219582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7C712C7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掘进机司机陈某开机前未发出信号，未检查铲板和截割臂附近是否有人。</w:t>
      </w:r>
    </w:p>
    <w:p w14:paraId="6D20805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322053F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（1）职工陈某安全意识不强，注意力不集中。</w:t>
      </w:r>
    </w:p>
    <w:p w14:paraId="344C8DD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（2）跟班区长现场安全管理不到位，跟班安监员现场监督不到位。</w:t>
      </w:r>
    </w:p>
    <w:p w14:paraId="4B66C86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1DE0A24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掘进机开机前要发出信号，确认铲板和截割臂附近无人后方可进行截割。</w:t>
      </w:r>
    </w:p>
    <w:p w14:paraId="23058DD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加强职工教育，提高职工安全意识，工作过程中集中注意力。</w:t>
      </w:r>
    </w:p>
    <w:p w14:paraId="2E52AA7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《煤矿安全规程》第七十一条规定“开机前必须发出警号。”</w:t>
      </w:r>
    </w:p>
    <w:p w14:paraId="7E7C786E">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rPr>
        <w:t>、常见三违</w:t>
      </w:r>
    </w:p>
    <w:p w14:paraId="78B9CF7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掘进机附近有人而开机的；</w:t>
      </w:r>
      <w:r>
        <w:rPr>
          <w:rFonts w:hint="eastAsia" w:ascii="仿宋" w:hAnsi="仿宋" w:eastAsia="仿宋" w:cs="仿宋"/>
          <w:color w:val="auto"/>
          <w:sz w:val="28"/>
          <w:szCs w:val="28"/>
          <w:highlight w:val="none"/>
          <w:lang w:val="en-US" w:eastAsia="zh-CN"/>
        </w:rPr>
        <w:t>开机前发发出报警铃声的；</w:t>
      </w:r>
    </w:p>
    <w:p w14:paraId="77EE947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不正常使用掘进机内、外喷雾的；</w:t>
      </w:r>
    </w:p>
    <w:p w14:paraId="3DE8188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掘进机有异响或截齿不全继续截割的；</w:t>
      </w:r>
    </w:p>
    <w:p w14:paraId="302A511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不按规定截割割坏金属网的；</w:t>
      </w:r>
    </w:p>
    <w:p w14:paraId="0C8E610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开机未使用冷却水的；</w:t>
      </w:r>
    </w:p>
    <w:p w14:paraId="32EC28E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液压油低于油位线开机的；</w:t>
      </w:r>
    </w:p>
    <w:p w14:paraId="157BE0A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停机不停电闭锁或急停开关不正常使用的；</w:t>
      </w:r>
    </w:p>
    <w:p w14:paraId="659BD85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停机截割头不落地的；</w:t>
      </w:r>
      <w:r>
        <w:rPr>
          <w:rFonts w:hint="eastAsia" w:ascii="仿宋" w:hAnsi="仿宋" w:eastAsia="仿宋" w:cs="仿宋"/>
          <w:color w:val="auto"/>
          <w:sz w:val="28"/>
          <w:szCs w:val="28"/>
          <w:highlight w:val="none"/>
          <w:lang w:val="en-US" w:eastAsia="zh-CN"/>
        </w:rPr>
        <w:t>未安设防护罩的；</w:t>
      </w:r>
    </w:p>
    <w:p w14:paraId="4CB8C34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截割头上有铁丝等杂物，未及时停机处理的；</w:t>
      </w:r>
    </w:p>
    <w:p w14:paraId="7C8F199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检修掘进机时，在截割臂和转载桥下方停留或作业的；</w:t>
      </w:r>
    </w:p>
    <w:p w14:paraId="4A12780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截割头高速运转下变速的；</w:t>
      </w:r>
    </w:p>
    <w:p w14:paraId="576F6BB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使用截割头起吊各种物料的；</w:t>
      </w:r>
    </w:p>
    <w:p w14:paraId="307D037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（十三）</w:t>
      </w:r>
      <w:r>
        <w:rPr>
          <w:rFonts w:hint="eastAsia" w:ascii="仿宋" w:hAnsi="仿宋" w:eastAsia="仿宋" w:cs="仿宋"/>
          <w:color w:val="auto"/>
          <w:sz w:val="28"/>
          <w:szCs w:val="28"/>
          <w:highlight w:val="none"/>
        </w:rPr>
        <w:t>照明不良好开机掘进的；</w:t>
      </w:r>
    </w:p>
    <w:p w14:paraId="3E6BADB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（十四）</w:t>
      </w:r>
      <w:r>
        <w:rPr>
          <w:rFonts w:hint="eastAsia" w:ascii="仿宋" w:hAnsi="仿宋" w:eastAsia="仿宋" w:cs="仿宋"/>
          <w:color w:val="auto"/>
          <w:sz w:val="28"/>
          <w:szCs w:val="28"/>
          <w:highlight w:val="none"/>
        </w:rPr>
        <w:t>风量不足、除尘设施不全或除尘风机不正常使用进行作业</w:t>
      </w:r>
      <w:r>
        <w:rPr>
          <w:rFonts w:hint="eastAsia" w:ascii="仿宋" w:hAnsi="仿宋" w:eastAsia="仿宋" w:cs="仿宋"/>
          <w:color w:val="auto"/>
          <w:sz w:val="28"/>
          <w:szCs w:val="28"/>
          <w:highlight w:val="none"/>
          <w:lang w:eastAsia="zh-CN"/>
        </w:rPr>
        <w:t>；</w:t>
      </w:r>
    </w:p>
    <w:p w14:paraId="2E14856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（十五）</w:t>
      </w:r>
      <w:r>
        <w:rPr>
          <w:rFonts w:hint="eastAsia" w:ascii="仿宋" w:hAnsi="仿宋" w:eastAsia="仿宋" w:cs="仿宋"/>
          <w:color w:val="auto"/>
          <w:sz w:val="28"/>
          <w:szCs w:val="28"/>
          <w:highlight w:val="none"/>
        </w:rPr>
        <w:t>综掘机在工作时人员上下综掘机</w:t>
      </w:r>
      <w:r>
        <w:rPr>
          <w:rFonts w:hint="eastAsia" w:ascii="仿宋" w:hAnsi="仿宋" w:eastAsia="仿宋" w:cs="仿宋"/>
          <w:color w:val="auto"/>
          <w:sz w:val="28"/>
          <w:szCs w:val="28"/>
          <w:highlight w:val="none"/>
          <w:lang w:eastAsia="zh-CN"/>
        </w:rPr>
        <w:t>；</w:t>
      </w:r>
    </w:p>
    <w:p w14:paraId="3E86D56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（十六）</w:t>
      </w:r>
      <w:r>
        <w:rPr>
          <w:rFonts w:hint="eastAsia" w:ascii="仿宋" w:hAnsi="仿宋" w:eastAsia="仿宋" w:cs="仿宋"/>
          <w:color w:val="auto"/>
          <w:sz w:val="28"/>
          <w:szCs w:val="28"/>
          <w:highlight w:val="none"/>
        </w:rPr>
        <w:t>综掘机开机前没有检查</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并发出警报。在铲板前方和截割臂附近有人时启动综掘机。</w:t>
      </w:r>
    </w:p>
    <w:p w14:paraId="1EBA66B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（十七）</w:t>
      </w:r>
      <w:r>
        <w:rPr>
          <w:rFonts w:hint="eastAsia" w:ascii="仿宋" w:hAnsi="仿宋" w:eastAsia="仿宋" w:cs="仿宋"/>
          <w:color w:val="auto"/>
          <w:sz w:val="28"/>
          <w:szCs w:val="28"/>
          <w:highlight w:val="none"/>
        </w:rPr>
        <w:t>综掘机作业或检修时，在截割臂和转载桥前方或下方有人作业或停留。</w:t>
      </w:r>
    </w:p>
    <w:p w14:paraId="588BBCF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（十八）</w:t>
      </w:r>
      <w:r>
        <w:rPr>
          <w:rFonts w:hint="eastAsia" w:ascii="仿宋" w:hAnsi="仿宋" w:eastAsia="仿宋" w:cs="仿宋"/>
          <w:color w:val="auto"/>
          <w:sz w:val="28"/>
          <w:szCs w:val="28"/>
          <w:highlight w:val="none"/>
        </w:rPr>
        <w:t>综掘机司机离开操作台时未及时断开操作台停止按钮并把操作台的按钮闭锁。</w:t>
      </w:r>
    </w:p>
    <w:p w14:paraId="05A0642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（十九）</w:t>
      </w:r>
      <w:r>
        <w:rPr>
          <w:rFonts w:hint="eastAsia" w:ascii="仿宋" w:hAnsi="仿宋" w:eastAsia="仿宋" w:cs="仿宋"/>
          <w:color w:val="auto"/>
          <w:sz w:val="28"/>
          <w:szCs w:val="28"/>
          <w:highlight w:val="none"/>
        </w:rPr>
        <w:t>综掘机运行时机上的人员超规定。</w:t>
      </w:r>
    </w:p>
    <w:p w14:paraId="1DB451C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（二十）</w:t>
      </w:r>
      <w:r>
        <w:rPr>
          <w:rFonts w:hint="eastAsia" w:ascii="仿宋" w:hAnsi="仿宋" w:eastAsia="仿宋" w:cs="仿宋"/>
          <w:color w:val="auto"/>
          <w:sz w:val="28"/>
          <w:szCs w:val="28"/>
          <w:highlight w:val="none"/>
        </w:rPr>
        <w:t>综掘机切割时一次切割进尺超过措施规定。</w:t>
      </w:r>
    </w:p>
    <w:p w14:paraId="530B7E7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（二十一）</w:t>
      </w:r>
      <w:r>
        <w:rPr>
          <w:rFonts w:hint="eastAsia" w:ascii="仿宋" w:hAnsi="仿宋" w:eastAsia="仿宋" w:cs="仿宋"/>
          <w:color w:val="auto"/>
          <w:sz w:val="28"/>
          <w:szCs w:val="28"/>
          <w:highlight w:val="none"/>
        </w:rPr>
        <w:t>综掘机停电手把没有随身携带。</w:t>
      </w:r>
    </w:p>
    <w:p w14:paraId="27E2100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（二十二）</w:t>
      </w:r>
      <w:r>
        <w:rPr>
          <w:rFonts w:hint="eastAsia" w:ascii="仿宋" w:hAnsi="仿宋" w:eastAsia="仿宋" w:cs="仿宋"/>
          <w:color w:val="auto"/>
          <w:sz w:val="28"/>
          <w:szCs w:val="28"/>
          <w:highlight w:val="none"/>
        </w:rPr>
        <w:t>综掘机</w:t>
      </w:r>
      <w:r>
        <w:rPr>
          <w:rFonts w:hint="eastAsia" w:ascii="仿宋" w:hAnsi="仿宋" w:eastAsia="仿宋" w:cs="仿宋"/>
          <w:color w:val="auto"/>
          <w:sz w:val="28"/>
          <w:szCs w:val="28"/>
          <w:highlight w:val="none"/>
          <w:lang w:val="en-US" w:eastAsia="zh-CN"/>
        </w:rPr>
        <w:t>停机后没有</w:t>
      </w:r>
      <w:r>
        <w:rPr>
          <w:rFonts w:hint="eastAsia" w:ascii="仿宋" w:hAnsi="仿宋" w:eastAsia="仿宋" w:cs="仿宋"/>
          <w:color w:val="auto"/>
          <w:sz w:val="28"/>
          <w:szCs w:val="28"/>
          <w:highlight w:val="none"/>
        </w:rPr>
        <w:t>停电闭锁的。</w:t>
      </w:r>
    </w:p>
    <w:p w14:paraId="5B1048A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（二十三）</w:t>
      </w:r>
      <w:r>
        <w:rPr>
          <w:rFonts w:hint="eastAsia" w:ascii="仿宋" w:hAnsi="仿宋" w:eastAsia="仿宋" w:cs="仿宋"/>
          <w:color w:val="auto"/>
          <w:sz w:val="28"/>
          <w:szCs w:val="28"/>
          <w:highlight w:val="none"/>
        </w:rPr>
        <w:t>综掘机切割时后方没有警戒的。</w:t>
      </w:r>
    </w:p>
    <w:p w14:paraId="29CD961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（二十四）</w:t>
      </w:r>
      <w:r>
        <w:rPr>
          <w:rFonts w:hint="eastAsia" w:ascii="仿宋" w:hAnsi="仿宋" w:eastAsia="仿宋" w:cs="仿宋"/>
          <w:color w:val="auto"/>
          <w:sz w:val="28"/>
          <w:szCs w:val="28"/>
          <w:highlight w:val="none"/>
        </w:rPr>
        <w:t>综掘机转载皮带下面无防护的情况下，人员在下面作业。</w:t>
      </w:r>
    </w:p>
    <w:p w14:paraId="60BF5E7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（二十五）</w:t>
      </w:r>
      <w:r>
        <w:rPr>
          <w:rFonts w:hint="eastAsia" w:ascii="仿宋" w:hAnsi="仿宋" w:eastAsia="仿宋" w:cs="仿宋"/>
          <w:color w:val="auto"/>
          <w:sz w:val="28"/>
          <w:szCs w:val="28"/>
          <w:highlight w:val="none"/>
        </w:rPr>
        <w:t>综掘机施工的掘进工作面没有规范使用迎脸防护装置的。</w:t>
      </w:r>
      <w:bookmarkEnd w:id="166"/>
      <w:bookmarkStart w:id="313" w:name="_Toc359922480"/>
      <w:bookmarkStart w:id="314" w:name="_Toc366247678"/>
    </w:p>
    <w:p w14:paraId="1B321C72">
      <w:pPr>
        <w:rPr>
          <w:rFonts w:hint="eastAsia" w:ascii="仿宋" w:hAnsi="仿宋" w:eastAsia="仿宋" w:cs="仿宋"/>
          <w:b/>
          <w:color w:val="auto"/>
          <w:sz w:val="36"/>
          <w:szCs w:val="36"/>
          <w:highlight w:val="none"/>
          <w:lang w:val="en-US" w:eastAsia="zh-CN"/>
        </w:rPr>
      </w:pPr>
      <w:bookmarkStart w:id="315" w:name="_Toc20146"/>
      <w:bookmarkStart w:id="316" w:name="_Toc31572"/>
      <w:bookmarkStart w:id="317" w:name="_Toc30755"/>
      <w:r>
        <w:rPr>
          <w:rFonts w:hint="eastAsia" w:ascii="仿宋" w:hAnsi="仿宋" w:eastAsia="仿宋" w:cs="仿宋"/>
          <w:b/>
          <w:color w:val="auto"/>
          <w:sz w:val="36"/>
          <w:szCs w:val="36"/>
          <w:highlight w:val="none"/>
          <w:lang w:val="en-US" w:eastAsia="zh-CN"/>
        </w:rPr>
        <w:br w:type="page"/>
      </w:r>
    </w:p>
    <w:p w14:paraId="07D650A1">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rPr>
      </w:pPr>
      <w:bookmarkStart w:id="318" w:name="_Toc2122"/>
      <w:r>
        <w:rPr>
          <w:rFonts w:hint="eastAsia" w:ascii="仿宋" w:hAnsi="仿宋" w:eastAsia="仿宋" w:cs="仿宋"/>
          <w:b/>
          <w:color w:val="auto"/>
          <w:sz w:val="36"/>
          <w:szCs w:val="36"/>
          <w:highlight w:val="none"/>
          <w:lang w:val="en-US" w:eastAsia="zh-CN"/>
        </w:rPr>
        <w:t>维修</w:t>
      </w:r>
      <w:r>
        <w:rPr>
          <w:rFonts w:hint="eastAsia" w:ascii="仿宋" w:hAnsi="仿宋" w:eastAsia="仿宋" w:cs="仿宋"/>
          <w:b/>
          <w:color w:val="auto"/>
          <w:sz w:val="36"/>
          <w:szCs w:val="36"/>
          <w:highlight w:val="none"/>
        </w:rPr>
        <w:t>工</w:t>
      </w:r>
      <w:bookmarkEnd w:id="315"/>
      <w:bookmarkEnd w:id="316"/>
      <w:bookmarkEnd w:id="318"/>
    </w:p>
    <w:tbl>
      <w:tblPr>
        <w:tblStyle w:val="12"/>
        <w:tblW w:w="9020" w:type="dxa"/>
        <w:tblInd w:w="-164" w:type="dxa"/>
        <w:tblLayout w:type="fixed"/>
        <w:tblCellMar>
          <w:top w:w="0" w:type="dxa"/>
          <w:left w:w="108" w:type="dxa"/>
          <w:bottom w:w="0" w:type="dxa"/>
          <w:right w:w="108" w:type="dxa"/>
        </w:tblCellMar>
      </w:tblPr>
      <w:tblGrid>
        <w:gridCol w:w="1376"/>
        <w:gridCol w:w="2580"/>
        <w:gridCol w:w="1157"/>
        <w:gridCol w:w="3907"/>
      </w:tblGrid>
      <w:tr w14:paraId="19AB0052">
        <w:tblPrEx>
          <w:tblCellMar>
            <w:top w:w="0" w:type="dxa"/>
            <w:left w:w="108" w:type="dxa"/>
            <w:bottom w:w="0" w:type="dxa"/>
            <w:right w:w="108" w:type="dxa"/>
          </w:tblCellMar>
        </w:tblPrEx>
        <w:trPr>
          <w:trHeight w:val="346" w:hRule="atLeast"/>
        </w:trPr>
        <w:tc>
          <w:tcPr>
            <w:tcW w:w="9020" w:type="dxa"/>
            <w:gridSpan w:val="4"/>
            <w:tcBorders>
              <w:top w:val="single" w:color="auto" w:sz="4" w:space="0"/>
              <w:left w:val="single" w:color="auto" w:sz="4" w:space="0"/>
              <w:bottom w:val="single" w:color="auto" w:sz="4" w:space="0"/>
              <w:right w:val="single" w:color="auto" w:sz="4" w:space="0"/>
            </w:tcBorders>
            <w:vAlign w:val="center"/>
          </w:tcPr>
          <w:p w14:paraId="01C87FB3">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32"/>
                <w:szCs w:val="32"/>
                <w:highlight w:val="none"/>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工岗位风险告知卡</w:t>
            </w:r>
          </w:p>
        </w:tc>
      </w:tr>
      <w:tr w14:paraId="0BD04EBE">
        <w:tblPrEx>
          <w:tblCellMar>
            <w:top w:w="0" w:type="dxa"/>
            <w:left w:w="108" w:type="dxa"/>
            <w:bottom w:w="0" w:type="dxa"/>
            <w:right w:w="108" w:type="dxa"/>
          </w:tblCellMar>
        </w:tblPrEx>
        <w:trPr>
          <w:trHeight w:val="1203" w:hRule="atLeast"/>
        </w:trPr>
        <w:tc>
          <w:tcPr>
            <w:tcW w:w="1376" w:type="dxa"/>
            <w:tcBorders>
              <w:top w:val="nil"/>
              <w:left w:val="single" w:color="auto" w:sz="4" w:space="0"/>
              <w:bottom w:val="single" w:color="auto" w:sz="4" w:space="0"/>
              <w:right w:val="single" w:color="auto" w:sz="4" w:space="0"/>
            </w:tcBorders>
            <w:vAlign w:val="center"/>
          </w:tcPr>
          <w:p w14:paraId="18294CCB">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风险</w:t>
            </w:r>
          </w:p>
          <w:p w14:paraId="1912CFB4">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类型</w:t>
            </w:r>
          </w:p>
        </w:tc>
        <w:tc>
          <w:tcPr>
            <w:tcW w:w="2580" w:type="dxa"/>
            <w:tcBorders>
              <w:top w:val="nil"/>
              <w:left w:val="nil"/>
              <w:bottom w:val="single" w:color="auto" w:sz="4" w:space="0"/>
              <w:right w:val="single" w:color="auto" w:sz="4" w:space="0"/>
            </w:tcBorders>
            <w:vAlign w:val="center"/>
          </w:tcPr>
          <w:p w14:paraId="45CC06C6">
            <w:pPr>
              <w:keepNext w:val="0"/>
              <w:keepLines w:val="0"/>
              <w:pageBreakBefore w:val="0"/>
              <w:widowControl/>
              <w:kinsoku/>
              <w:wordWrap/>
              <w:overflowPunct/>
              <w:topLinePunct w:val="0"/>
              <w:autoSpaceDE/>
              <w:autoSpaceDN/>
              <w:bidi w:val="0"/>
              <w:adjustRightInd/>
              <w:snapToGrid/>
              <w:jc w:val="both"/>
              <w:textAlignment w:val="auto"/>
              <w:outlineLvl w:val="9"/>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1"/>
                <w:szCs w:val="21"/>
                <w:highlight w:val="none"/>
              </w:rPr>
              <w:t>冒顶（片帮）、机电（触电、机械伤害）</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物体打击</w:t>
            </w:r>
            <w:r>
              <w:rPr>
                <w:rFonts w:hint="eastAsia" w:ascii="仿宋" w:hAnsi="仿宋" w:eastAsia="仿宋" w:cs="仿宋"/>
                <w:color w:val="auto"/>
                <w:kern w:val="0"/>
                <w:sz w:val="21"/>
                <w:szCs w:val="21"/>
                <w:highlight w:val="none"/>
                <w:lang w:eastAsia="zh-CN"/>
              </w:rPr>
              <w:t>、高处坠落、</w:t>
            </w:r>
            <w:r>
              <w:rPr>
                <w:rFonts w:hint="eastAsia" w:ascii="仿宋" w:hAnsi="仿宋" w:eastAsia="仿宋" w:cs="仿宋"/>
                <w:color w:val="auto"/>
                <w:kern w:val="0"/>
                <w:sz w:val="21"/>
                <w:szCs w:val="21"/>
                <w:highlight w:val="none"/>
              </w:rPr>
              <w:t>职业病危害</w:t>
            </w:r>
          </w:p>
        </w:tc>
        <w:tc>
          <w:tcPr>
            <w:tcW w:w="1157" w:type="dxa"/>
            <w:tcBorders>
              <w:top w:val="nil"/>
              <w:left w:val="nil"/>
              <w:bottom w:val="single" w:color="auto" w:sz="4" w:space="0"/>
              <w:right w:val="single" w:color="auto" w:sz="4" w:space="0"/>
            </w:tcBorders>
            <w:vAlign w:val="center"/>
          </w:tcPr>
          <w:p w14:paraId="0E03B442">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事故</w:t>
            </w:r>
          </w:p>
          <w:p w14:paraId="0C9E2204">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报告</w:t>
            </w:r>
          </w:p>
        </w:tc>
        <w:tc>
          <w:tcPr>
            <w:tcW w:w="3907" w:type="dxa"/>
            <w:tcBorders>
              <w:top w:val="nil"/>
              <w:left w:val="nil"/>
              <w:bottom w:val="single" w:color="auto" w:sz="4" w:space="0"/>
              <w:right w:val="single" w:color="auto" w:sz="4" w:space="0"/>
            </w:tcBorders>
            <w:vAlign w:val="center"/>
          </w:tcPr>
          <w:p w14:paraId="2A7CA28B">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rPr>
              <w:t>工区值班：</w:t>
            </w:r>
            <w:r>
              <w:rPr>
                <w:rFonts w:hint="eastAsia" w:ascii="仿宋" w:hAnsi="仿宋" w:eastAsia="仿宋" w:cs="仿宋"/>
                <w:color w:val="auto"/>
                <w:kern w:val="0"/>
                <w:sz w:val="21"/>
                <w:szCs w:val="21"/>
                <w:highlight w:val="none"/>
                <w:lang w:val="en-US" w:eastAsia="zh-CN"/>
              </w:rPr>
              <w:t>8650159</w:t>
            </w:r>
          </w:p>
          <w:p w14:paraId="2688DFE9">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2"/>
                <w:szCs w:val="22"/>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42716A22">
        <w:tblPrEx>
          <w:tblCellMar>
            <w:top w:w="0" w:type="dxa"/>
            <w:left w:w="108" w:type="dxa"/>
            <w:bottom w:w="0" w:type="dxa"/>
            <w:right w:w="108" w:type="dxa"/>
          </w:tblCellMar>
        </w:tblPrEx>
        <w:trPr>
          <w:trHeight w:val="34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70C79630">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主要危害因素</w:t>
            </w:r>
          </w:p>
        </w:tc>
        <w:tc>
          <w:tcPr>
            <w:tcW w:w="5064" w:type="dxa"/>
            <w:gridSpan w:val="2"/>
            <w:tcBorders>
              <w:top w:val="single" w:color="auto" w:sz="4" w:space="0"/>
              <w:left w:val="nil"/>
              <w:bottom w:val="single" w:color="auto" w:sz="4" w:space="0"/>
              <w:right w:val="single" w:color="auto" w:sz="4" w:space="0"/>
            </w:tcBorders>
            <w:vAlign w:val="center"/>
          </w:tcPr>
          <w:p w14:paraId="466F0E10">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管控措施</w:t>
            </w:r>
          </w:p>
        </w:tc>
      </w:tr>
      <w:tr w14:paraId="06BD99BE">
        <w:tblPrEx>
          <w:tblCellMar>
            <w:top w:w="0" w:type="dxa"/>
            <w:left w:w="108" w:type="dxa"/>
            <w:bottom w:w="0" w:type="dxa"/>
            <w:right w:w="108" w:type="dxa"/>
          </w:tblCellMar>
        </w:tblPrEx>
        <w:trPr>
          <w:trHeight w:val="611"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3BE8B167">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1.顶帮掉落，砸伤人员</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14:paraId="057D1ED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1.严格执行敲帮问顶制度，对顶板进行重新安全确认</w:t>
            </w:r>
            <w:r>
              <w:rPr>
                <w:rFonts w:hint="eastAsia" w:ascii="仿宋" w:hAnsi="仿宋" w:eastAsia="仿宋" w:cs="仿宋"/>
                <w:color w:val="auto"/>
                <w:kern w:val="0"/>
                <w:sz w:val="21"/>
                <w:szCs w:val="21"/>
                <w:highlight w:val="none"/>
                <w:lang w:eastAsia="zh-CN"/>
              </w:rPr>
              <w:t>。</w:t>
            </w:r>
          </w:p>
        </w:tc>
      </w:tr>
      <w:tr w14:paraId="0AE0F081">
        <w:tblPrEx>
          <w:tblCellMar>
            <w:top w:w="0" w:type="dxa"/>
            <w:left w:w="108" w:type="dxa"/>
            <w:bottom w:w="0" w:type="dxa"/>
            <w:right w:w="108" w:type="dxa"/>
          </w:tblCellMar>
        </w:tblPrEx>
        <w:trPr>
          <w:trHeight w:val="842"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3FA77066">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检修时未停电</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各种保护失效</w:t>
            </w:r>
            <w:r>
              <w:rPr>
                <w:rFonts w:hint="eastAsia" w:ascii="仿宋" w:hAnsi="仿宋" w:eastAsia="仿宋" w:cs="仿宋"/>
                <w:color w:val="auto"/>
                <w:kern w:val="0"/>
                <w:sz w:val="21"/>
                <w:szCs w:val="21"/>
                <w:highlight w:val="none"/>
              </w:rPr>
              <w:t>；设备</w:t>
            </w:r>
            <w:r>
              <w:rPr>
                <w:rFonts w:hint="eastAsia" w:ascii="仿宋" w:hAnsi="仿宋" w:eastAsia="仿宋" w:cs="仿宋"/>
                <w:color w:val="auto"/>
                <w:kern w:val="0"/>
                <w:sz w:val="21"/>
                <w:szCs w:val="21"/>
                <w:highlight w:val="none"/>
                <w:lang w:val="en-US" w:eastAsia="zh-CN"/>
              </w:rPr>
              <w:t>试</w:t>
            </w:r>
            <w:r>
              <w:rPr>
                <w:rFonts w:hint="eastAsia" w:ascii="仿宋" w:hAnsi="仿宋" w:eastAsia="仿宋" w:cs="仿宋"/>
                <w:color w:val="auto"/>
                <w:kern w:val="0"/>
                <w:sz w:val="21"/>
                <w:szCs w:val="21"/>
                <w:highlight w:val="none"/>
              </w:rPr>
              <w:t>运行期间人员进入行程</w:t>
            </w:r>
            <w:r>
              <w:rPr>
                <w:rFonts w:hint="eastAsia" w:ascii="仿宋" w:hAnsi="仿宋" w:eastAsia="仿宋" w:cs="仿宋"/>
                <w:color w:val="auto"/>
                <w:kern w:val="0"/>
                <w:sz w:val="21"/>
                <w:szCs w:val="21"/>
                <w:highlight w:val="none"/>
                <w:lang w:eastAsia="zh-CN"/>
              </w:rPr>
              <w:t>；带电搬运。</w:t>
            </w:r>
          </w:p>
        </w:tc>
        <w:tc>
          <w:tcPr>
            <w:tcW w:w="5064" w:type="dxa"/>
            <w:gridSpan w:val="2"/>
            <w:tcBorders>
              <w:top w:val="single" w:color="auto" w:sz="4" w:space="0"/>
              <w:left w:val="nil"/>
              <w:bottom w:val="single" w:color="auto" w:sz="4" w:space="0"/>
              <w:right w:val="single" w:color="auto" w:sz="4" w:space="0"/>
            </w:tcBorders>
            <w:vAlign w:val="center"/>
          </w:tcPr>
          <w:p w14:paraId="337EC464">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2.严格执行好停送电制度，停电闭锁、人员监护到位；</w:t>
            </w:r>
            <w:r>
              <w:rPr>
                <w:rFonts w:hint="eastAsia" w:ascii="仿宋" w:hAnsi="仿宋" w:eastAsia="仿宋" w:cs="仿宋"/>
                <w:color w:val="auto"/>
                <w:kern w:val="0"/>
                <w:sz w:val="21"/>
                <w:szCs w:val="21"/>
                <w:highlight w:val="none"/>
                <w:lang w:val="en-US" w:eastAsia="zh-CN"/>
              </w:rPr>
              <w:t>各种保护必须完整好用</w:t>
            </w:r>
            <w:r>
              <w:rPr>
                <w:rFonts w:hint="eastAsia" w:ascii="仿宋" w:hAnsi="仿宋" w:eastAsia="仿宋" w:cs="仿宋"/>
                <w:color w:val="auto"/>
                <w:kern w:val="0"/>
                <w:sz w:val="21"/>
                <w:szCs w:val="21"/>
                <w:highlight w:val="none"/>
              </w:rPr>
              <w:t>；做好清人制度</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lang w:val="en-US" w:eastAsia="zh-CN"/>
              </w:rPr>
              <w:t>严禁带电搬运设备</w:t>
            </w:r>
            <w:r>
              <w:rPr>
                <w:rFonts w:hint="eastAsia" w:ascii="仿宋" w:hAnsi="仿宋" w:eastAsia="仿宋" w:cs="仿宋"/>
                <w:color w:val="auto"/>
                <w:kern w:val="0"/>
                <w:sz w:val="21"/>
                <w:szCs w:val="21"/>
                <w:highlight w:val="none"/>
                <w:lang w:eastAsia="zh-CN"/>
              </w:rPr>
              <w:t>。</w:t>
            </w:r>
          </w:p>
        </w:tc>
      </w:tr>
      <w:tr w14:paraId="137E8469">
        <w:tblPrEx>
          <w:tblCellMar>
            <w:top w:w="0" w:type="dxa"/>
            <w:left w:w="108" w:type="dxa"/>
            <w:bottom w:w="0" w:type="dxa"/>
            <w:right w:w="108" w:type="dxa"/>
          </w:tblCellMar>
        </w:tblPrEx>
        <w:trPr>
          <w:trHeight w:val="619"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701949DA">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val="en-US" w:eastAsia="zh-CN"/>
              </w:rPr>
              <w:t>维</w:t>
            </w:r>
            <w:r>
              <w:rPr>
                <w:rFonts w:hint="eastAsia" w:ascii="仿宋" w:hAnsi="仿宋" w:eastAsia="仿宋" w:cs="仿宋"/>
                <w:color w:val="auto"/>
                <w:kern w:val="0"/>
                <w:sz w:val="21"/>
                <w:szCs w:val="21"/>
                <w:highlight w:val="none"/>
              </w:rPr>
              <w:t>修时使用风动工具时与管路间连接不牢，管头甩出打人；人员站位不当</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14:paraId="18320E5B">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3.与管路连接后必须用专用卡子进行固定；人员合理站位</w:t>
            </w:r>
            <w:r>
              <w:rPr>
                <w:rFonts w:hint="eastAsia" w:ascii="仿宋" w:hAnsi="仿宋" w:eastAsia="仿宋" w:cs="仿宋"/>
                <w:color w:val="auto"/>
                <w:kern w:val="0"/>
                <w:sz w:val="21"/>
                <w:szCs w:val="21"/>
                <w:highlight w:val="none"/>
                <w:lang w:eastAsia="zh-CN"/>
              </w:rPr>
              <w:t>。</w:t>
            </w:r>
          </w:p>
        </w:tc>
      </w:tr>
      <w:tr w14:paraId="00A99F51">
        <w:tblPrEx>
          <w:tblCellMar>
            <w:top w:w="0" w:type="dxa"/>
            <w:left w:w="108" w:type="dxa"/>
            <w:bottom w:w="0" w:type="dxa"/>
            <w:right w:w="108" w:type="dxa"/>
          </w:tblCellMar>
        </w:tblPrEx>
        <w:trPr>
          <w:trHeight w:val="581"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39CE45FB">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4.人员</w:t>
            </w:r>
            <w:r>
              <w:rPr>
                <w:rFonts w:hint="eastAsia" w:ascii="仿宋" w:hAnsi="仿宋" w:eastAsia="仿宋" w:cs="仿宋"/>
                <w:color w:val="auto"/>
                <w:kern w:val="0"/>
                <w:sz w:val="21"/>
                <w:szCs w:val="21"/>
                <w:highlight w:val="none"/>
                <w:lang w:val="en-US" w:eastAsia="zh-CN"/>
              </w:rPr>
              <w:t>维</w:t>
            </w:r>
            <w:r>
              <w:rPr>
                <w:rFonts w:hint="eastAsia" w:ascii="仿宋" w:hAnsi="仿宋" w:eastAsia="仿宋" w:cs="仿宋"/>
                <w:color w:val="auto"/>
                <w:kern w:val="0"/>
                <w:sz w:val="21"/>
                <w:szCs w:val="21"/>
                <w:highlight w:val="none"/>
              </w:rPr>
              <w:t>修时，登高作业</w:t>
            </w:r>
            <w:r>
              <w:rPr>
                <w:rFonts w:hint="eastAsia" w:ascii="仿宋" w:hAnsi="仿宋" w:eastAsia="仿宋" w:cs="仿宋"/>
                <w:color w:val="auto"/>
                <w:kern w:val="0"/>
                <w:sz w:val="21"/>
                <w:szCs w:val="21"/>
                <w:highlight w:val="none"/>
                <w:lang w:eastAsia="zh-CN"/>
              </w:rPr>
              <w:t>；作业平台施打不牢固。</w:t>
            </w:r>
          </w:p>
        </w:tc>
        <w:tc>
          <w:tcPr>
            <w:tcW w:w="5064" w:type="dxa"/>
            <w:gridSpan w:val="2"/>
            <w:tcBorders>
              <w:top w:val="single" w:color="auto" w:sz="4" w:space="0"/>
              <w:left w:val="nil"/>
              <w:bottom w:val="single" w:color="auto" w:sz="4" w:space="0"/>
              <w:right w:val="single" w:color="auto" w:sz="4" w:space="0"/>
            </w:tcBorders>
            <w:vAlign w:val="center"/>
          </w:tcPr>
          <w:p w14:paraId="776488DF">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4.人员</w:t>
            </w:r>
            <w:r>
              <w:rPr>
                <w:rFonts w:hint="eastAsia" w:ascii="仿宋" w:hAnsi="仿宋" w:eastAsia="仿宋" w:cs="仿宋"/>
                <w:color w:val="auto"/>
                <w:kern w:val="0"/>
                <w:sz w:val="21"/>
                <w:szCs w:val="21"/>
                <w:highlight w:val="none"/>
                <w:lang w:val="en-US" w:eastAsia="zh-CN"/>
              </w:rPr>
              <w:t>登</w:t>
            </w:r>
            <w:r>
              <w:rPr>
                <w:rFonts w:hint="eastAsia" w:ascii="仿宋" w:hAnsi="仿宋" w:eastAsia="仿宋" w:cs="仿宋"/>
                <w:color w:val="auto"/>
                <w:kern w:val="0"/>
                <w:sz w:val="21"/>
                <w:szCs w:val="21"/>
                <w:highlight w:val="none"/>
              </w:rPr>
              <w:t>高时，必须安排人员监护</w:t>
            </w:r>
            <w:r>
              <w:rPr>
                <w:rFonts w:hint="eastAsia" w:ascii="仿宋" w:hAnsi="仿宋" w:eastAsia="仿宋" w:cs="仿宋"/>
                <w:color w:val="auto"/>
                <w:kern w:val="0"/>
                <w:sz w:val="21"/>
                <w:szCs w:val="21"/>
                <w:highlight w:val="none"/>
                <w:lang w:eastAsia="zh-CN"/>
              </w:rPr>
              <w:t>；作业平台的施打必须牢固可靠。</w:t>
            </w:r>
          </w:p>
        </w:tc>
      </w:tr>
      <w:tr w14:paraId="41FA33BC">
        <w:tblPrEx>
          <w:tblCellMar>
            <w:top w:w="0" w:type="dxa"/>
            <w:left w:w="108" w:type="dxa"/>
            <w:bottom w:w="0" w:type="dxa"/>
            <w:right w:w="108" w:type="dxa"/>
          </w:tblCellMar>
        </w:tblPrEx>
        <w:trPr>
          <w:trHeight w:val="34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14:paraId="465FF2E3">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5.未佩戴防尘口罩等劳保用品</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14:paraId="6B4CC86B">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5.佩戴防尘口罩等劳保用品</w:t>
            </w:r>
            <w:r>
              <w:rPr>
                <w:rFonts w:hint="eastAsia" w:ascii="仿宋" w:hAnsi="仿宋" w:eastAsia="仿宋" w:cs="仿宋"/>
                <w:color w:val="auto"/>
                <w:kern w:val="0"/>
                <w:sz w:val="21"/>
                <w:szCs w:val="21"/>
                <w:highlight w:val="none"/>
                <w:lang w:eastAsia="zh-CN"/>
              </w:rPr>
              <w:t>。</w:t>
            </w:r>
          </w:p>
        </w:tc>
      </w:tr>
      <w:tr w14:paraId="30D7AB9B">
        <w:tblPrEx>
          <w:tblCellMar>
            <w:top w:w="0" w:type="dxa"/>
            <w:left w:w="108" w:type="dxa"/>
            <w:bottom w:w="0" w:type="dxa"/>
            <w:right w:w="108" w:type="dxa"/>
          </w:tblCellMar>
        </w:tblPrEx>
        <w:trPr>
          <w:trHeight w:val="1091" w:hRule="atLeast"/>
        </w:trPr>
        <w:tc>
          <w:tcPr>
            <w:tcW w:w="1376" w:type="dxa"/>
            <w:tcBorders>
              <w:top w:val="single" w:color="auto" w:sz="4" w:space="0"/>
              <w:left w:val="single" w:color="auto" w:sz="4" w:space="0"/>
              <w:bottom w:val="single" w:color="auto" w:sz="4" w:space="0"/>
              <w:right w:val="single" w:color="auto" w:sz="4" w:space="0"/>
            </w:tcBorders>
            <w:vAlign w:val="center"/>
          </w:tcPr>
          <w:p w14:paraId="2B6C75DD">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7867D7F3">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644" w:type="dxa"/>
            <w:gridSpan w:val="3"/>
            <w:tcBorders>
              <w:top w:val="single" w:color="auto" w:sz="4" w:space="0"/>
              <w:left w:val="nil"/>
              <w:bottom w:val="single" w:color="auto" w:sz="4" w:space="0"/>
              <w:right w:val="single" w:color="auto" w:sz="4" w:space="0"/>
            </w:tcBorders>
            <w:vAlign w:val="center"/>
          </w:tcPr>
          <w:p w14:paraId="3E01532C">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19376C6F">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06486615">
        <w:tblPrEx>
          <w:tblCellMar>
            <w:top w:w="0" w:type="dxa"/>
            <w:left w:w="108" w:type="dxa"/>
            <w:bottom w:w="0" w:type="dxa"/>
            <w:right w:w="108" w:type="dxa"/>
          </w:tblCellMar>
        </w:tblPrEx>
        <w:trPr>
          <w:trHeight w:val="1363" w:hRule="atLeast"/>
        </w:trPr>
        <w:tc>
          <w:tcPr>
            <w:tcW w:w="1376" w:type="dxa"/>
            <w:tcBorders>
              <w:top w:val="single" w:color="auto" w:sz="4" w:space="0"/>
              <w:left w:val="single" w:color="auto" w:sz="4" w:space="0"/>
              <w:bottom w:val="single" w:color="auto" w:sz="4" w:space="0"/>
              <w:right w:val="single" w:color="auto" w:sz="4" w:space="0"/>
            </w:tcBorders>
            <w:vAlign w:val="center"/>
          </w:tcPr>
          <w:p w14:paraId="5334B4AA">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14:paraId="0529CFCC">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14:paraId="006AF0B4">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644" w:type="dxa"/>
            <w:gridSpan w:val="3"/>
            <w:tcBorders>
              <w:top w:val="single" w:color="auto" w:sz="4" w:space="0"/>
              <w:left w:val="nil"/>
              <w:bottom w:val="single" w:color="auto" w:sz="4" w:space="0"/>
              <w:right w:val="single" w:color="auto" w:sz="4" w:space="0"/>
            </w:tcBorders>
            <w:vAlign w:val="center"/>
          </w:tcPr>
          <w:p w14:paraId="2874FEBD">
            <w:pPr>
              <w:keepNext w:val="0"/>
              <w:keepLines w:val="0"/>
              <w:pageBreakBefore w:val="0"/>
              <w:widowControl/>
              <w:numPr>
                <w:ilvl w:val="0"/>
                <w:numId w:val="0"/>
              </w:numPr>
              <w:kinsoku/>
              <w:wordWrap/>
              <w:overflowPunct/>
              <w:topLinePunct w:val="0"/>
              <w:autoSpaceDE/>
              <w:autoSpaceDN/>
              <w:bidi w:val="0"/>
              <w:adjustRightInd/>
              <w:snapToGrid/>
              <w:ind w:firstLine="210" w:firstLineChars="100"/>
              <w:jc w:val="left"/>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出现紧急情况时，应立即停止工作，采取安全处理后，方可继续施工。</w:t>
            </w:r>
          </w:p>
          <w:p w14:paraId="6F2CC54B">
            <w:pPr>
              <w:keepNext w:val="0"/>
              <w:keepLines w:val="0"/>
              <w:pageBreakBefore w:val="0"/>
              <w:widowControl/>
              <w:numPr>
                <w:ilvl w:val="0"/>
                <w:numId w:val="0"/>
              </w:numPr>
              <w:kinsoku/>
              <w:wordWrap/>
              <w:overflowPunct/>
              <w:topLinePunct w:val="0"/>
              <w:autoSpaceDE/>
              <w:autoSpaceDN/>
              <w:bidi w:val="0"/>
              <w:adjustRightInd/>
              <w:snapToGrid/>
              <w:ind w:firstLine="210" w:firstLineChars="1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29C03CC8">
      <w:pPr>
        <w:pStyle w:val="2"/>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015" w:type="dxa"/>
        <w:tblInd w:w="-164" w:type="dxa"/>
        <w:tblLayout w:type="fixed"/>
        <w:tblCellMar>
          <w:top w:w="0" w:type="dxa"/>
          <w:left w:w="108" w:type="dxa"/>
          <w:bottom w:w="0" w:type="dxa"/>
          <w:right w:w="108" w:type="dxa"/>
        </w:tblCellMar>
      </w:tblPr>
      <w:tblGrid>
        <w:gridCol w:w="3969"/>
        <w:gridCol w:w="5046"/>
      </w:tblGrid>
      <w:tr w14:paraId="1A59ADB8">
        <w:tblPrEx>
          <w:tblCellMar>
            <w:top w:w="0" w:type="dxa"/>
            <w:left w:w="108" w:type="dxa"/>
            <w:bottom w:w="0" w:type="dxa"/>
            <w:right w:w="108" w:type="dxa"/>
          </w:tblCellMar>
        </w:tblPrEx>
        <w:trPr>
          <w:trHeight w:val="835" w:hRule="atLeast"/>
        </w:trPr>
        <w:tc>
          <w:tcPr>
            <w:tcW w:w="9015" w:type="dxa"/>
            <w:gridSpan w:val="2"/>
            <w:tcBorders>
              <w:top w:val="single" w:color="auto" w:sz="4" w:space="0"/>
              <w:left w:val="single" w:color="auto" w:sz="4" w:space="0"/>
              <w:bottom w:val="single" w:color="auto" w:sz="4" w:space="0"/>
              <w:right w:val="single" w:color="auto" w:sz="4" w:space="0"/>
            </w:tcBorders>
            <w:vAlign w:val="center"/>
          </w:tcPr>
          <w:p w14:paraId="6E36C93B">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b/>
                <w:bCs/>
                <w:color w:val="auto"/>
                <w:kern w:val="0"/>
                <w:sz w:val="21"/>
                <w:szCs w:val="21"/>
                <w:highlight w:val="none"/>
                <w:lang w:val="en-US" w:eastAsia="zh-CN"/>
              </w:rPr>
              <w:t>维修</w:t>
            </w:r>
            <w:r>
              <w:rPr>
                <w:rFonts w:hint="eastAsia" w:ascii="仿宋" w:hAnsi="仿宋" w:eastAsia="仿宋" w:cs="仿宋"/>
                <w:b/>
                <w:bCs/>
                <w:color w:val="auto"/>
                <w:kern w:val="0"/>
                <w:sz w:val="21"/>
                <w:szCs w:val="21"/>
                <w:highlight w:val="none"/>
              </w:rPr>
              <w:t>工安全提示卡</w:t>
            </w:r>
          </w:p>
        </w:tc>
      </w:tr>
      <w:tr w14:paraId="07F615D7">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14:paraId="10FA4D18">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前</w:t>
            </w:r>
            <w:r>
              <w:rPr>
                <w:rFonts w:hint="eastAsia" w:ascii="仿宋" w:hAnsi="仿宋" w:eastAsia="仿宋" w:cs="仿宋"/>
                <w:color w:val="auto"/>
                <w:kern w:val="0"/>
                <w:sz w:val="21"/>
                <w:szCs w:val="21"/>
                <w:highlight w:val="none"/>
                <w:lang w:val="en-US" w:eastAsia="zh-CN"/>
              </w:rPr>
              <w:t>检查</w:t>
            </w:r>
          </w:p>
        </w:tc>
        <w:tc>
          <w:tcPr>
            <w:tcW w:w="5046" w:type="dxa"/>
            <w:tcBorders>
              <w:top w:val="single" w:color="auto" w:sz="4" w:space="0"/>
              <w:left w:val="single" w:color="auto" w:sz="4" w:space="0"/>
              <w:bottom w:val="single" w:color="auto" w:sz="4" w:space="0"/>
              <w:right w:val="single" w:color="auto" w:sz="4" w:space="0"/>
            </w:tcBorders>
            <w:vAlign w:val="center"/>
          </w:tcPr>
          <w:p w14:paraId="6B381532">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后</w:t>
            </w:r>
            <w:r>
              <w:rPr>
                <w:rFonts w:hint="eastAsia" w:ascii="仿宋" w:hAnsi="仿宋" w:eastAsia="仿宋" w:cs="仿宋"/>
                <w:color w:val="auto"/>
                <w:kern w:val="0"/>
                <w:sz w:val="21"/>
                <w:szCs w:val="21"/>
                <w:highlight w:val="none"/>
                <w:lang w:val="en-US" w:eastAsia="zh-CN"/>
              </w:rPr>
              <w:t>确认</w:t>
            </w:r>
          </w:p>
        </w:tc>
      </w:tr>
      <w:tr w14:paraId="4E71856F">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14:paraId="3453A925">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5046" w:type="dxa"/>
            <w:tcBorders>
              <w:top w:val="single" w:color="auto" w:sz="4" w:space="0"/>
              <w:left w:val="single" w:color="auto" w:sz="4" w:space="0"/>
              <w:bottom w:val="single" w:color="auto" w:sz="4" w:space="0"/>
              <w:right w:val="single" w:color="auto" w:sz="4" w:space="0"/>
            </w:tcBorders>
            <w:vAlign w:val="center"/>
          </w:tcPr>
          <w:p w14:paraId="31371D65">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1.零部件、连接</w:t>
            </w:r>
          </w:p>
        </w:tc>
      </w:tr>
      <w:tr w14:paraId="5519CA18">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14:paraId="18846CAD">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2.停电闭锁</w:t>
            </w:r>
          </w:p>
        </w:tc>
        <w:tc>
          <w:tcPr>
            <w:tcW w:w="5046" w:type="dxa"/>
            <w:tcBorders>
              <w:top w:val="single" w:color="auto" w:sz="4" w:space="0"/>
              <w:left w:val="single" w:color="auto" w:sz="4" w:space="0"/>
              <w:bottom w:val="single" w:color="auto" w:sz="4" w:space="0"/>
              <w:right w:val="single" w:color="auto" w:sz="4" w:space="0"/>
            </w:tcBorders>
            <w:vAlign w:val="center"/>
          </w:tcPr>
          <w:p w14:paraId="77BAEED8">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2.</w:t>
            </w:r>
            <w:r>
              <w:rPr>
                <w:rFonts w:hint="eastAsia" w:ascii="仿宋" w:hAnsi="仿宋" w:eastAsia="仿宋" w:cs="仿宋"/>
                <w:color w:val="auto"/>
                <w:kern w:val="0"/>
                <w:sz w:val="21"/>
                <w:szCs w:val="21"/>
                <w:highlight w:val="none"/>
                <w:lang w:val="en-US" w:eastAsia="zh-CN"/>
              </w:rPr>
              <w:t>工具、材料、备件</w:t>
            </w:r>
          </w:p>
        </w:tc>
      </w:tr>
      <w:tr w14:paraId="1670D32E">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14:paraId="3CF331F8">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 xml:space="preserve">  3.甲烷</w:t>
            </w:r>
          </w:p>
        </w:tc>
        <w:tc>
          <w:tcPr>
            <w:tcW w:w="5046" w:type="dxa"/>
            <w:tcBorders>
              <w:top w:val="single" w:color="auto" w:sz="4" w:space="0"/>
              <w:left w:val="single" w:color="auto" w:sz="4" w:space="0"/>
              <w:bottom w:val="single" w:color="auto" w:sz="4" w:space="0"/>
              <w:right w:val="single" w:color="auto" w:sz="4" w:space="0"/>
            </w:tcBorders>
            <w:vAlign w:val="center"/>
          </w:tcPr>
          <w:p w14:paraId="7F544427">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3.</w:t>
            </w:r>
            <w:r>
              <w:rPr>
                <w:rFonts w:hint="eastAsia" w:ascii="仿宋" w:hAnsi="仿宋" w:eastAsia="仿宋" w:cs="仿宋"/>
                <w:color w:val="auto"/>
                <w:kern w:val="0"/>
                <w:sz w:val="21"/>
                <w:szCs w:val="21"/>
                <w:highlight w:val="none"/>
                <w:lang w:val="en-US" w:eastAsia="zh-CN"/>
              </w:rPr>
              <w:t>送电试运转</w:t>
            </w:r>
          </w:p>
        </w:tc>
      </w:tr>
      <w:tr w14:paraId="1ABA8258">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14:paraId="7B0CE59D">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lang w:val="en-US" w:eastAsia="zh-CN"/>
              </w:rPr>
              <w:t>4.了解故障部位、性质</w:t>
            </w:r>
          </w:p>
        </w:tc>
        <w:tc>
          <w:tcPr>
            <w:tcW w:w="5046" w:type="dxa"/>
            <w:tcBorders>
              <w:top w:val="single" w:color="auto" w:sz="4" w:space="0"/>
              <w:left w:val="single" w:color="auto" w:sz="4" w:space="0"/>
              <w:bottom w:val="single" w:color="auto" w:sz="4" w:space="0"/>
              <w:right w:val="single" w:color="auto" w:sz="4" w:space="0"/>
            </w:tcBorders>
            <w:vAlign w:val="center"/>
          </w:tcPr>
          <w:p w14:paraId="39969921">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停电闭锁</w:t>
            </w:r>
          </w:p>
        </w:tc>
      </w:tr>
      <w:tr w14:paraId="7D253706">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14:paraId="64A1105B">
            <w:pPr>
              <w:keepNext w:val="0"/>
              <w:keepLines w:val="0"/>
              <w:pageBreakBefore w:val="0"/>
              <w:widowControl/>
              <w:kinsoku/>
              <w:wordWrap/>
              <w:overflowPunct/>
              <w:topLinePunct w:val="0"/>
              <w:autoSpaceDE/>
              <w:autoSpaceDN/>
              <w:bidi w:val="0"/>
              <w:adjustRightInd/>
              <w:snapToGrid/>
              <w:ind w:firstLine="630" w:firstLineChars="3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5.工具、材料、备件</w:t>
            </w:r>
          </w:p>
        </w:tc>
        <w:tc>
          <w:tcPr>
            <w:tcW w:w="5046" w:type="dxa"/>
            <w:tcBorders>
              <w:top w:val="single" w:color="auto" w:sz="4" w:space="0"/>
              <w:left w:val="nil"/>
              <w:bottom w:val="single" w:color="auto" w:sz="4" w:space="0"/>
              <w:right w:val="single" w:color="auto" w:sz="4" w:space="0"/>
            </w:tcBorders>
            <w:vAlign w:val="center"/>
          </w:tcPr>
          <w:p w14:paraId="0ADA7996">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p>
        </w:tc>
      </w:tr>
      <w:tr w14:paraId="70BE7FE1">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14:paraId="2F86C472">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lang w:val="en-US" w:eastAsia="zh-CN"/>
              </w:rPr>
              <w:t xml:space="preserve"> 6.清理维修设备现场杂物</w:t>
            </w:r>
          </w:p>
        </w:tc>
        <w:tc>
          <w:tcPr>
            <w:tcW w:w="5046" w:type="dxa"/>
            <w:vMerge w:val="restart"/>
            <w:tcBorders>
              <w:top w:val="single" w:color="auto" w:sz="4" w:space="0"/>
              <w:left w:val="single" w:color="auto" w:sz="4" w:space="0"/>
              <w:bottom w:val="single" w:color="auto" w:sz="4" w:space="0"/>
              <w:right w:val="single" w:color="auto" w:sz="4" w:space="0"/>
            </w:tcBorders>
            <w:vAlign w:val="center"/>
          </w:tcPr>
          <w:p w14:paraId="2441A55A">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注：第一次按操作前内容逐项检查并确认，存在问题整改后再确认；中间再次操作只检查带“★”部分；任务全部结束后按操作后内容逐项检查并确认。</w:t>
            </w:r>
          </w:p>
        </w:tc>
      </w:tr>
      <w:tr w14:paraId="5AB3D814">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14:paraId="3EB5FD0C">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7.口罩</w:t>
            </w:r>
          </w:p>
        </w:tc>
        <w:tc>
          <w:tcPr>
            <w:tcW w:w="5046" w:type="dxa"/>
            <w:vMerge w:val="continue"/>
            <w:tcBorders>
              <w:top w:val="single" w:color="auto" w:sz="4" w:space="0"/>
              <w:left w:val="single" w:color="auto" w:sz="4" w:space="0"/>
              <w:bottom w:val="single" w:color="auto" w:sz="4" w:space="0"/>
              <w:right w:val="single" w:color="auto" w:sz="4" w:space="0"/>
            </w:tcBorders>
            <w:vAlign w:val="center"/>
          </w:tcPr>
          <w:p w14:paraId="72E66504">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r w14:paraId="186518F5">
        <w:tblPrEx>
          <w:tblCellMar>
            <w:top w:w="0" w:type="dxa"/>
            <w:left w:w="108" w:type="dxa"/>
            <w:bottom w:w="0" w:type="dxa"/>
            <w:right w:w="108" w:type="dxa"/>
          </w:tblCellMar>
        </w:tblPrEx>
        <w:trPr>
          <w:trHeight w:val="437" w:hRule="atLeast"/>
        </w:trPr>
        <w:tc>
          <w:tcPr>
            <w:tcW w:w="3969" w:type="dxa"/>
            <w:tcBorders>
              <w:top w:val="single" w:color="auto" w:sz="4" w:space="0"/>
              <w:left w:val="single" w:color="auto" w:sz="4" w:space="0"/>
              <w:bottom w:val="single" w:color="auto" w:sz="4" w:space="0"/>
              <w:right w:val="single" w:color="auto" w:sz="4" w:space="0"/>
            </w:tcBorders>
            <w:vAlign w:val="center"/>
          </w:tcPr>
          <w:p w14:paraId="4D9BA7C3">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★8.</w:t>
            </w:r>
            <w:r>
              <w:rPr>
                <w:rFonts w:hint="eastAsia" w:ascii="仿宋" w:hAnsi="仿宋" w:eastAsia="仿宋" w:cs="仿宋"/>
                <w:color w:val="auto"/>
                <w:kern w:val="0"/>
                <w:sz w:val="21"/>
                <w:szCs w:val="21"/>
                <w:highlight w:val="none"/>
                <w:lang w:val="en-US" w:eastAsia="zh-CN"/>
              </w:rPr>
              <w:t>站位</w:t>
            </w:r>
          </w:p>
        </w:tc>
        <w:tc>
          <w:tcPr>
            <w:tcW w:w="5046" w:type="dxa"/>
            <w:vMerge w:val="continue"/>
            <w:tcBorders>
              <w:top w:val="single" w:color="auto" w:sz="4" w:space="0"/>
              <w:left w:val="single" w:color="auto" w:sz="4" w:space="0"/>
              <w:bottom w:val="single" w:color="auto" w:sz="4" w:space="0"/>
              <w:right w:val="single" w:color="auto" w:sz="4" w:space="0"/>
            </w:tcBorders>
            <w:vAlign w:val="center"/>
          </w:tcPr>
          <w:p w14:paraId="476BC2FE">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bl>
    <w:p w14:paraId="3A996CB9">
      <w:pPr>
        <w:pStyle w:val="2"/>
        <w:keepNext w:val="0"/>
        <w:keepLines w:val="0"/>
        <w:pageBreakBefore w:val="0"/>
        <w:kinsoku/>
        <w:wordWrap/>
        <w:overflowPunct/>
        <w:topLinePunct w:val="0"/>
        <w:autoSpaceDE/>
        <w:autoSpaceDN/>
        <w:bidi w:val="0"/>
        <w:adjustRightInd/>
        <w:snapToGrid/>
        <w:ind w:left="0" w:leftChars="0" w:firstLine="0" w:firstLineChars="0"/>
        <w:textAlignment w:val="auto"/>
        <w:outlineLvl w:val="9"/>
        <w:rPr>
          <w:color w:val="auto"/>
        </w:rPr>
      </w:pPr>
    </w:p>
    <w:tbl>
      <w:tblPr>
        <w:tblStyle w:val="12"/>
        <w:tblW w:w="9045" w:type="dxa"/>
        <w:tblInd w:w="-164" w:type="dxa"/>
        <w:tblLayout w:type="fixed"/>
        <w:tblCellMar>
          <w:top w:w="0" w:type="dxa"/>
          <w:left w:w="108" w:type="dxa"/>
          <w:bottom w:w="0" w:type="dxa"/>
          <w:right w:w="108" w:type="dxa"/>
        </w:tblCellMar>
      </w:tblPr>
      <w:tblGrid>
        <w:gridCol w:w="1535"/>
        <w:gridCol w:w="1292"/>
        <w:gridCol w:w="6218"/>
      </w:tblGrid>
      <w:tr w14:paraId="5545E549">
        <w:tblPrEx>
          <w:tblCellMar>
            <w:top w:w="0" w:type="dxa"/>
            <w:left w:w="108" w:type="dxa"/>
            <w:bottom w:w="0" w:type="dxa"/>
            <w:right w:w="108" w:type="dxa"/>
          </w:tblCellMar>
        </w:tblPrEx>
        <w:trPr>
          <w:trHeight w:val="90" w:hRule="atLeast"/>
        </w:trPr>
        <w:tc>
          <w:tcPr>
            <w:tcW w:w="9045" w:type="dxa"/>
            <w:gridSpan w:val="3"/>
            <w:tcBorders>
              <w:top w:val="single" w:color="auto" w:sz="4" w:space="0"/>
              <w:left w:val="single" w:color="auto" w:sz="4" w:space="0"/>
              <w:bottom w:val="single" w:color="auto" w:sz="4" w:space="0"/>
              <w:right w:val="single" w:color="auto" w:sz="4" w:space="0"/>
            </w:tcBorders>
            <w:vAlign w:val="center"/>
          </w:tcPr>
          <w:p w14:paraId="20163310">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b/>
                <w:bCs/>
                <w:color w:val="auto"/>
                <w:kern w:val="0"/>
                <w:sz w:val="28"/>
                <w:szCs w:val="28"/>
                <w:highlight w:val="none"/>
              </w:rPr>
            </w:pPr>
            <w:r>
              <w:rPr>
                <w:rFonts w:hint="eastAsia" w:ascii="仿宋" w:hAnsi="仿宋" w:eastAsia="仿宋" w:cs="仿宋"/>
                <w:b/>
                <w:bCs/>
                <w:color w:val="auto"/>
                <w:kern w:val="0"/>
                <w:sz w:val="21"/>
                <w:szCs w:val="21"/>
                <w:highlight w:val="none"/>
                <w:lang w:val="en-US" w:eastAsia="zh-CN"/>
              </w:rPr>
              <w:t>维修工操作过程注意事项</w:t>
            </w:r>
          </w:p>
        </w:tc>
      </w:tr>
      <w:tr w14:paraId="75F4C452">
        <w:tblPrEx>
          <w:tblCellMar>
            <w:top w:w="0" w:type="dxa"/>
            <w:left w:w="108" w:type="dxa"/>
            <w:bottom w:w="0" w:type="dxa"/>
            <w:right w:w="108" w:type="dxa"/>
          </w:tblCellMar>
        </w:tblPrEx>
        <w:trPr>
          <w:trHeight w:val="90" w:hRule="atLeast"/>
        </w:trPr>
        <w:tc>
          <w:tcPr>
            <w:tcW w:w="1535" w:type="dxa"/>
            <w:tcBorders>
              <w:top w:val="single" w:color="auto" w:sz="4" w:space="0"/>
              <w:left w:val="single" w:color="auto" w:sz="4" w:space="0"/>
              <w:bottom w:val="single" w:color="auto" w:sz="4" w:space="0"/>
              <w:right w:val="single" w:color="auto" w:sz="4" w:space="0"/>
            </w:tcBorders>
            <w:vAlign w:val="center"/>
          </w:tcPr>
          <w:p w14:paraId="064EA84A">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操作顺序</w:t>
            </w:r>
          </w:p>
        </w:tc>
        <w:tc>
          <w:tcPr>
            <w:tcW w:w="1292" w:type="dxa"/>
            <w:tcBorders>
              <w:top w:val="single" w:color="auto" w:sz="4" w:space="0"/>
              <w:left w:val="nil"/>
              <w:bottom w:val="single" w:color="auto" w:sz="4" w:space="0"/>
              <w:right w:val="single" w:color="auto" w:sz="4" w:space="0"/>
            </w:tcBorders>
            <w:vAlign w:val="center"/>
          </w:tcPr>
          <w:p w14:paraId="6F1153AF">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提示词</w:t>
            </w:r>
          </w:p>
        </w:tc>
        <w:tc>
          <w:tcPr>
            <w:tcW w:w="6218" w:type="dxa"/>
            <w:tcBorders>
              <w:top w:val="single" w:color="auto" w:sz="4" w:space="0"/>
              <w:left w:val="nil"/>
              <w:bottom w:val="single" w:color="auto" w:sz="4" w:space="0"/>
              <w:right w:val="single" w:color="auto" w:sz="4" w:space="0"/>
            </w:tcBorders>
            <w:vAlign w:val="center"/>
          </w:tcPr>
          <w:p w14:paraId="52A73ACA">
            <w:pPr>
              <w:keepNext w:val="0"/>
              <w:keepLines w:val="0"/>
              <w:pageBreakBefore w:val="0"/>
              <w:widowControl/>
              <w:kinsoku/>
              <w:wordWrap/>
              <w:overflowPunct/>
              <w:topLinePunct w:val="0"/>
              <w:autoSpaceDE/>
              <w:autoSpaceDN/>
              <w:bidi w:val="0"/>
              <w:adjustRightInd/>
              <w:snapToGrid/>
              <w:ind w:firstLine="482" w:firstLineChars="200"/>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操作注意事项解释</w:t>
            </w:r>
          </w:p>
        </w:tc>
      </w:tr>
      <w:tr w14:paraId="3C2CD98D">
        <w:tblPrEx>
          <w:tblCellMar>
            <w:top w:w="0" w:type="dxa"/>
            <w:left w:w="108" w:type="dxa"/>
            <w:bottom w:w="0" w:type="dxa"/>
            <w:right w:w="108" w:type="dxa"/>
          </w:tblCellMar>
        </w:tblPrEx>
        <w:trPr>
          <w:trHeight w:val="90" w:hRule="atLeast"/>
        </w:trPr>
        <w:tc>
          <w:tcPr>
            <w:tcW w:w="1535" w:type="dxa"/>
            <w:vMerge w:val="restart"/>
            <w:tcBorders>
              <w:top w:val="nil"/>
              <w:left w:val="single" w:color="auto" w:sz="4" w:space="0"/>
              <w:right w:val="single" w:color="auto" w:sz="4" w:space="0"/>
            </w:tcBorders>
            <w:vAlign w:val="center"/>
          </w:tcPr>
          <w:p w14:paraId="47E8355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维修</w:t>
            </w:r>
          </w:p>
        </w:tc>
        <w:tc>
          <w:tcPr>
            <w:tcW w:w="1292" w:type="dxa"/>
            <w:tcBorders>
              <w:top w:val="nil"/>
              <w:left w:val="nil"/>
              <w:bottom w:val="single" w:color="auto" w:sz="4" w:space="0"/>
              <w:right w:val="single" w:color="auto" w:sz="4" w:space="0"/>
            </w:tcBorders>
            <w:vAlign w:val="center"/>
          </w:tcPr>
          <w:p w14:paraId="4C27985C">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6218" w:type="dxa"/>
            <w:tcBorders>
              <w:top w:val="nil"/>
              <w:left w:val="nil"/>
              <w:bottom w:val="single" w:color="auto" w:sz="4" w:space="0"/>
              <w:right w:val="single" w:color="auto" w:sz="4" w:space="0"/>
            </w:tcBorders>
            <w:vAlign w:val="center"/>
          </w:tcPr>
          <w:p w14:paraId="111AB886">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顶板、煤壁是否完整</w:t>
            </w:r>
          </w:p>
        </w:tc>
      </w:tr>
      <w:tr w14:paraId="484DECF0">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14:paraId="4B626E9B">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1795970C">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沟通</w:t>
            </w:r>
          </w:p>
        </w:tc>
        <w:tc>
          <w:tcPr>
            <w:tcW w:w="6218" w:type="dxa"/>
            <w:tcBorders>
              <w:top w:val="nil"/>
              <w:left w:val="nil"/>
              <w:bottom w:val="single" w:color="auto" w:sz="4" w:space="0"/>
              <w:right w:val="single" w:color="auto" w:sz="4" w:space="0"/>
            </w:tcBorders>
            <w:vAlign w:val="center"/>
          </w:tcPr>
          <w:p w14:paraId="56B6F0F1">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设备是否停电闭锁、设备故障位置</w:t>
            </w:r>
          </w:p>
        </w:tc>
      </w:tr>
      <w:tr w14:paraId="5EDAC48B">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14:paraId="048A6A7D">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62748A8C">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准备</w:t>
            </w:r>
          </w:p>
        </w:tc>
        <w:tc>
          <w:tcPr>
            <w:tcW w:w="6218" w:type="dxa"/>
            <w:tcBorders>
              <w:top w:val="nil"/>
              <w:left w:val="nil"/>
              <w:bottom w:val="single" w:color="auto" w:sz="4" w:space="0"/>
              <w:right w:val="single" w:color="auto" w:sz="4" w:space="0"/>
            </w:tcBorders>
            <w:vAlign w:val="center"/>
          </w:tcPr>
          <w:p w14:paraId="6C50E219">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工具、材料、备件</w:t>
            </w:r>
          </w:p>
        </w:tc>
      </w:tr>
      <w:tr w14:paraId="5C8D4E64">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14:paraId="77F6DAA2">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58DBFF2A">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检查</w:t>
            </w:r>
          </w:p>
        </w:tc>
        <w:tc>
          <w:tcPr>
            <w:tcW w:w="6218" w:type="dxa"/>
            <w:tcBorders>
              <w:top w:val="nil"/>
              <w:left w:val="nil"/>
              <w:bottom w:val="single" w:color="auto" w:sz="4" w:space="0"/>
              <w:right w:val="single" w:color="auto" w:sz="4" w:space="0"/>
            </w:tcBorders>
            <w:vAlign w:val="center"/>
          </w:tcPr>
          <w:p w14:paraId="68318E3C">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甲烷</w:t>
            </w:r>
          </w:p>
        </w:tc>
      </w:tr>
      <w:tr w14:paraId="5322E2CE">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14:paraId="52919BD5">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7A8D0EC0">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218" w:type="dxa"/>
            <w:tcBorders>
              <w:top w:val="nil"/>
              <w:left w:val="nil"/>
              <w:bottom w:val="single" w:color="auto" w:sz="4" w:space="0"/>
              <w:right w:val="single" w:color="auto" w:sz="4" w:space="0"/>
            </w:tcBorders>
            <w:vAlign w:val="center"/>
          </w:tcPr>
          <w:p w14:paraId="73A96CA2">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人员站</w:t>
            </w:r>
            <w:r>
              <w:rPr>
                <w:rFonts w:hint="eastAsia" w:ascii="仿宋" w:hAnsi="仿宋" w:eastAsia="仿宋" w:cs="仿宋"/>
                <w:color w:val="auto"/>
                <w:kern w:val="0"/>
                <w:sz w:val="21"/>
                <w:szCs w:val="21"/>
                <w:highlight w:val="none"/>
                <w:lang w:val="en-US" w:eastAsia="zh-CN"/>
              </w:rPr>
              <w:t>位合理</w:t>
            </w:r>
          </w:p>
        </w:tc>
      </w:tr>
      <w:tr w14:paraId="6E2D06E2">
        <w:tblPrEx>
          <w:tblCellMar>
            <w:top w:w="0" w:type="dxa"/>
            <w:left w:w="108" w:type="dxa"/>
            <w:bottom w:w="0" w:type="dxa"/>
            <w:right w:w="108" w:type="dxa"/>
          </w:tblCellMar>
        </w:tblPrEx>
        <w:trPr>
          <w:trHeight w:val="90" w:hRule="atLeast"/>
        </w:trPr>
        <w:tc>
          <w:tcPr>
            <w:tcW w:w="1535" w:type="dxa"/>
            <w:vMerge w:val="continue"/>
            <w:tcBorders>
              <w:left w:val="single" w:color="auto" w:sz="4" w:space="0"/>
              <w:bottom w:val="single" w:color="auto" w:sz="4" w:space="0"/>
              <w:right w:val="single" w:color="auto" w:sz="4" w:space="0"/>
            </w:tcBorders>
            <w:vAlign w:val="center"/>
          </w:tcPr>
          <w:p w14:paraId="258594EA">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14:paraId="02A7A75A">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确认</w:t>
            </w:r>
          </w:p>
        </w:tc>
        <w:tc>
          <w:tcPr>
            <w:tcW w:w="6218" w:type="dxa"/>
            <w:tcBorders>
              <w:top w:val="nil"/>
              <w:left w:val="nil"/>
              <w:bottom w:val="single" w:color="auto" w:sz="4" w:space="0"/>
              <w:right w:val="single" w:color="auto" w:sz="4" w:space="0"/>
            </w:tcBorders>
            <w:vAlign w:val="center"/>
          </w:tcPr>
          <w:p w14:paraId="4445E68D">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零部件、连接</w:t>
            </w:r>
          </w:p>
        </w:tc>
      </w:tr>
    </w:tbl>
    <w:p w14:paraId="761229B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2FFB1A8B">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14:paraId="33B6A58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14:paraId="5569F27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14:paraId="6C7479A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14:paraId="0F98DB4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14:paraId="6F3218BB">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14:paraId="254F363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14:paraId="57FC7C2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14:paraId="3A028C3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14:paraId="31885185">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14:paraId="59707BC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14:paraId="20807EC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14:paraId="300CF22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14:paraId="52D88C3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14:paraId="2662D67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14:paraId="118426A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14:paraId="435DBAD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14:paraId="2B9F9F5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14:paraId="35F3FC7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14:paraId="67BBDC7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14:paraId="4350563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14:paraId="38904BF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14:paraId="01CDDD1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14:paraId="04D3EEA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14:paraId="4AB43B7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14:paraId="5F5D812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14:paraId="4501849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14:paraId="2C14CA9F">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14:paraId="64B1BCE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14:paraId="7631007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14:paraId="2D55584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14:paraId="7C88114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7E42CAB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230E4C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66F9D2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5D755A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6627EC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46B305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08C912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4790762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7F97E8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05DFB89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039E685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1795555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1B0EF1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019A5F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2F95FA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29F9AA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15B1BF7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7191646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21114A6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06EAF12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032C30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5B4EEA1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0AB7D5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7011242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034092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4530AD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7B2170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243D73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299774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7763BE5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6871065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3CE7FD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06B49FC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0FB476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3AB7A26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3C1D82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6A80B5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1F433F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4EF600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6D77A1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6BA3F89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489A4E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36BEB3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2F5CA7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0D1321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480BC0A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0BC4DD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28B6513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14:paraId="751F224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14:paraId="206D56D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14:paraId="2CD7E0B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14:paraId="55BFCFD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14:paraId="1C655DA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14:paraId="21B892C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14:paraId="22E7FD5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14:paraId="2FB923A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14:paraId="778A9A8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14:paraId="0FDB2B2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14:paraId="79E1CB3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21A0816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14:paraId="5AC3C34A">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14:paraId="4D410C6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14:paraId="0BB5A3C4">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14:paraId="20E8D4B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14:paraId="4C012D6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1027FC83">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14:paraId="7B70D174">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14:paraId="30C79067">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14:paraId="6719A7B9">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14:paraId="7AF80447">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14:paraId="67EE4B90">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14:paraId="79920A5F">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4.风险描述：施工地点通风不良，存在甲烷积聚，导致甲烷爆炸的风险。</w:t>
      </w:r>
    </w:p>
    <w:p w14:paraId="318165CA">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14:paraId="59D23EF4">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14:paraId="0B1791C3">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14:paraId="256661A3">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14:paraId="17A0A4AE">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（4）一旦出现甲烷浓度超限，立即按照规定要求的撤人路线进行避灾。</w:t>
      </w:r>
    </w:p>
    <w:p w14:paraId="123C2F58">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14:paraId="6FFE7189">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20DB5E18">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14:paraId="4075F9B2">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14:paraId="17DBA36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14:paraId="347C477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val="en-US" w:eastAsia="zh-CN"/>
        </w:rPr>
      </w:pPr>
      <w:r>
        <w:rPr>
          <w:rFonts w:hint="eastAsia" w:ascii="仿宋" w:hAnsi="仿宋" w:eastAsia="仿宋" w:cs="仿宋"/>
          <w:b/>
          <w:bCs w:val="0"/>
          <w:color w:val="auto"/>
          <w:sz w:val="28"/>
          <w:szCs w:val="28"/>
          <w:highlight w:val="none"/>
          <w:lang w:eastAsia="zh-CN"/>
        </w:rPr>
        <w:t>（</w:t>
      </w:r>
      <w:r>
        <w:rPr>
          <w:rFonts w:hint="eastAsia" w:ascii="仿宋" w:hAnsi="仿宋" w:eastAsia="仿宋" w:cs="仿宋"/>
          <w:b/>
          <w:bCs w:val="0"/>
          <w:color w:val="auto"/>
          <w:sz w:val="28"/>
          <w:szCs w:val="28"/>
          <w:highlight w:val="none"/>
          <w:lang w:val="en-US" w:eastAsia="zh-CN"/>
        </w:rPr>
        <w:t>二</w:t>
      </w:r>
      <w:r>
        <w:rPr>
          <w:rFonts w:hint="eastAsia" w:ascii="仿宋" w:hAnsi="仿宋" w:eastAsia="仿宋" w:cs="仿宋"/>
          <w:b/>
          <w:bCs w:val="0"/>
          <w:color w:val="auto"/>
          <w:sz w:val="28"/>
          <w:szCs w:val="28"/>
          <w:highlight w:val="none"/>
          <w:lang w:eastAsia="zh-CN"/>
        </w:rPr>
        <w:t>）</w:t>
      </w:r>
      <w:r>
        <w:rPr>
          <w:rFonts w:hint="eastAsia" w:ascii="仿宋" w:hAnsi="仿宋" w:eastAsia="仿宋" w:cs="仿宋"/>
          <w:b/>
          <w:bCs w:val="0"/>
          <w:color w:val="auto"/>
          <w:sz w:val="28"/>
          <w:szCs w:val="28"/>
          <w:highlight w:val="none"/>
          <w:lang w:val="en-US" w:eastAsia="zh-CN"/>
        </w:rPr>
        <w:t>专用部分</w:t>
      </w:r>
    </w:p>
    <w:p w14:paraId="23AF563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1.操作前：</w:t>
      </w:r>
    </w:p>
    <w:p w14:paraId="11EAEF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①风险描述：防护用品不完好，不按规定佩带，存在人员受伤的风险。</w:t>
      </w:r>
    </w:p>
    <w:p w14:paraId="6357E37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管控措施：检查好防护用品，确保齐全完好，作业前按规定佩带好安全防护用品。</w:t>
      </w:r>
    </w:p>
    <w:p w14:paraId="450FF6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②风险描述：工具材料不齐全完好，存在设备检修不到位或人员伤亡的风险。</w:t>
      </w:r>
    </w:p>
    <w:p w14:paraId="78BAE1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管控措施：操作前，工具材料准备齐全完好。</w:t>
      </w:r>
    </w:p>
    <w:p w14:paraId="1B4E06E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③风险描述：操作高压电气设备，监护人未到位，操作人员容易误操作，存在人员触电的风险。</w:t>
      </w:r>
    </w:p>
    <w:p w14:paraId="17695E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管控措施：操作高压电气设备严格执行一人操作一人监护，监护人不到位严禁操作。</w:t>
      </w:r>
    </w:p>
    <w:p w14:paraId="2B6A08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④风险描述：检修地点人员站位不正确，存在设备碰伤人员、人员触电的风险。</w:t>
      </w:r>
    </w:p>
    <w:p w14:paraId="1DE7E9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管控措施：检修前规范站位，重物下方及可能倾向方向严禁有人，检修人员与带电设备保持安全距离。</w:t>
      </w:r>
    </w:p>
    <w:p w14:paraId="4ADFDAB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⑤风险描述：检修电气设备，带电作业，未对上级电源停电，存在人员触电的风险。</w:t>
      </w:r>
    </w:p>
    <w:p w14:paraId="27AEF8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管控措施：检修电气是设备必须对上级电源进行停电，并挂停电牌，谁停电谁送电，严禁带电检修作业。</w:t>
      </w:r>
    </w:p>
    <w:p w14:paraId="30A72E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31E85C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①风险描述：吊装作业时，人员站位不当或工具不完好导致受伤。</w:t>
      </w:r>
    </w:p>
    <w:p w14:paraId="70B4BB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14:paraId="27EACE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14:paraId="1FD8AA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14:paraId="5EA7D44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③风险描述：人员靠近转动部位，护罩或遮拦等不完好，存在转动部位伤人的风险。</w:t>
      </w:r>
    </w:p>
    <w:p w14:paraId="6D5D6B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14:paraId="7A8981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④风险描述：带电搬迁电气设备，存在人员触电的风险。</w:t>
      </w:r>
    </w:p>
    <w:p w14:paraId="4EDAC1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管控措施：施工前将带电设备上级停电，无误后方可施工，严禁带电搬迁。</w:t>
      </w:r>
    </w:p>
    <w:p w14:paraId="528512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3.操作后</w:t>
      </w:r>
    </w:p>
    <w:p w14:paraId="204FCC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①风险描述：设备检修不到位，零部件缺失、连接部位不完好等，设备带病运行，存在设备损坏的风险。</w:t>
      </w:r>
    </w:p>
    <w:p w14:paraId="31ABF0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14:paraId="4A132C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②风险描述：检修完成后工具材料未能及时清理，检修工具材料遗留在设备内，存在设备损坏的风险。</w:t>
      </w:r>
    </w:p>
    <w:p w14:paraId="502787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14:paraId="28F25A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③风险描述：误送电、约时停送电，存在人员触电的风险。</w:t>
      </w:r>
    </w:p>
    <w:p w14:paraId="29B5CE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管控措施：严格执行停送电制度，停电后闭锁并挂停电牌，禁止约时送电。</w:t>
      </w:r>
    </w:p>
    <w:p w14:paraId="7A1D7C0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四、维修前检查：</w:t>
      </w:r>
    </w:p>
    <w:p w14:paraId="34D01F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1.顶帮</w:t>
      </w:r>
      <w:r>
        <w:rPr>
          <w:rFonts w:hint="eastAsia" w:ascii="仿宋" w:hAnsi="仿宋" w:eastAsia="仿宋" w:cs="仿宋"/>
          <w:color w:val="auto"/>
          <w:sz w:val="28"/>
          <w:szCs w:val="28"/>
          <w:lang w:val="en-US" w:eastAsia="zh-CN"/>
        </w:rPr>
        <w:t>：顶、帮完好，严格执行敲帮问顶。</w:t>
      </w:r>
    </w:p>
    <w:p w14:paraId="4DD90D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2.停电闭锁</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必须严格执行停送电制度，切断前一级开关电源后再进行工作</w:t>
      </w:r>
      <w:r>
        <w:rPr>
          <w:rFonts w:hint="eastAsia" w:ascii="仿宋" w:hAnsi="仿宋" w:eastAsia="仿宋" w:cs="仿宋"/>
          <w:color w:val="auto"/>
          <w:sz w:val="28"/>
          <w:szCs w:val="28"/>
          <w:lang w:val="en-US" w:eastAsia="zh-CN"/>
        </w:rPr>
        <w:t>。</w:t>
      </w:r>
    </w:p>
    <w:p w14:paraId="31DCE1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3.</w:t>
      </w:r>
      <w:r>
        <w:rPr>
          <w:rFonts w:hint="eastAsia" w:ascii="仿宋" w:hAnsi="仿宋" w:eastAsia="仿宋" w:cs="仿宋"/>
          <w:color w:val="auto"/>
          <w:sz w:val="28"/>
          <w:szCs w:val="28"/>
          <w:lang w:val="en-US" w:eastAsia="zh-CN"/>
        </w:rPr>
        <w:t>甲烷：按规定悬挂瓦检仪，</w:t>
      </w:r>
      <w:r>
        <w:rPr>
          <w:rFonts w:hint="eastAsia" w:ascii="仿宋" w:hAnsi="仿宋" w:eastAsia="仿宋" w:cs="仿宋"/>
          <w:color w:val="auto"/>
          <w:sz w:val="28"/>
          <w:szCs w:val="28"/>
        </w:rPr>
        <w:t>电气设备</w:t>
      </w:r>
      <w:r>
        <w:rPr>
          <w:rFonts w:hint="eastAsia" w:ascii="仿宋" w:hAnsi="仿宋" w:eastAsia="仿宋" w:cs="仿宋"/>
          <w:color w:val="auto"/>
          <w:sz w:val="28"/>
          <w:szCs w:val="28"/>
          <w:lang w:val="en-US" w:eastAsia="zh-CN"/>
        </w:rPr>
        <w:t>维修</w:t>
      </w:r>
      <w:r>
        <w:rPr>
          <w:rFonts w:hint="eastAsia" w:ascii="仿宋" w:hAnsi="仿宋" w:eastAsia="仿宋" w:cs="仿宋"/>
          <w:color w:val="auto"/>
          <w:sz w:val="28"/>
          <w:szCs w:val="28"/>
        </w:rPr>
        <w:t>应在周围环境</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浓度在0.5%以下时工作。</w:t>
      </w:r>
    </w:p>
    <w:p w14:paraId="5C3CB8C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4</w:t>
      </w:r>
      <w:r>
        <w:rPr>
          <w:rFonts w:hint="default" w:ascii="仿宋" w:hAnsi="仿宋" w:eastAsia="仿宋" w:cs="仿宋"/>
          <w:color w:val="auto"/>
          <w:sz w:val="28"/>
          <w:szCs w:val="28"/>
          <w:lang w:val="en-US" w:eastAsia="zh-CN"/>
        </w:rPr>
        <w:t>.了解故障部位、性质</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了解前一班机电设备运行情况，设备故障的处理情况及遗留问题，设备</w:t>
      </w:r>
      <w:r>
        <w:rPr>
          <w:rFonts w:hint="eastAsia" w:ascii="仿宋" w:hAnsi="仿宋" w:eastAsia="仿宋" w:cs="仿宋"/>
          <w:color w:val="auto"/>
          <w:sz w:val="28"/>
          <w:szCs w:val="28"/>
          <w:lang w:val="en-US" w:eastAsia="zh-CN"/>
        </w:rPr>
        <w:t>维</w:t>
      </w:r>
      <w:r>
        <w:rPr>
          <w:rFonts w:hint="eastAsia" w:ascii="仿宋" w:hAnsi="仿宋" w:eastAsia="仿宋" w:cs="仿宋"/>
          <w:color w:val="auto"/>
          <w:sz w:val="28"/>
          <w:szCs w:val="28"/>
        </w:rPr>
        <w:t>修、维护情况和停送电等方面的情况，安排本维修工作计划。</w:t>
      </w:r>
    </w:p>
    <w:p w14:paraId="5C3132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default" w:ascii="仿宋" w:hAnsi="仿宋" w:eastAsia="仿宋" w:cs="仿宋"/>
          <w:color w:val="auto"/>
          <w:sz w:val="28"/>
          <w:szCs w:val="28"/>
          <w:lang w:val="en-US" w:eastAsia="zh-CN"/>
        </w:rPr>
        <w:t>.工具、材料、备件</w:t>
      </w:r>
      <w:r>
        <w:rPr>
          <w:rFonts w:hint="eastAsia" w:ascii="仿宋" w:hAnsi="仿宋" w:eastAsia="仿宋" w:cs="仿宋"/>
          <w:color w:val="auto"/>
          <w:sz w:val="28"/>
          <w:szCs w:val="28"/>
          <w:lang w:val="en-US" w:eastAsia="zh-CN"/>
        </w:rPr>
        <w:t>：准备好设备维修、维护用的材料、配件、工具、测试仪表及工作中应用的其它工具。</w:t>
      </w:r>
    </w:p>
    <w:p w14:paraId="30A1C9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6</w:t>
      </w:r>
      <w:r>
        <w:rPr>
          <w:rFonts w:hint="default" w:ascii="仿宋" w:hAnsi="仿宋" w:eastAsia="仿宋" w:cs="仿宋"/>
          <w:color w:val="auto"/>
          <w:sz w:val="28"/>
          <w:szCs w:val="28"/>
          <w:lang w:val="en-US" w:eastAsia="zh-CN"/>
        </w:rPr>
        <w:t>.清理维修设备现场杂物</w:t>
      </w:r>
      <w:r>
        <w:rPr>
          <w:rFonts w:hint="eastAsia" w:ascii="仿宋" w:hAnsi="仿宋" w:eastAsia="仿宋" w:cs="仿宋"/>
          <w:color w:val="auto"/>
          <w:sz w:val="28"/>
          <w:szCs w:val="28"/>
          <w:lang w:val="en-US" w:eastAsia="zh-CN"/>
        </w:rPr>
        <w:t>：清理现场影响设备正常维修的杂物。</w:t>
      </w:r>
    </w:p>
    <w:p w14:paraId="57268E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7.口罩</w:t>
      </w:r>
      <w:r>
        <w:rPr>
          <w:rFonts w:hint="eastAsia" w:ascii="仿宋" w:hAnsi="仿宋" w:eastAsia="仿宋" w:cs="仿宋"/>
          <w:color w:val="auto"/>
          <w:sz w:val="28"/>
          <w:szCs w:val="28"/>
          <w:lang w:val="en-US" w:eastAsia="zh-CN"/>
        </w:rPr>
        <w:t>：口罩已配带。</w:t>
      </w:r>
    </w:p>
    <w:p w14:paraId="5BA4A1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8.站位</w:t>
      </w:r>
      <w:r>
        <w:rPr>
          <w:rFonts w:hint="eastAsia" w:ascii="仿宋" w:hAnsi="仿宋" w:eastAsia="仿宋" w:cs="仿宋"/>
          <w:color w:val="auto"/>
          <w:sz w:val="28"/>
          <w:szCs w:val="28"/>
          <w:lang w:val="en-US" w:eastAsia="zh-CN"/>
        </w:rPr>
        <w:t>：维修设备时注意人员站位，严禁从事其他作业。</w:t>
      </w:r>
    </w:p>
    <w:p w14:paraId="78FA8011">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left"/>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五、维修工</w:t>
      </w:r>
      <w:r>
        <w:rPr>
          <w:rFonts w:hint="eastAsia" w:ascii="仿宋" w:hAnsi="仿宋" w:eastAsia="仿宋" w:cs="仿宋"/>
          <w:b/>
          <w:color w:val="auto"/>
          <w:sz w:val="28"/>
          <w:szCs w:val="28"/>
          <w:highlight w:val="none"/>
        </w:rPr>
        <w:t>操作过程中的安全注意事项：</w:t>
      </w:r>
    </w:p>
    <w:p w14:paraId="1A59668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1.看环境</w:t>
      </w:r>
      <w:r>
        <w:rPr>
          <w:rFonts w:hint="eastAsia" w:ascii="仿宋" w:hAnsi="仿宋" w:eastAsia="仿宋" w:cs="仿宋"/>
          <w:color w:val="auto"/>
          <w:sz w:val="28"/>
          <w:szCs w:val="28"/>
          <w:lang w:val="en-US" w:eastAsia="zh-CN"/>
        </w:rPr>
        <w:t>：观察顶板、煤壁是否完整。</w:t>
      </w:r>
    </w:p>
    <w:p w14:paraId="328EB02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2.沟通：</w:t>
      </w:r>
      <w:r>
        <w:rPr>
          <w:rFonts w:hint="eastAsia" w:ascii="仿宋" w:hAnsi="仿宋" w:eastAsia="仿宋" w:cs="仿宋"/>
          <w:color w:val="auto"/>
          <w:sz w:val="28"/>
          <w:szCs w:val="28"/>
          <w:lang w:val="en-US" w:eastAsia="zh-CN"/>
        </w:rPr>
        <w:t>设备是否停电闭锁、设备故障位置。</w:t>
      </w:r>
    </w:p>
    <w:p w14:paraId="37165E3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3.准备：</w:t>
      </w:r>
      <w:r>
        <w:rPr>
          <w:rFonts w:hint="eastAsia" w:ascii="仿宋" w:hAnsi="仿宋" w:eastAsia="仿宋" w:cs="仿宋"/>
          <w:color w:val="auto"/>
          <w:sz w:val="28"/>
          <w:szCs w:val="28"/>
          <w:lang w:val="en-US" w:eastAsia="zh-CN"/>
        </w:rPr>
        <w:t>准备好维修需要的工具、材料、备件。</w:t>
      </w:r>
    </w:p>
    <w:p w14:paraId="7EEA4CC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4.检查：</w:t>
      </w:r>
      <w:r>
        <w:rPr>
          <w:rFonts w:hint="eastAsia" w:ascii="仿宋" w:hAnsi="仿宋" w:eastAsia="仿宋" w:cs="仿宋"/>
          <w:color w:val="auto"/>
          <w:sz w:val="28"/>
          <w:szCs w:val="28"/>
          <w:lang w:val="en-US" w:eastAsia="zh-CN"/>
        </w:rPr>
        <w:t>电气设备维修应悬挂好瓦检仪检查好甲烷。</w:t>
      </w:r>
    </w:p>
    <w:p w14:paraId="7D0AB98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5.站好位：</w:t>
      </w:r>
      <w:r>
        <w:rPr>
          <w:rFonts w:hint="eastAsia" w:ascii="仿宋" w:hAnsi="仿宋" w:eastAsia="仿宋" w:cs="仿宋"/>
          <w:color w:val="auto"/>
          <w:sz w:val="28"/>
          <w:szCs w:val="28"/>
          <w:lang w:val="en-US" w:eastAsia="zh-CN"/>
        </w:rPr>
        <w:t>维修时人员站位合理。</w:t>
      </w:r>
    </w:p>
    <w:p w14:paraId="2FD8461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6.确认：</w:t>
      </w:r>
      <w:r>
        <w:rPr>
          <w:rFonts w:hint="eastAsia" w:ascii="仿宋" w:hAnsi="仿宋" w:eastAsia="仿宋" w:cs="仿宋"/>
          <w:color w:val="auto"/>
          <w:sz w:val="28"/>
          <w:szCs w:val="28"/>
          <w:lang w:val="en-US" w:eastAsia="zh-CN"/>
        </w:rPr>
        <w:t>确认零部件、连接可靠。</w:t>
      </w:r>
    </w:p>
    <w:p w14:paraId="672EC49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六、全部</w:t>
      </w:r>
      <w:r>
        <w:rPr>
          <w:rFonts w:hint="eastAsia" w:ascii="仿宋" w:hAnsi="仿宋" w:eastAsia="仿宋" w:cs="仿宋"/>
          <w:b/>
          <w:bCs/>
          <w:color w:val="auto"/>
          <w:sz w:val="28"/>
          <w:szCs w:val="28"/>
        </w:rPr>
        <w:t>注意事项：</w:t>
      </w:r>
    </w:p>
    <w:p w14:paraId="00BB8A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14:paraId="3C108B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.高处作业：必须佩戴安全帽和保险带，随身工具必须有防脱落措施。</w:t>
      </w:r>
    </w:p>
    <w:p w14:paraId="1AF193D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电气设备开盖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检查前，必须用与电源电压等级相符合的验电笔验电，确认无电压后方可进行放电。放电完毕后再进行检测、检修工作。</w:t>
      </w:r>
    </w:p>
    <w:p w14:paraId="1B741E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4.溜道内作业：</w:t>
      </w:r>
      <w:r>
        <w:rPr>
          <w:rFonts w:hint="eastAsia" w:ascii="仿宋" w:hAnsi="仿宋" w:eastAsia="仿宋" w:cs="仿宋"/>
          <w:color w:val="auto"/>
          <w:sz w:val="28"/>
          <w:szCs w:val="28"/>
        </w:rPr>
        <w:t>要进入</w:t>
      </w:r>
      <w:r>
        <w:rPr>
          <w:rFonts w:hint="eastAsia" w:ascii="仿宋" w:hAnsi="仿宋" w:eastAsia="仿宋" w:cs="仿宋"/>
          <w:color w:val="auto"/>
          <w:sz w:val="28"/>
          <w:szCs w:val="28"/>
          <w:lang w:eastAsia="zh-CN"/>
        </w:rPr>
        <w:t>溜</w:t>
      </w:r>
      <w:r>
        <w:rPr>
          <w:rFonts w:hint="eastAsia" w:ascii="仿宋" w:hAnsi="仿宋" w:eastAsia="仿宋" w:cs="仿宋"/>
          <w:color w:val="auto"/>
          <w:sz w:val="28"/>
          <w:szCs w:val="28"/>
        </w:rPr>
        <w:t>道内作业时，必须</w:t>
      </w:r>
      <w:r>
        <w:rPr>
          <w:rFonts w:hint="eastAsia" w:ascii="仿宋" w:hAnsi="仿宋" w:eastAsia="仿宋" w:cs="仿宋"/>
          <w:color w:val="auto"/>
          <w:sz w:val="28"/>
          <w:szCs w:val="28"/>
          <w:lang w:eastAsia="zh-CN"/>
        </w:rPr>
        <w:t>将</w:t>
      </w:r>
      <w:r>
        <w:rPr>
          <w:rFonts w:hint="eastAsia" w:ascii="仿宋" w:hAnsi="仿宋" w:eastAsia="仿宋" w:cs="仿宋"/>
          <w:color w:val="auto"/>
          <w:sz w:val="28"/>
          <w:szCs w:val="28"/>
        </w:rPr>
        <w:t>刮板输送机、</w:t>
      </w:r>
      <w:r>
        <w:rPr>
          <w:rFonts w:hint="eastAsia" w:ascii="仿宋" w:hAnsi="仿宋" w:eastAsia="仿宋" w:cs="仿宋"/>
          <w:color w:val="auto"/>
          <w:sz w:val="28"/>
          <w:szCs w:val="28"/>
          <w:lang w:eastAsia="zh-CN"/>
        </w:rPr>
        <w:t>综掘机</w:t>
      </w:r>
      <w:r>
        <w:rPr>
          <w:rFonts w:hint="eastAsia" w:ascii="仿宋" w:hAnsi="仿宋" w:eastAsia="仿宋" w:cs="仿宋"/>
          <w:color w:val="auto"/>
          <w:sz w:val="28"/>
          <w:szCs w:val="28"/>
        </w:rPr>
        <w:t>停电闭锁，执行</w:t>
      </w:r>
      <w:r>
        <w:rPr>
          <w:rFonts w:hint="eastAsia" w:ascii="仿宋" w:hAnsi="仿宋" w:eastAsia="仿宋" w:cs="仿宋"/>
          <w:color w:val="auto"/>
          <w:sz w:val="28"/>
          <w:szCs w:val="28"/>
          <w:lang w:eastAsia="zh-CN"/>
        </w:rPr>
        <w:t>好</w:t>
      </w:r>
      <w:r>
        <w:rPr>
          <w:rFonts w:hint="eastAsia" w:ascii="仿宋" w:hAnsi="仿宋" w:eastAsia="仿宋" w:cs="仿宋"/>
          <w:color w:val="auto"/>
          <w:sz w:val="28"/>
          <w:szCs w:val="28"/>
        </w:rPr>
        <w:t>敲帮问顶制度</w:t>
      </w:r>
      <w:r>
        <w:rPr>
          <w:rFonts w:hint="eastAsia" w:ascii="仿宋" w:hAnsi="仿宋" w:eastAsia="仿宋" w:cs="仿宋"/>
          <w:color w:val="auto"/>
          <w:sz w:val="28"/>
          <w:szCs w:val="28"/>
          <w:lang w:eastAsia="zh-CN"/>
        </w:rPr>
        <w:t>。</w:t>
      </w:r>
    </w:p>
    <w:p w14:paraId="4F2956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.站位：时刻保证正确站位，确保后退路畅通，注意顶帮支护安全。</w:t>
      </w:r>
    </w:p>
    <w:p w14:paraId="551BFFE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lang w:val="en-US" w:eastAsia="zh-CN"/>
        </w:rPr>
        <w:t>七、</w:t>
      </w:r>
      <w:r>
        <w:rPr>
          <w:rFonts w:hint="eastAsia" w:ascii="仿宋" w:hAnsi="仿宋" w:eastAsia="仿宋" w:cs="仿宋"/>
          <w:b/>
          <w:bCs/>
          <w:color w:val="auto"/>
          <w:sz w:val="28"/>
          <w:szCs w:val="28"/>
        </w:rPr>
        <w:t>作业后确认</w:t>
      </w:r>
      <w:r>
        <w:rPr>
          <w:rFonts w:hint="eastAsia" w:ascii="仿宋" w:hAnsi="仿宋" w:eastAsia="仿宋" w:cs="仿宋"/>
          <w:color w:val="auto"/>
          <w:sz w:val="28"/>
          <w:szCs w:val="28"/>
        </w:rPr>
        <w:t>：</w:t>
      </w:r>
    </w:p>
    <w:p w14:paraId="0FC77AB3">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1.零部件、连接</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各零部件齐全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连接可靠。</w:t>
      </w:r>
    </w:p>
    <w:p w14:paraId="7D7D557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2.工具、材料、备件</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工具已清点，无缺漏；材料</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备件</w:t>
      </w:r>
      <w:r>
        <w:rPr>
          <w:rFonts w:hint="eastAsia" w:ascii="仿宋" w:hAnsi="仿宋" w:eastAsia="仿宋" w:cs="仿宋"/>
          <w:color w:val="auto"/>
          <w:sz w:val="28"/>
          <w:szCs w:val="28"/>
        </w:rPr>
        <w:t>已清理。</w:t>
      </w:r>
    </w:p>
    <w:p w14:paraId="38462E5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3.送电试运转</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维修结束后对设备进行试运转，保证设备完整好用。</w:t>
      </w:r>
    </w:p>
    <w:p w14:paraId="3904284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4.停电闭锁</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试运转后对设备进行停电闭锁，将设备情况根下一班次交接清楚。</w:t>
      </w:r>
    </w:p>
    <w:p w14:paraId="002D728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lang w:eastAsia="zh-CN"/>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、事故案例教育</w:t>
      </w:r>
    </w:p>
    <w:p w14:paraId="0E8CB62D">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center"/>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煤</w:t>
      </w:r>
      <w:r>
        <w:rPr>
          <w:rFonts w:hint="eastAsia" w:ascii="仿宋" w:hAnsi="仿宋" w:eastAsia="仿宋" w:cs="仿宋"/>
          <w:b/>
          <w:bCs/>
          <w:color w:val="auto"/>
          <w:sz w:val="28"/>
          <w:szCs w:val="28"/>
          <w:highlight w:val="none"/>
          <w:vertAlign w:val="subscript"/>
        </w:rPr>
        <w:t>1</w:t>
      </w:r>
      <w:r>
        <w:rPr>
          <w:rFonts w:hint="eastAsia" w:ascii="仿宋" w:hAnsi="仿宋" w:eastAsia="仿宋" w:cs="仿宋"/>
          <w:b/>
          <w:bCs/>
          <w:color w:val="auto"/>
          <w:sz w:val="28"/>
          <w:szCs w:val="28"/>
          <w:highlight w:val="none"/>
        </w:rPr>
        <w:t>一采皮带运输联络巷40T溜头伤人事故</w:t>
      </w:r>
    </w:p>
    <w:p w14:paraId="7913FB4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center"/>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(无人监护作业且违背规程措施)</w:t>
      </w:r>
    </w:p>
    <w:p w14:paraId="22CFA4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（一）</w:t>
      </w:r>
      <w:r>
        <w:rPr>
          <w:rFonts w:hint="eastAsia" w:ascii="仿宋" w:hAnsi="仿宋" w:eastAsia="仿宋" w:cs="仿宋"/>
          <w:b w:val="0"/>
          <w:bCs w:val="0"/>
          <w:color w:val="auto"/>
          <w:sz w:val="28"/>
          <w:szCs w:val="28"/>
          <w:highlight w:val="none"/>
        </w:rPr>
        <w:t>事故经过</w:t>
      </w:r>
    </w:p>
    <w:p w14:paraId="6AD110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2008年12月1日早班，综掘队队长李百利主持班前会，对煤</w:t>
      </w:r>
      <w:r>
        <w:rPr>
          <w:rFonts w:hint="eastAsia" w:ascii="仿宋" w:hAnsi="仿宋" w:eastAsia="仿宋" w:cs="仿宋"/>
          <w:color w:val="auto"/>
          <w:sz w:val="28"/>
          <w:szCs w:val="28"/>
          <w:highlight w:val="none"/>
          <w:vertAlign w:val="subscript"/>
        </w:rPr>
        <w:t>1</w:t>
      </w:r>
      <w:r>
        <w:rPr>
          <w:rFonts w:hint="eastAsia" w:ascii="仿宋" w:hAnsi="仿宋" w:eastAsia="仿宋" w:cs="仿宋"/>
          <w:color w:val="auto"/>
          <w:sz w:val="28"/>
          <w:szCs w:val="28"/>
          <w:highlight w:val="none"/>
        </w:rPr>
        <w:t>一采皮带运输联络巷40T溜子的检修改造工程进行了安排，并强调了现场安全注意事项。技术员李健春传达了40T溜子的改造施工措施，并组织了施工人员学习、签字。班前会后由跟班人员兼运输班班长蔡树丛带领张洋晶、刘连海、闫忠民、董学忠、任培源5人到达施工现场。</w:t>
      </w:r>
    </w:p>
    <w:p w14:paraId="27DC16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到达施工现场后，蔡树丛安排相关准备工作。约14：30分，准备工作完成，开始对接溜槽；蔡树丛将原吊挂溜头二过渡的葫芦拉紧，并在二过渡底下垫了一块道木和一块木锚盘，然后铺设两节溜槽。之后蔡树丛又带领张洋晶等4人再去抬一节溜槽，并按排任培源一人接溜头电机电源。当蔡树丛等5人抬溜槽至煤1一采皮带运输联络巷上端风门处时，听到了响声，蔡树丛立即下去查看，发现溜头倾斜，将任培源挤在溜头电机与巷道上帮之间。于是蔡树丛立即组织抢救，并汇报调度室，迅速将伤者任培源送到中心医院。经检查，伤者左侧锁骨骨折，右上臂骨折，头部充血。</w:t>
      </w:r>
    </w:p>
    <w:p w14:paraId="5E1828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（二）</w:t>
      </w:r>
      <w:r>
        <w:rPr>
          <w:rFonts w:hint="eastAsia" w:ascii="仿宋" w:hAnsi="仿宋" w:eastAsia="仿宋" w:cs="仿宋"/>
          <w:b w:val="0"/>
          <w:bCs w:val="0"/>
          <w:color w:val="auto"/>
          <w:sz w:val="28"/>
          <w:szCs w:val="28"/>
          <w:highlight w:val="none"/>
        </w:rPr>
        <w:t>事故原因分析</w:t>
      </w:r>
    </w:p>
    <w:p w14:paraId="71E031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跟班人员蔡树丛为了调整溜头坡度，在未对溜头采取可靠固定的情况下，垫高溜头二过渡，导致溜头重心偏移，埋下了安全隐患；同时安排工作时只按排任培源一人单独操作，无人监护，是造成事故发生的主要原因。</w:t>
      </w:r>
    </w:p>
    <w:p w14:paraId="09817E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机电维修工任培源在操作时自主保安意识差，在溜头未采取可靠固定的情况下，站位不当，盲目操作，致使溜头歪斜。是造成事故发生的直接原因。</w:t>
      </w:r>
    </w:p>
    <w:p w14:paraId="12DD38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现场施工人员张洋晶、刘连海、闫忠民、董学忠互保联保不到位，没有及时发现现场存在的隐患，是造成事故发生的一个原因。</w:t>
      </w:r>
    </w:p>
    <w:p w14:paraId="490FE1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综掘队机电技术员李健春施工措施现场落实不到位，是造成事故发生的一个原因。</w:t>
      </w:r>
    </w:p>
    <w:p w14:paraId="3C4E98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综掘队队长李百利对单项工程、零星工程重视不够，施工组织不严不细，致使现场存在隐患。是造成事故发生的一个原因。</w:t>
      </w:r>
    </w:p>
    <w:p w14:paraId="16183F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w:t>
      </w:r>
      <w:r>
        <w:rPr>
          <w:rFonts w:hint="eastAsia" w:ascii="仿宋" w:hAnsi="仿宋" w:eastAsia="仿宋" w:cs="仿宋"/>
          <w:color w:val="auto"/>
          <w:sz w:val="28"/>
          <w:szCs w:val="28"/>
          <w:highlight w:val="none"/>
          <w:lang w:val="en-US" w:eastAsia="zh-CN"/>
        </w:rPr>
        <w:t>党</w:t>
      </w:r>
      <w:bookmarkStart w:id="539" w:name="_GoBack"/>
      <w:bookmarkEnd w:id="539"/>
      <w:r>
        <w:rPr>
          <w:rFonts w:hint="eastAsia" w:ascii="仿宋" w:hAnsi="仿宋" w:eastAsia="仿宋" w:cs="仿宋"/>
          <w:color w:val="auto"/>
          <w:sz w:val="28"/>
          <w:szCs w:val="28"/>
          <w:highlight w:val="none"/>
        </w:rPr>
        <w:t>支部书记李冠礼对员工安全教育不到位，工作落实不到位，是造成事故发生的一个原因。</w:t>
      </w:r>
    </w:p>
    <w:p w14:paraId="4061D4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安监员王德光现场安全检查不严不细，没有及时发现现场存在的隐患，是造成事故发生的一个原因。</w:t>
      </w:r>
    </w:p>
    <w:p w14:paraId="1D111E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安监科</w:t>
      </w:r>
      <w:r>
        <w:rPr>
          <w:rFonts w:hint="eastAsia" w:ascii="仿宋" w:hAnsi="仿宋" w:eastAsia="仿宋" w:cs="仿宋"/>
          <w:color w:val="auto"/>
          <w:sz w:val="28"/>
          <w:szCs w:val="28"/>
          <w:highlight w:val="none"/>
        </w:rPr>
        <w:t>、机电科、技术科、调度室等有关职能部门职能作用发挥不到位，监管责任落实不到位，是造成事故发生的一个原因。</w:t>
      </w:r>
    </w:p>
    <w:p w14:paraId="7DE05E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掘进副总郑学军专业管理不到位，安全技术措施落实不到位，是造成事故发生的一个原因。</w:t>
      </w:r>
    </w:p>
    <w:p w14:paraId="5B24B6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综机副总翟慎峰技术管理不到位，业务保安措施落实不到位，是造成事故发生的一个原因。</w:t>
      </w:r>
    </w:p>
    <w:p w14:paraId="70BB58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安全副总王云炳安全管理不到位，现场安全监管不到位，是造成事故发生的一个原因。</w:t>
      </w:r>
    </w:p>
    <w:p w14:paraId="22A6E7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安监科</w:t>
      </w:r>
      <w:r>
        <w:rPr>
          <w:rFonts w:hint="eastAsia" w:ascii="仿宋" w:hAnsi="仿宋" w:eastAsia="仿宋" w:cs="仿宋"/>
          <w:color w:val="auto"/>
          <w:sz w:val="28"/>
          <w:szCs w:val="28"/>
          <w:highlight w:val="none"/>
        </w:rPr>
        <w:t>长李恭建对全矿的安全管理不到位，生产副矿长连月照安全生产管理不到位，总工程师曲培臣对全矿的技术管理不到位，常务副矿长周新刚安全生产管理不到位，矿长、党委书记周建民安全管理、安全教育不到位，也是造成事故发生的一个原因。</w:t>
      </w:r>
    </w:p>
    <w:p w14:paraId="18A261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（三）</w:t>
      </w:r>
      <w:r>
        <w:rPr>
          <w:rFonts w:hint="eastAsia" w:ascii="仿宋" w:hAnsi="仿宋" w:eastAsia="仿宋" w:cs="仿宋"/>
          <w:b w:val="0"/>
          <w:bCs w:val="0"/>
          <w:color w:val="auto"/>
          <w:sz w:val="28"/>
          <w:szCs w:val="28"/>
          <w:highlight w:val="none"/>
        </w:rPr>
        <w:t>事故的管理原因</w:t>
      </w:r>
    </w:p>
    <w:p w14:paraId="79512F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对此次系统改造的单项工程极不重视。从方案论证确定、措施编制贯彻、现场施工组织、现场跟班盯靠等各个环节都犯了轻视、忽视、不重视的严重错误，班组长、技术员、区队长层层不负责任，施工过程中严重忽视了安全管理，抢时间、赶任务，有要求不落实，有措施不执行，现场管理、施工组织混乱，为事故埋下了极大的安全隐患。</w:t>
      </w:r>
    </w:p>
    <w:p w14:paraId="0B1F9C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机电科、技术科、调度室等安全生产职能科室业务保安职能管理严重不到位。作为职能科室，在措施审批、现场落实、重点调度等各个环节工作不严不细。</w:t>
      </w:r>
    </w:p>
    <w:p w14:paraId="7C4E857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掘进专业、综机专业作为专业管理主体，业务保安、履职履责不到位。对集团公司三令五申反复强调要加强单项工程、零星工程、特殊工程管理的要求没有引起高度重视，也没有深刻吸取以往发生的事故教训，在工程安排、业务保安等环节上工作不严不细，管理不深入不扎实。</w:t>
      </w:r>
    </w:p>
    <w:p w14:paraId="7A7B04A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安监科</w:t>
      </w:r>
      <w:r>
        <w:rPr>
          <w:rFonts w:hint="eastAsia" w:ascii="仿宋" w:hAnsi="仿宋" w:eastAsia="仿宋" w:cs="仿宋"/>
          <w:color w:val="auto"/>
          <w:sz w:val="28"/>
          <w:szCs w:val="28"/>
          <w:highlight w:val="none"/>
        </w:rPr>
        <w:t>、安全专业作为安全监督主体，监督管理责任不到位。工作安排没有突出重点，现场监督没有查出隐患，现场盯靠没有突出重点环节，监管工作失职失查，严重不到位。</w:t>
      </w:r>
    </w:p>
    <w:p w14:paraId="4B6686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全矿井在前段安全总体平稳的情况下，存在着松懈麻痹、盲目乐观的倾向。从员工到班组，从区队到专业，从责任主体到监管主体，从员工素质到现场环境，从技术管理到施工组织，从思想认识到操作行为，都远未达到本质安全的要求，“安全第一”的思想根本没树立，“不安全不生产”的要求根本没执行，技术措施根本没落实，技术指导、安全监管根本不到位，各级管理者仍然存在着“粗躁、浮躁、毛躁、急躁”的严重问题，这是导致事故发生的根本原因。</w:t>
      </w:r>
    </w:p>
    <w:p w14:paraId="541030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（四）</w:t>
      </w:r>
      <w:r>
        <w:rPr>
          <w:rFonts w:hint="eastAsia" w:ascii="仿宋" w:hAnsi="仿宋" w:eastAsia="仿宋" w:cs="仿宋"/>
          <w:b w:val="0"/>
          <w:bCs w:val="0"/>
          <w:color w:val="auto"/>
          <w:sz w:val="28"/>
          <w:szCs w:val="28"/>
          <w:highlight w:val="none"/>
        </w:rPr>
        <w:t>防范措施</w:t>
      </w:r>
    </w:p>
    <w:p w14:paraId="5059513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全矿各单位要认真吸取事故教训，举一反三，深入排查现场存在的各种安全隐患和安全管理的薄弱环节，并采取切实有效的措施，坚决杜绝类似事故的发生。</w:t>
      </w:r>
    </w:p>
    <w:p w14:paraId="23FD6A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突出抓好零星工程、单项工程、特殊工程的安全管理，进一步明确现场安全负责人，技术负责人，做到责任明确，认真履责；要认真细化施工方案，细化施工组织，细化安全措施，加强现场管理，确保施工安全。</w:t>
      </w:r>
    </w:p>
    <w:p w14:paraId="7E0D92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要严格各种安全措施的现场落实。特别是在起吊设备、大件前，要认真检查起吊点、钢丝绳套、起吊工具等是否完好可靠，尤其要检查起吊葫芦承重链、起重钩、锁止棘轮等各部位是否完好可靠。</w:t>
      </w:r>
    </w:p>
    <w:p w14:paraId="50241C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进一步加强员工的操作规范，注重施工过程的细节管理，尤其是在大件起吊、组装、固定的过程中必须安排专人监护，观察起重器具是否存在异常，人员的操作及站位是否安全，起吊现场及周围是否有异常变化，起吊重心是否偏离等，以确保施工安全。</w:t>
      </w:r>
    </w:p>
    <w:p w14:paraId="0EDC0D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要进一步加强班组管理，充分发挥班组长现场安全第一责任者的作用；要做好现场的自主保安和互保联保工作，确保工作安排不出现任何纰漏，现场操作不出现任何偏差。</w:t>
      </w:r>
    </w:p>
    <w:p w14:paraId="752DA6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要进一步加强区队管理，严格各级管理人员安全责任落实，要牢固树立“安全第一”的思想不动摇，坚持“两个根本点”不变，从管理上克服“三惯”“四躁”现象。</w:t>
      </w:r>
    </w:p>
    <w:p w14:paraId="2E2A26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各专业要全面排查所有在用措施，查漏补缺，确保措施真正指导现场，特别是现场条件复杂，坡度大，空间狭窄，操作难度大的施工工程，要具体规定每道工序的安全注意事项，便于操作人员遵章操作。</w:t>
      </w:r>
    </w:p>
    <w:p w14:paraId="3D9713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进一步加强安全监督检查的力度，不断强化专监人员的责任意识，提高监督检查质量，从严查处各类不安全行为，消除各类不安全隐患。</w:t>
      </w:r>
    </w:p>
    <w:p w14:paraId="622010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进一步加强安全教育培训力度，不断提高员工的安全意识和安全操作技能，从根源上杜绝违章操作行为。</w:t>
      </w:r>
    </w:p>
    <w:bookmarkEnd w:id="313"/>
    <w:bookmarkEnd w:id="314"/>
    <w:bookmarkEnd w:id="317"/>
    <w:p w14:paraId="70C0F5B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eastAsia="zh-CN"/>
        </w:rPr>
        <w:t>九</w:t>
      </w:r>
      <w:r>
        <w:rPr>
          <w:rFonts w:hint="eastAsia" w:ascii="仿宋" w:hAnsi="仿宋" w:eastAsia="仿宋" w:cs="仿宋"/>
          <w:b/>
          <w:color w:val="auto"/>
          <w:sz w:val="28"/>
          <w:szCs w:val="28"/>
        </w:rPr>
        <w:t>、常见三违</w:t>
      </w:r>
    </w:p>
    <w:p w14:paraId="7F8108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14:paraId="3479C8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w:t>
      </w:r>
      <w:r>
        <w:rPr>
          <w:rFonts w:hint="eastAsia" w:ascii="仿宋" w:hAnsi="仿宋" w:eastAsia="仿宋" w:cs="仿宋"/>
          <w:color w:val="auto"/>
          <w:sz w:val="28"/>
          <w:szCs w:val="28"/>
        </w:rPr>
        <w:t>无证上岗、证件过期的；</w:t>
      </w:r>
    </w:p>
    <w:p w14:paraId="68ECA8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w:t>
      </w:r>
      <w:r>
        <w:rPr>
          <w:rFonts w:hint="eastAsia" w:ascii="仿宋" w:hAnsi="仿宋" w:eastAsia="仿宋" w:cs="仿宋"/>
          <w:color w:val="auto"/>
          <w:sz w:val="28"/>
          <w:szCs w:val="28"/>
        </w:rPr>
        <w:t>违反“行车不行人，行人不行车”制度的；</w:t>
      </w:r>
    </w:p>
    <w:p w14:paraId="1D2FA8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w:t>
      </w:r>
      <w:r>
        <w:rPr>
          <w:rFonts w:hint="eastAsia" w:ascii="仿宋" w:hAnsi="仿宋" w:eastAsia="仿宋" w:cs="仿宋"/>
          <w:color w:val="auto"/>
          <w:sz w:val="28"/>
          <w:szCs w:val="28"/>
        </w:rPr>
        <w:t>扒车、跳车和坐矿车的；</w:t>
      </w:r>
    </w:p>
    <w:p w14:paraId="0C94F97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p>
    <w:p w14:paraId="1A489E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（六）</w:t>
      </w:r>
      <w:r>
        <w:rPr>
          <w:rFonts w:hint="eastAsia" w:ascii="仿宋" w:hAnsi="仿宋" w:eastAsia="仿宋" w:cs="仿宋"/>
          <w:color w:val="auto"/>
          <w:sz w:val="28"/>
          <w:szCs w:val="28"/>
        </w:rPr>
        <w:t>岗位工睡岗的；</w:t>
      </w:r>
    </w:p>
    <w:p w14:paraId="6ED7B8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（七）</w:t>
      </w:r>
      <w:r>
        <w:rPr>
          <w:rFonts w:hint="eastAsia" w:ascii="仿宋" w:hAnsi="仿宋" w:eastAsia="仿宋" w:cs="仿宋"/>
          <w:color w:val="auto"/>
          <w:sz w:val="28"/>
          <w:szCs w:val="28"/>
        </w:rPr>
        <w:t>设备运行时，人员接触设备的机械转动和传动部位或带电体的；</w:t>
      </w:r>
    </w:p>
    <w:p w14:paraId="3DA7C5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（八）</w:t>
      </w:r>
      <w:r>
        <w:rPr>
          <w:rFonts w:hint="eastAsia" w:ascii="仿宋" w:hAnsi="仿宋" w:eastAsia="仿宋" w:cs="仿宋"/>
          <w:color w:val="auto"/>
          <w:sz w:val="28"/>
          <w:szCs w:val="28"/>
        </w:rPr>
        <w:t>无措施施工或不按措施施工造成严重后果的；</w:t>
      </w:r>
    </w:p>
    <w:p w14:paraId="5B5E97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14:paraId="24863B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井下打架斗殴的；</w:t>
      </w:r>
    </w:p>
    <w:p w14:paraId="2C70B92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对“三违”处罚无理取闹或辱骂安监员、管理人员的；</w:t>
      </w:r>
    </w:p>
    <w:p w14:paraId="42C989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带电检修、搬迁电气设备的；</w:t>
      </w:r>
    </w:p>
    <w:p w14:paraId="5A3558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起吊或拉移重物时，在重物下方或可能倒向的位置工作或逗留的；</w:t>
      </w:r>
    </w:p>
    <w:p w14:paraId="379D93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私自打开栅栏、密闭或擅自进入栅栏区、无风区及带有警示标志危险区的；</w:t>
      </w:r>
    </w:p>
    <w:p w14:paraId="6F18B4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地面岗位工上班期间抽烟及携带烟草、火机、手机的；</w:t>
      </w:r>
    </w:p>
    <w:p w14:paraId="13CD1B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人为造成安全隐患的；</w:t>
      </w:r>
    </w:p>
    <w:p w14:paraId="0104A2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跨越运行的皮带不走过桥的；</w:t>
      </w:r>
    </w:p>
    <w:p w14:paraId="532219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电气设备出现失爆的；</w:t>
      </w:r>
    </w:p>
    <w:p w14:paraId="1385BA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擅自进入限员管理区域导致人员超规定的；</w:t>
      </w:r>
    </w:p>
    <w:p w14:paraId="5DAE663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 xml:space="preserve">串岗、脱岗、空岗的； </w:t>
      </w:r>
    </w:p>
    <w:p w14:paraId="62784E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违章指挥的；</w:t>
      </w:r>
    </w:p>
    <w:p w14:paraId="16F700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用水冲洗电气、通讯设备的；</w:t>
      </w:r>
    </w:p>
    <w:p w14:paraId="792DEEC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带压拆卸风水管路的；</w:t>
      </w:r>
    </w:p>
    <w:p w14:paraId="1B7297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不随身携带、不按规定使用矿灯、安全帽、自救器的；</w:t>
      </w:r>
    </w:p>
    <w:p w14:paraId="5C14DD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乘罐或行走期间起哄，人为造成人员拥挤的；</w:t>
      </w:r>
    </w:p>
    <w:p w14:paraId="6C3015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不按规定路线行走的；</w:t>
      </w:r>
    </w:p>
    <w:p w14:paraId="4BA592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斜巷运输巷道片盘口、上、下车场蹲坐、逗留的；</w:t>
      </w:r>
    </w:p>
    <w:p w14:paraId="1B96CC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不按规定乘坐架空乘人装置的；</w:t>
      </w:r>
    </w:p>
    <w:p w14:paraId="3813B34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（二十九）</w:t>
      </w:r>
      <w:r>
        <w:rPr>
          <w:rFonts w:hint="eastAsia" w:ascii="仿宋" w:hAnsi="仿宋" w:eastAsia="仿宋" w:cs="仿宋"/>
          <w:color w:val="auto"/>
          <w:sz w:val="28"/>
          <w:szCs w:val="28"/>
        </w:rPr>
        <w:t>跨越皮带不走人行过桥的；</w:t>
      </w:r>
    </w:p>
    <w:p w14:paraId="58EF0F6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w:t>
      </w:r>
      <w:r>
        <w:rPr>
          <w:rFonts w:hint="eastAsia" w:ascii="仿宋" w:hAnsi="仿宋" w:eastAsia="仿宋" w:cs="仿宋"/>
          <w:color w:val="auto"/>
          <w:sz w:val="28"/>
          <w:szCs w:val="28"/>
        </w:rPr>
        <w:t>过风门未及时关闭的；</w:t>
      </w:r>
    </w:p>
    <w:p w14:paraId="397DD6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w:t>
      </w:r>
      <w:r>
        <w:rPr>
          <w:rFonts w:hint="eastAsia" w:ascii="仿宋" w:hAnsi="仿宋" w:eastAsia="仿宋" w:cs="仿宋"/>
          <w:color w:val="auto"/>
          <w:sz w:val="28"/>
          <w:szCs w:val="28"/>
        </w:rPr>
        <w:t>各种保护、安全设施不按规定装设、使用、检查、检修、检测、试验或不灵敏可靠；</w:t>
      </w:r>
    </w:p>
    <w:p w14:paraId="5C65FB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（三十二）</w:t>
      </w:r>
      <w:r>
        <w:rPr>
          <w:rFonts w:hint="eastAsia" w:ascii="仿宋" w:hAnsi="仿宋" w:eastAsia="仿宋" w:cs="仿宋"/>
          <w:color w:val="auto"/>
          <w:sz w:val="28"/>
          <w:szCs w:val="28"/>
        </w:rPr>
        <w:t>操作按钮失灵继续使用或未按规定使用的；</w:t>
      </w:r>
    </w:p>
    <w:p w14:paraId="184EC1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（三十三）</w:t>
      </w:r>
      <w:r>
        <w:rPr>
          <w:rFonts w:hint="eastAsia" w:ascii="仿宋" w:hAnsi="仿宋" w:eastAsia="仿宋" w:cs="仿宋"/>
          <w:color w:val="auto"/>
          <w:sz w:val="28"/>
          <w:szCs w:val="28"/>
        </w:rPr>
        <w:t>各类司机误操作的；</w:t>
      </w:r>
    </w:p>
    <w:p w14:paraId="105ADF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（三十四）</w:t>
      </w:r>
      <w:r>
        <w:rPr>
          <w:rFonts w:hint="eastAsia" w:ascii="仿宋" w:hAnsi="仿宋" w:eastAsia="仿宋" w:cs="仿宋"/>
          <w:color w:val="auto"/>
          <w:sz w:val="28"/>
          <w:szCs w:val="28"/>
        </w:rPr>
        <w:t>风水管不正常使用U型卡的；</w:t>
      </w:r>
    </w:p>
    <w:p w14:paraId="2A7A1D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（三十五）</w:t>
      </w:r>
      <w:r>
        <w:rPr>
          <w:rFonts w:hint="eastAsia" w:ascii="仿宋" w:hAnsi="仿宋" w:eastAsia="仿宋" w:cs="仿宋"/>
          <w:color w:val="auto"/>
          <w:sz w:val="28"/>
          <w:szCs w:val="28"/>
        </w:rPr>
        <w:t>登高作业不按规定佩戴保险带、保险绳等的；</w:t>
      </w:r>
    </w:p>
    <w:p w14:paraId="27B43A3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（三十六）</w:t>
      </w:r>
      <w:r>
        <w:rPr>
          <w:rFonts w:hint="eastAsia" w:ascii="仿宋" w:hAnsi="仿宋" w:eastAsia="仿宋" w:cs="仿宋"/>
          <w:color w:val="auto"/>
          <w:sz w:val="28"/>
          <w:szCs w:val="28"/>
        </w:rPr>
        <w:t>稀料、电气焊、冲击钻等现场不按规定放置、使用的；</w:t>
      </w:r>
    </w:p>
    <w:p w14:paraId="136386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（三十七）</w:t>
      </w:r>
      <w:r>
        <w:rPr>
          <w:rFonts w:hint="eastAsia" w:ascii="仿宋" w:hAnsi="仿宋" w:eastAsia="仿宋" w:cs="仿宋"/>
          <w:color w:val="auto"/>
          <w:sz w:val="28"/>
          <w:szCs w:val="28"/>
        </w:rPr>
        <w:t>让（替）他人捎带人员定位卡下井的；</w:t>
      </w:r>
    </w:p>
    <w:p w14:paraId="5E238F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（三十八）</w:t>
      </w:r>
      <w:r>
        <w:rPr>
          <w:rFonts w:hint="eastAsia" w:ascii="仿宋" w:hAnsi="仿宋" w:eastAsia="仿宋" w:cs="仿宋"/>
          <w:color w:val="auto"/>
          <w:sz w:val="28"/>
          <w:szCs w:val="28"/>
        </w:rPr>
        <w:t>未按规定携带</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便携仪的；</w:t>
      </w:r>
    </w:p>
    <w:p w14:paraId="6003BF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（三十九）</w:t>
      </w:r>
      <w:r>
        <w:rPr>
          <w:rFonts w:hint="eastAsia" w:ascii="仿宋" w:hAnsi="仿宋" w:eastAsia="仿宋" w:cs="仿宋"/>
          <w:color w:val="auto"/>
          <w:sz w:val="28"/>
          <w:szCs w:val="28"/>
        </w:rPr>
        <w:t>各类回头轮、起吊钩头无防脱闭锁或闭锁失效、不完好的；</w:t>
      </w:r>
    </w:p>
    <w:p w14:paraId="4356B7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w:t>
      </w:r>
      <w:r>
        <w:rPr>
          <w:rFonts w:hint="eastAsia" w:ascii="仿宋" w:hAnsi="仿宋" w:eastAsia="仿宋" w:cs="仿宋"/>
          <w:color w:val="auto"/>
          <w:sz w:val="28"/>
          <w:szCs w:val="28"/>
        </w:rPr>
        <w:t>吊装吊环未按规定使用矿统一加工带编号的；</w:t>
      </w:r>
    </w:p>
    <w:p w14:paraId="62EDAE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（四十一）</w:t>
      </w:r>
      <w:r>
        <w:rPr>
          <w:rFonts w:hint="eastAsia" w:ascii="仿宋" w:hAnsi="仿宋" w:eastAsia="仿宋" w:cs="仿宋"/>
          <w:color w:val="auto"/>
          <w:sz w:val="28"/>
          <w:szCs w:val="28"/>
        </w:rPr>
        <w:t>开关未及时停电、闭锁的；</w:t>
      </w:r>
    </w:p>
    <w:p w14:paraId="72DFC0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（四十二）</w:t>
      </w:r>
      <w:r>
        <w:rPr>
          <w:rFonts w:hint="eastAsia" w:ascii="仿宋" w:hAnsi="仿宋" w:eastAsia="仿宋" w:cs="仿宋"/>
          <w:color w:val="auto"/>
          <w:sz w:val="28"/>
          <w:szCs w:val="28"/>
        </w:rPr>
        <w:t>物料存放固定不牢的；</w:t>
      </w:r>
    </w:p>
    <w:p w14:paraId="06C8FD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（四十三）</w:t>
      </w:r>
      <w:r>
        <w:rPr>
          <w:rFonts w:hint="eastAsia" w:ascii="仿宋" w:hAnsi="仿宋" w:eastAsia="仿宋" w:cs="仿宋"/>
          <w:color w:val="auto"/>
          <w:sz w:val="28"/>
          <w:szCs w:val="28"/>
        </w:rPr>
        <w:t>没有指定专人站岗或站岗警戒距离不符合规定的；</w:t>
      </w:r>
    </w:p>
    <w:p w14:paraId="7A4E50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（四十四）</w:t>
      </w:r>
      <w:r>
        <w:rPr>
          <w:rFonts w:hint="eastAsia" w:ascii="仿宋" w:hAnsi="仿宋" w:eastAsia="仿宋" w:cs="仿宋"/>
          <w:color w:val="auto"/>
          <w:sz w:val="28"/>
          <w:szCs w:val="28"/>
        </w:rPr>
        <w:t xml:space="preserve">临时登高工具或脚手架固定不牢的； </w:t>
      </w:r>
    </w:p>
    <w:p w14:paraId="234BE5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（四十五）</w:t>
      </w:r>
      <w:r>
        <w:rPr>
          <w:rFonts w:hint="eastAsia" w:ascii="仿宋" w:hAnsi="仿宋" w:eastAsia="仿宋" w:cs="仿宋"/>
          <w:color w:val="auto"/>
          <w:sz w:val="28"/>
          <w:szCs w:val="28"/>
        </w:rPr>
        <w:t>容易碰到的和裸露的带电体及机械外露的转动和传动部位未加装护罩或遮拦等防护设施的；</w:t>
      </w:r>
    </w:p>
    <w:p w14:paraId="32C53E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（四十六）</w:t>
      </w:r>
      <w:r>
        <w:rPr>
          <w:rFonts w:hint="eastAsia" w:ascii="仿宋" w:hAnsi="仿宋" w:eastAsia="仿宋" w:cs="仿宋"/>
          <w:color w:val="auto"/>
          <w:sz w:val="28"/>
          <w:szCs w:val="28"/>
        </w:rPr>
        <w:t>自救器损坏或过期未及时更换的；</w:t>
      </w:r>
    </w:p>
    <w:p w14:paraId="2BE85F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（四十七）</w:t>
      </w:r>
      <w:r>
        <w:rPr>
          <w:rFonts w:hint="eastAsia" w:ascii="仿宋" w:hAnsi="仿宋" w:eastAsia="仿宋" w:cs="仿宋"/>
          <w:color w:val="auto"/>
          <w:sz w:val="28"/>
          <w:szCs w:val="28"/>
        </w:rPr>
        <w:t>携带非防爆电子产品入井的；</w:t>
      </w:r>
    </w:p>
    <w:p w14:paraId="3AEF5D4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（四十八）</w:t>
      </w:r>
      <w:r>
        <w:rPr>
          <w:rFonts w:hint="eastAsia" w:ascii="仿宋" w:hAnsi="仿宋" w:eastAsia="仿宋" w:cs="仿宋"/>
          <w:color w:val="auto"/>
          <w:sz w:val="28"/>
          <w:szCs w:val="28"/>
        </w:rPr>
        <w:t>其他违反《煤矿安全规程》、《操作规程》及《作业规程》等有关规定的。</w:t>
      </w:r>
    </w:p>
    <w:p w14:paraId="2799B9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（四十九）</w:t>
      </w:r>
      <w:r>
        <w:rPr>
          <w:rFonts w:hint="eastAsia" w:ascii="仿宋" w:hAnsi="仿宋" w:eastAsia="仿宋" w:cs="仿宋"/>
          <w:color w:val="auto"/>
          <w:sz w:val="28"/>
          <w:szCs w:val="28"/>
        </w:rPr>
        <w:t>高空作业时，未戴安全帽和佩带保险带的；</w:t>
      </w:r>
    </w:p>
    <w:p w14:paraId="2A207C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w:t>
      </w:r>
      <w:r>
        <w:rPr>
          <w:rFonts w:hint="eastAsia" w:ascii="仿宋" w:hAnsi="仿宋" w:eastAsia="仿宋" w:cs="仿宋"/>
          <w:color w:val="auto"/>
          <w:sz w:val="28"/>
          <w:szCs w:val="28"/>
        </w:rPr>
        <w:t>起吊重物时，重物下方及周围不准有人；</w:t>
      </w:r>
    </w:p>
    <w:p w14:paraId="2158E0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（五十一）</w:t>
      </w:r>
      <w:r>
        <w:rPr>
          <w:rFonts w:hint="eastAsia" w:ascii="仿宋" w:hAnsi="仿宋" w:eastAsia="仿宋" w:cs="仿宋"/>
          <w:color w:val="auto"/>
          <w:sz w:val="28"/>
          <w:szCs w:val="28"/>
        </w:rPr>
        <w:t>设备运转部位及变速箱未按规定定期加油，油质不合格，无加油记录的；</w:t>
      </w:r>
    </w:p>
    <w:p w14:paraId="05B8A8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（五十二）</w:t>
      </w:r>
      <w:r>
        <w:rPr>
          <w:rFonts w:hint="eastAsia" w:ascii="仿宋" w:hAnsi="仿宋" w:eastAsia="仿宋" w:cs="仿宋"/>
          <w:color w:val="auto"/>
          <w:sz w:val="28"/>
          <w:szCs w:val="28"/>
        </w:rPr>
        <w:t>吊挂点、起吊设备、起吊工具或绳索等强度不够起吊重物的；</w:t>
      </w:r>
    </w:p>
    <w:p w14:paraId="1F9AB2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（五十三）</w:t>
      </w:r>
      <w:r>
        <w:rPr>
          <w:rFonts w:hint="eastAsia" w:ascii="仿宋" w:hAnsi="仿宋" w:eastAsia="仿宋" w:cs="仿宋"/>
          <w:color w:val="auto"/>
          <w:sz w:val="28"/>
          <w:szCs w:val="28"/>
        </w:rPr>
        <w:t>起重设备安全保护装置失灵起吊的；</w:t>
      </w:r>
    </w:p>
    <w:p w14:paraId="643E454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（五十四）</w:t>
      </w:r>
      <w:r>
        <w:rPr>
          <w:rFonts w:hint="eastAsia" w:ascii="仿宋" w:hAnsi="仿宋" w:eastAsia="仿宋" w:cs="仿宋"/>
          <w:color w:val="auto"/>
          <w:sz w:val="28"/>
          <w:szCs w:val="28"/>
        </w:rPr>
        <w:t>捆绑不合格起吊的；</w:t>
      </w:r>
    </w:p>
    <w:p w14:paraId="5EC4229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（五十五）</w:t>
      </w:r>
      <w:r>
        <w:rPr>
          <w:rFonts w:hint="eastAsia" w:ascii="仿宋" w:hAnsi="仿宋" w:eastAsia="仿宋" w:cs="仿宋"/>
          <w:color w:val="auto"/>
          <w:sz w:val="28"/>
          <w:szCs w:val="28"/>
        </w:rPr>
        <w:t>起吊有棱角物件无防护措施、斜拉起吊物的；</w:t>
      </w:r>
    </w:p>
    <w:p w14:paraId="47B382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（五十六）</w:t>
      </w:r>
      <w:r>
        <w:rPr>
          <w:rFonts w:hint="eastAsia" w:ascii="仿宋" w:hAnsi="仿宋" w:eastAsia="仿宋" w:cs="仿宋"/>
          <w:color w:val="auto"/>
          <w:sz w:val="28"/>
          <w:szCs w:val="28"/>
        </w:rPr>
        <w:t>吊装（卸）时，被吊装（卸）物上方、下方或周围附近以及受外力运动的方向上有人的；</w:t>
      </w:r>
    </w:p>
    <w:p w14:paraId="065EEF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color w:val="auto"/>
          <w:sz w:val="28"/>
          <w:szCs w:val="28"/>
          <w:lang w:val="en-US" w:eastAsia="zh-CN"/>
        </w:rPr>
        <w:t>（五十七）</w:t>
      </w:r>
      <w:r>
        <w:rPr>
          <w:rFonts w:hint="eastAsia" w:ascii="仿宋" w:hAnsi="仿宋" w:eastAsia="仿宋" w:cs="仿宋"/>
          <w:color w:val="auto"/>
          <w:sz w:val="28"/>
          <w:szCs w:val="28"/>
        </w:rPr>
        <w:t>斜巷起吊时人员站在斜巷下方的。</w:t>
      </w:r>
    </w:p>
    <w:p w14:paraId="096281EF">
      <w:pPr>
        <w:rPr>
          <w:rFonts w:hint="eastAsia" w:ascii="仿宋" w:hAnsi="仿宋" w:eastAsia="仿宋" w:cs="仿宋"/>
          <w:b/>
          <w:bCs/>
          <w:color w:val="auto"/>
          <w:sz w:val="32"/>
          <w:szCs w:val="32"/>
          <w:highlight w:val="none"/>
          <w:lang w:val="en-US" w:eastAsia="zh-CN"/>
        </w:rPr>
      </w:pPr>
      <w:bookmarkStart w:id="319" w:name="_Toc31160"/>
      <w:bookmarkStart w:id="320" w:name="_Toc19621"/>
      <w:bookmarkStart w:id="321" w:name="_Toc7881"/>
      <w:bookmarkStart w:id="322" w:name="_Toc3039"/>
      <w:bookmarkStart w:id="323" w:name="_Toc23249"/>
      <w:bookmarkStart w:id="324" w:name="_Toc5328"/>
      <w:bookmarkStart w:id="325" w:name="_Toc1240"/>
      <w:bookmarkStart w:id="326" w:name="_Toc20729"/>
      <w:bookmarkStart w:id="327" w:name="_Toc24253"/>
      <w:bookmarkStart w:id="328" w:name="_Toc27879"/>
      <w:bookmarkStart w:id="329" w:name="_Toc4314"/>
      <w:bookmarkStart w:id="330" w:name="_Toc2389"/>
      <w:bookmarkStart w:id="331" w:name="_Toc14020"/>
      <w:bookmarkStart w:id="332" w:name="_Toc21160"/>
      <w:bookmarkStart w:id="333" w:name="_Toc15337"/>
      <w:bookmarkStart w:id="334" w:name="_Toc9992"/>
      <w:r>
        <w:rPr>
          <w:rFonts w:hint="eastAsia" w:ascii="仿宋" w:hAnsi="仿宋" w:eastAsia="仿宋" w:cs="仿宋"/>
          <w:b/>
          <w:bCs/>
          <w:color w:val="auto"/>
          <w:sz w:val="32"/>
          <w:szCs w:val="32"/>
          <w:highlight w:val="none"/>
          <w:lang w:val="en-US" w:eastAsia="zh-CN"/>
        </w:rPr>
        <w:br w:type="page"/>
      </w:r>
    </w:p>
    <w:p w14:paraId="5D9F4C68">
      <w:pPr>
        <w:keepNext w:val="0"/>
        <w:keepLines w:val="0"/>
        <w:pageBreakBefore w:val="0"/>
        <w:widowControl w:val="0"/>
        <w:kinsoku/>
        <w:wordWrap/>
        <w:overflowPunct/>
        <w:topLinePunct w:val="0"/>
        <w:autoSpaceDE/>
        <w:autoSpaceDN/>
        <w:bidi w:val="0"/>
        <w:adjustRightInd/>
        <w:snapToGrid/>
        <w:spacing w:before="312" w:beforeLines="100" w:after="312" w:afterLines="100" w:line="360" w:lineRule="exact"/>
        <w:jc w:val="both"/>
        <w:textAlignment w:val="auto"/>
        <w:outlineLvl w:val="0"/>
        <w:rPr>
          <w:rFonts w:hint="default" w:ascii="仿宋" w:hAnsi="仿宋" w:eastAsia="仿宋" w:cs="仿宋"/>
          <w:b/>
          <w:bCs/>
          <w:color w:val="auto"/>
          <w:sz w:val="32"/>
          <w:szCs w:val="32"/>
          <w:highlight w:val="none"/>
          <w:lang w:val="en-US" w:eastAsia="zh-CN"/>
        </w:rPr>
      </w:pPr>
      <w:bookmarkStart w:id="335" w:name="_Toc16309"/>
      <w:r>
        <w:rPr>
          <w:rFonts w:hint="eastAsia" w:ascii="仿宋" w:hAnsi="仿宋" w:eastAsia="仿宋" w:cs="仿宋"/>
          <w:b/>
          <w:bCs/>
          <w:color w:val="auto"/>
          <w:sz w:val="32"/>
          <w:szCs w:val="32"/>
          <w:highlight w:val="none"/>
          <w:lang w:val="en-US" w:eastAsia="zh-CN"/>
        </w:rPr>
        <w:t>机电专业学习手册</w:t>
      </w:r>
      <w:bookmarkEnd w:id="319"/>
      <w:bookmarkEnd w:id="320"/>
      <w:bookmarkEnd w:id="321"/>
      <w:bookmarkEnd w:id="335"/>
      <w:bookmarkStart w:id="336" w:name="_Toc10293"/>
    </w:p>
    <w:p w14:paraId="295139BA">
      <w:pPr>
        <w:pStyle w:val="17"/>
        <w:keepNext/>
        <w:keepLines/>
        <w:pageBreakBefore w:val="0"/>
        <w:widowControl w:val="0"/>
        <w:kinsoku/>
        <w:wordWrap/>
        <w:overflowPunct/>
        <w:topLinePunct w:val="0"/>
        <w:autoSpaceDE/>
        <w:autoSpaceDN/>
        <w:bidi w:val="0"/>
        <w:adjustRightInd/>
        <w:snapToGrid/>
        <w:spacing w:line="360" w:lineRule="exact"/>
        <w:jc w:val="center"/>
        <w:textAlignment w:val="auto"/>
        <w:outlineLvl w:val="1"/>
        <w:rPr>
          <w:rFonts w:hint="default"/>
          <w:color w:val="auto"/>
          <w:lang w:val="en-US" w:eastAsia="zh-CN"/>
        </w:rPr>
      </w:pPr>
      <w:bookmarkStart w:id="337" w:name="_Toc9005"/>
      <w:bookmarkStart w:id="338" w:name="_Toc25002"/>
      <w:bookmarkStart w:id="339" w:name="_Toc12249"/>
      <w:r>
        <w:rPr>
          <w:rFonts w:hint="default"/>
          <w:color w:val="auto"/>
          <w:lang w:val="en-US" w:eastAsia="zh-CN"/>
        </w:rPr>
        <w:t>安全监测监控（集控员）</w:t>
      </w:r>
      <w:bookmarkEnd w:id="336"/>
      <w:bookmarkEnd w:id="337"/>
      <w:bookmarkEnd w:id="338"/>
      <w:bookmarkEnd w:id="339"/>
    </w:p>
    <w:tbl>
      <w:tblPr>
        <w:tblStyle w:val="12"/>
        <w:tblW w:w="93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23"/>
        <w:gridCol w:w="2008"/>
        <w:gridCol w:w="1787"/>
        <w:gridCol w:w="4522"/>
      </w:tblGrid>
      <w:tr w14:paraId="214484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7" w:hRule="atLeast"/>
          <w:jc w:val="center"/>
        </w:trPr>
        <w:tc>
          <w:tcPr>
            <w:tcW w:w="934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8FD8948">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b w:val="0"/>
                <w:color w:val="auto"/>
                <w:kern w:val="0"/>
                <w:sz w:val="21"/>
                <w:szCs w:val="21"/>
                <w:lang w:val="en-US" w:eastAsia="zh-CN" w:bidi="ar"/>
              </w:rPr>
              <w:t>安全监测监控岗位风险告知卡</w:t>
            </w:r>
          </w:p>
        </w:tc>
      </w:tr>
      <w:tr w14:paraId="1128FE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91" w:hRule="atLeast"/>
          <w:jc w:val="center"/>
        </w:trPr>
        <w:tc>
          <w:tcPr>
            <w:tcW w:w="1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614F6E">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风险</w:t>
            </w:r>
          </w:p>
          <w:p w14:paraId="0292EE7E">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类型</w:t>
            </w:r>
          </w:p>
        </w:tc>
        <w:tc>
          <w:tcPr>
            <w:tcW w:w="2008" w:type="dxa"/>
            <w:tcBorders>
              <w:top w:val="single" w:color="000000" w:sz="4" w:space="0"/>
              <w:left w:val="nil"/>
              <w:bottom w:val="single" w:color="000000" w:sz="4" w:space="0"/>
              <w:right w:val="single" w:color="000000" w:sz="4" w:space="0"/>
            </w:tcBorders>
            <w:shd w:val="clear" w:color="auto" w:fill="auto"/>
            <w:vAlign w:val="center"/>
          </w:tcPr>
          <w:p w14:paraId="2AAA6CBA">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机电、运输</w:t>
            </w:r>
          </w:p>
        </w:tc>
        <w:tc>
          <w:tcPr>
            <w:tcW w:w="1787" w:type="dxa"/>
            <w:tcBorders>
              <w:top w:val="single" w:color="000000" w:sz="4" w:space="0"/>
              <w:left w:val="nil"/>
              <w:bottom w:val="single" w:color="000000" w:sz="4" w:space="0"/>
              <w:right w:val="single" w:color="000000" w:sz="4" w:space="0"/>
            </w:tcBorders>
            <w:shd w:val="clear" w:color="auto" w:fill="auto"/>
            <w:vAlign w:val="center"/>
          </w:tcPr>
          <w:p w14:paraId="2C18967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事故</w:t>
            </w:r>
          </w:p>
          <w:p w14:paraId="63BFF68F">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报告</w:t>
            </w:r>
          </w:p>
        </w:tc>
        <w:tc>
          <w:tcPr>
            <w:tcW w:w="4522" w:type="dxa"/>
            <w:tcBorders>
              <w:top w:val="single" w:color="000000" w:sz="4" w:space="0"/>
              <w:left w:val="nil"/>
              <w:bottom w:val="single" w:color="000000" w:sz="4" w:space="0"/>
              <w:right w:val="single" w:color="000000" w:sz="4" w:space="0"/>
            </w:tcBorders>
            <w:shd w:val="clear" w:color="auto" w:fill="auto"/>
            <w:vAlign w:val="center"/>
          </w:tcPr>
          <w:p w14:paraId="4BCA8275">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调度</w:t>
            </w:r>
            <w:r>
              <w:rPr>
                <w:rFonts w:hint="eastAsia" w:ascii="仿宋" w:hAnsi="仿宋" w:eastAsia="仿宋" w:cs="仿宋"/>
                <w:color w:val="auto"/>
                <w:kern w:val="0"/>
                <w:sz w:val="21"/>
                <w:szCs w:val="21"/>
                <w:lang w:val="en-US" w:eastAsia="zh-CN" w:bidi="ar"/>
              </w:rPr>
              <w:t>室</w:t>
            </w:r>
            <w:r>
              <w:rPr>
                <w:rFonts w:hint="default" w:ascii="仿宋" w:hAnsi="仿宋" w:eastAsia="仿宋" w:cs="仿宋"/>
                <w:color w:val="auto"/>
                <w:kern w:val="0"/>
                <w:sz w:val="21"/>
                <w:szCs w:val="21"/>
                <w:lang w:val="en-US" w:eastAsia="zh-CN" w:bidi="ar"/>
              </w:rPr>
              <w:t>：8650200、8650202、“#”</w:t>
            </w:r>
          </w:p>
          <w:p w14:paraId="71BB0C3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工区值班：8650473  66311</w:t>
            </w:r>
            <w:r>
              <w:rPr>
                <w:rFonts w:hint="default" w:ascii="仿宋" w:hAnsi="仿宋" w:eastAsia="仿宋" w:cs="仿宋"/>
                <w:color w:val="auto"/>
                <w:kern w:val="0"/>
                <w:sz w:val="21"/>
                <w:szCs w:val="21"/>
                <w:lang w:val="en-US" w:eastAsia="zh-CN" w:bidi="ar"/>
              </w:rPr>
              <w:br w:type="textWrapping"/>
            </w:r>
            <w:r>
              <w:rPr>
                <w:rFonts w:hint="eastAsia" w:ascii="仿宋" w:hAnsi="仿宋" w:eastAsia="仿宋" w:cs="仿宋"/>
                <w:color w:val="auto"/>
                <w:kern w:val="0"/>
                <w:sz w:val="21"/>
                <w:szCs w:val="21"/>
                <w:lang w:val="en-US" w:eastAsia="zh-CN" w:bidi="ar"/>
              </w:rPr>
              <w:t>安监科</w:t>
            </w:r>
            <w:r>
              <w:rPr>
                <w:rFonts w:hint="default" w:ascii="仿宋" w:hAnsi="仿宋" w:eastAsia="仿宋" w:cs="仿宋"/>
                <w:color w:val="auto"/>
                <w:kern w:val="0"/>
                <w:sz w:val="21"/>
                <w:szCs w:val="21"/>
                <w:lang w:val="en-US" w:eastAsia="zh-CN" w:bidi="ar"/>
              </w:rPr>
              <w:t>值班：8650512</w:t>
            </w:r>
          </w:p>
        </w:tc>
      </w:tr>
      <w:tr w14:paraId="2D23D1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7" w:hRule="atLeast"/>
          <w:jc w:val="center"/>
        </w:trPr>
        <w:tc>
          <w:tcPr>
            <w:tcW w:w="30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E1AFE4D">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主要危害因素</w:t>
            </w:r>
          </w:p>
        </w:tc>
        <w:tc>
          <w:tcPr>
            <w:tcW w:w="6309" w:type="dxa"/>
            <w:gridSpan w:val="2"/>
            <w:tcBorders>
              <w:top w:val="single" w:color="000000" w:sz="4" w:space="0"/>
              <w:left w:val="nil"/>
              <w:bottom w:val="single" w:color="000000" w:sz="4" w:space="0"/>
              <w:right w:val="single" w:color="000000" w:sz="4" w:space="0"/>
            </w:tcBorders>
            <w:shd w:val="clear" w:color="auto" w:fill="auto"/>
            <w:vAlign w:val="center"/>
          </w:tcPr>
          <w:p w14:paraId="65AF5928">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管控措施</w:t>
            </w:r>
          </w:p>
        </w:tc>
      </w:tr>
      <w:tr w14:paraId="415AF2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4" w:hRule="atLeast"/>
          <w:jc w:val="center"/>
        </w:trPr>
        <w:tc>
          <w:tcPr>
            <w:tcW w:w="30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BF398F9">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1.视频监控系统工作不正常； 传感器出现误动作。</w:t>
            </w:r>
          </w:p>
        </w:tc>
        <w:tc>
          <w:tcPr>
            <w:tcW w:w="6309" w:type="dxa"/>
            <w:gridSpan w:val="2"/>
            <w:tcBorders>
              <w:top w:val="single" w:color="000000" w:sz="4" w:space="0"/>
              <w:left w:val="nil"/>
              <w:bottom w:val="single" w:color="000000" w:sz="4" w:space="0"/>
              <w:right w:val="single" w:color="000000" w:sz="4" w:space="0"/>
            </w:tcBorders>
            <w:shd w:val="clear" w:color="auto" w:fill="auto"/>
            <w:vAlign w:val="center"/>
          </w:tcPr>
          <w:p w14:paraId="6ECD92BB">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1.上岗前，对集控设备的运行状态进行检查。交接班时了解上一个班次的运行情况，发现异常及时处理。</w:t>
            </w:r>
          </w:p>
        </w:tc>
      </w:tr>
      <w:tr w14:paraId="49BA1C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4" w:hRule="atLeast"/>
          <w:jc w:val="center"/>
        </w:trPr>
        <w:tc>
          <w:tcPr>
            <w:tcW w:w="30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E795B39">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2.设备电流、液位和压力出现异常；超负荷运行。</w:t>
            </w:r>
          </w:p>
        </w:tc>
        <w:tc>
          <w:tcPr>
            <w:tcW w:w="6309" w:type="dxa"/>
            <w:gridSpan w:val="2"/>
            <w:tcBorders>
              <w:top w:val="single" w:color="000000" w:sz="4" w:space="0"/>
              <w:left w:val="nil"/>
              <w:bottom w:val="single" w:color="000000" w:sz="4" w:space="0"/>
              <w:right w:val="single" w:color="000000" w:sz="4" w:space="0"/>
            </w:tcBorders>
            <w:shd w:val="clear" w:color="auto" w:fill="auto"/>
            <w:vAlign w:val="center"/>
          </w:tcPr>
          <w:p w14:paraId="798E37D0">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2.设备运行过程中随时观察电流、液位和压力变化，出现异常立即停机处理。</w:t>
            </w:r>
          </w:p>
        </w:tc>
      </w:tr>
      <w:tr w14:paraId="433900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4" w:hRule="atLeast"/>
          <w:jc w:val="center"/>
        </w:trPr>
        <w:tc>
          <w:tcPr>
            <w:tcW w:w="30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649FAF2">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3.远程送电时，未通知现场施工人员。</w:t>
            </w:r>
          </w:p>
        </w:tc>
        <w:tc>
          <w:tcPr>
            <w:tcW w:w="6309" w:type="dxa"/>
            <w:gridSpan w:val="2"/>
            <w:tcBorders>
              <w:top w:val="single" w:color="000000" w:sz="4" w:space="0"/>
              <w:left w:val="nil"/>
              <w:bottom w:val="single" w:color="000000" w:sz="4" w:space="0"/>
              <w:right w:val="single" w:color="000000" w:sz="4" w:space="0"/>
            </w:tcBorders>
            <w:shd w:val="clear" w:color="auto" w:fill="auto"/>
            <w:vAlign w:val="center"/>
          </w:tcPr>
          <w:p w14:paraId="142D5467">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3.送电前，必须与现场人员确认安全，方可送电。</w:t>
            </w:r>
          </w:p>
        </w:tc>
      </w:tr>
      <w:tr w14:paraId="4DBA30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6" w:hRule="atLeast"/>
          <w:jc w:val="center"/>
        </w:trPr>
        <w:tc>
          <w:tcPr>
            <w:tcW w:w="1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E1048">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5F6B1B45">
            <w:pPr>
              <w:keepNext w:val="0"/>
              <w:keepLines w:val="0"/>
              <w:pageBreakBefore w:val="0"/>
              <w:widowControl/>
              <w:kinsoku/>
              <w:wordWrap/>
              <w:overflowPunct/>
              <w:topLinePunct w:val="0"/>
              <w:bidi w:val="0"/>
              <w:jc w:val="center"/>
              <w:outlineLvl w:val="9"/>
              <w:rPr>
                <w:rFonts w:hint="default"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17" w:type="dxa"/>
            <w:gridSpan w:val="3"/>
            <w:tcBorders>
              <w:top w:val="single" w:color="000000" w:sz="4" w:space="0"/>
              <w:left w:val="nil"/>
              <w:bottom w:val="single" w:color="000000" w:sz="4" w:space="0"/>
              <w:right w:val="single" w:color="000000" w:sz="4" w:space="0"/>
            </w:tcBorders>
            <w:shd w:val="clear" w:color="auto" w:fill="auto"/>
            <w:vAlign w:val="center"/>
          </w:tcPr>
          <w:p w14:paraId="0104B03A">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12CB43FD">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default"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1F4EEA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4" w:hRule="atLeast"/>
          <w:jc w:val="center"/>
        </w:trPr>
        <w:tc>
          <w:tcPr>
            <w:tcW w:w="1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61901">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应急</w:t>
            </w:r>
          </w:p>
          <w:p w14:paraId="739776B0">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处置</w:t>
            </w:r>
          </w:p>
          <w:p w14:paraId="39F1790F">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措施</w:t>
            </w:r>
          </w:p>
        </w:tc>
        <w:tc>
          <w:tcPr>
            <w:tcW w:w="8317" w:type="dxa"/>
            <w:gridSpan w:val="3"/>
            <w:tcBorders>
              <w:top w:val="single" w:color="000000" w:sz="4" w:space="0"/>
              <w:left w:val="nil"/>
              <w:bottom w:val="single" w:color="000000" w:sz="4" w:space="0"/>
              <w:right w:val="single" w:color="000000" w:sz="4" w:space="0"/>
            </w:tcBorders>
            <w:shd w:val="clear" w:color="auto" w:fill="auto"/>
            <w:vAlign w:val="center"/>
          </w:tcPr>
          <w:p w14:paraId="7534AB35">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1.发现有影响设备运转的异常情况时，及时停机联系维修人员处理；2.设备保护、传感器不完好时，立即通知人员处理。</w:t>
            </w:r>
          </w:p>
        </w:tc>
      </w:tr>
    </w:tbl>
    <w:p w14:paraId="23D8D4EA">
      <w:pPr>
        <w:keepNext w:val="0"/>
        <w:keepLines w:val="0"/>
        <w:pageBreakBefore w:val="0"/>
        <w:kinsoku/>
        <w:wordWrap/>
        <w:overflowPunct/>
        <w:topLinePunct w:val="0"/>
        <w:autoSpaceDN/>
        <w:bidi w:val="0"/>
        <w:adjustRightInd/>
        <w:snapToGrid/>
        <w:spacing w:beforeAutospacing="0"/>
        <w:textAlignment w:val="auto"/>
        <w:outlineLvl w:val="9"/>
        <w:rPr>
          <w:color w:val="auto"/>
        </w:rPr>
      </w:pPr>
      <w:bookmarkStart w:id="340" w:name="_Toc370631980"/>
    </w:p>
    <w:tbl>
      <w:tblPr>
        <w:tblStyle w:val="12"/>
        <w:tblW w:w="93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752"/>
        <w:gridCol w:w="4588"/>
      </w:tblGrid>
      <w:tr w14:paraId="54FA49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PrEx>
        <w:trPr>
          <w:trHeight w:val="440" w:hRule="atLeast"/>
          <w:jc w:val="center"/>
        </w:trPr>
        <w:tc>
          <w:tcPr>
            <w:tcW w:w="934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5431A1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1" w:line="660" w:lineRule="exact"/>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2"/>
                <w:sz w:val="21"/>
                <w:szCs w:val="21"/>
                <w:lang w:val="en-US" w:eastAsia="zh-CN" w:bidi="ar"/>
              </w:rPr>
              <w:t>安全监测监控</w:t>
            </w:r>
            <w:bookmarkEnd w:id="340"/>
            <w:r>
              <w:rPr>
                <w:rFonts w:hint="default" w:ascii="仿宋" w:hAnsi="仿宋" w:eastAsia="仿宋" w:cs="仿宋"/>
                <w:b/>
                <w:color w:val="auto"/>
                <w:kern w:val="2"/>
                <w:sz w:val="21"/>
                <w:szCs w:val="21"/>
                <w:lang w:val="en-US" w:eastAsia="zh-CN" w:bidi="ar"/>
              </w:rPr>
              <w:t>安全提示卡</w:t>
            </w:r>
          </w:p>
        </w:tc>
      </w:tr>
      <w:tr w14:paraId="7C525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14:paraId="62F7B19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开机前检查</w:t>
            </w:r>
          </w:p>
        </w:tc>
        <w:tc>
          <w:tcPr>
            <w:tcW w:w="4588" w:type="dxa"/>
            <w:tcBorders>
              <w:top w:val="single" w:color="auto" w:sz="4" w:space="0"/>
              <w:left w:val="nil"/>
              <w:bottom w:val="single" w:color="auto" w:sz="4" w:space="0"/>
              <w:right w:val="single" w:color="auto" w:sz="4" w:space="0"/>
            </w:tcBorders>
            <w:shd w:val="clear" w:color="auto" w:fill="auto"/>
            <w:vAlign w:val="center"/>
          </w:tcPr>
          <w:p w14:paraId="7CC3E56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停机后确认</w:t>
            </w:r>
          </w:p>
        </w:tc>
      </w:tr>
      <w:tr w14:paraId="668B7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14:paraId="286B8CC4">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1.查看记录内容是否有异常情况</w:t>
            </w:r>
          </w:p>
        </w:tc>
        <w:tc>
          <w:tcPr>
            <w:tcW w:w="4588" w:type="dxa"/>
            <w:tcBorders>
              <w:top w:val="single" w:color="auto" w:sz="4" w:space="0"/>
              <w:left w:val="nil"/>
              <w:bottom w:val="single" w:color="auto" w:sz="4" w:space="0"/>
              <w:right w:val="single" w:color="auto" w:sz="4" w:space="0"/>
            </w:tcBorders>
            <w:shd w:val="clear" w:color="auto" w:fill="auto"/>
            <w:vAlign w:val="center"/>
          </w:tcPr>
          <w:p w14:paraId="305BF4A1">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1.各电脑集控运行画面</w:t>
            </w:r>
          </w:p>
        </w:tc>
      </w:tr>
      <w:tr w14:paraId="145A2F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14:paraId="21386708">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2.各电脑集控运行画面</w:t>
            </w:r>
          </w:p>
        </w:tc>
        <w:tc>
          <w:tcPr>
            <w:tcW w:w="4588" w:type="dxa"/>
            <w:tcBorders>
              <w:top w:val="single" w:color="auto" w:sz="4" w:space="0"/>
              <w:left w:val="nil"/>
              <w:bottom w:val="single" w:color="auto" w:sz="4" w:space="0"/>
              <w:right w:val="single" w:color="auto" w:sz="4" w:space="0"/>
            </w:tcBorders>
            <w:shd w:val="clear" w:color="auto" w:fill="auto"/>
            <w:vAlign w:val="center"/>
          </w:tcPr>
          <w:p w14:paraId="42353F01">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2.监控显示器</w:t>
            </w:r>
          </w:p>
        </w:tc>
      </w:tr>
      <w:tr w14:paraId="2725C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14:paraId="532AC5B8">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3.监控显示器</w:t>
            </w:r>
          </w:p>
        </w:tc>
        <w:tc>
          <w:tcPr>
            <w:tcW w:w="4588" w:type="dxa"/>
            <w:tcBorders>
              <w:top w:val="single" w:color="auto" w:sz="4" w:space="0"/>
              <w:left w:val="nil"/>
              <w:bottom w:val="single" w:color="auto" w:sz="4" w:space="0"/>
              <w:right w:val="single" w:color="auto" w:sz="4" w:space="0"/>
            </w:tcBorders>
            <w:shd w:val="clear" w:color="auto" w:fill="auto"/>
            <w:vAlign w:val="center"/>
          </w:tcPr>
          <w:p w14:paraId="203F1DB7">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3.记录</w:t>
            </w:r>
          </w:p>
        </w:tc>
      </w:tr>
      <w:tr w14:paraId="4D193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14:paraId="03481F41">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4.电话</w:t>
            </w:r>
          </w:p>
        </w:tc>
        <w:tc>
          <w:tcPr>
            <w:tcW w:w="4588" w:type="dxa"/>
            <w:tcBorders>
              <w:top w:val="single" w:color="auto" w:sz="4" w:space="0"/>
              <w:left w:val="nil"/>
              <w:bottom w:val="single" w:color="auto" w:sz="4" w:space="0"/>
              <w:right w:val="single" w:color="auto" w:sz="4" w:space="0"/>
            </w:tcBorders>
            <w:shd w:val="clear" w:color="auto" w:fill="auto"/>
            <w:vAlign w:val="center"/>
          </w:tcPr>
          <w:p w14:paraId="15581883">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p>
        </w:tc>
      </w:tr>
      <w:tr w14:paraId="70B30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14:paraId="391E4B92">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5.消防器材</w:t>
            </w:r>
          </w:p>
        </w:tc>
        <w:tc>
          <w:tcPr>
            <w:tcW w:w="4588" w:type="dxa"/>
            <w:tcBorders>
              <w:top w:val="single" w:color="auto" w:sz="4" w:space="0"/>
              <w:left w:val="nil"/>
              <w:bottom w:val="single" w:color="auto" w:sz="4" w:space="0"/>
              <w:right w:val="single" w:color="auto" w:sz="4" w:space="0"/>
            </w:tcBorders>
            <w:shd w:val="clear" w:color="auto" w:fill="auto"/>
            <w:vAlign w:val="center"/>
          </w:tcPr>
          <w:p w14:paraId="559E505B">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p>
        </w:tc>
      </w:tr>
      <w:tr w14:paraId="5EDD3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jc w:val="center"/>
        </w:trPr>
        <w:tc>
          <w:tcPr>
            <w:tcW w:w="934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89EEA0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手指口述：</w:t>
            </w:r>
            <w:r>
              <w:rPr>
                <w:rFonts w:hint="default" w:ascii="仿宋" w:hAnsi="仿宋" w:eastAsia="仿宋" w:cs="仿宋"/>
                <w:b w:val="0"/>
                <w:bCs w:val="0"/>
                <w:color w:val="auto"/>
                <w:kern w:val="2"/>
                <w:sz w:val="21"/>
                <w:szCs w:val="21"/>
                <w:lang w:val="en-US" w:eastAsia="zh-CN" w:bidi="ar"/>
              </w:rPr>
              <w:t>按照以上内容逐项检查并确认，存在问题整改后再确认。</w:t>
            </w:r>
          </w:p>
        </w:tc>
      </w:tr>
    </w:tbl>
    <w:p w14:paraId="567C3DD2">
      <w:pPr>
        <w:keepNext w:val="0"/>
        <w:keepLines w:val="0"/>
        <w:pageBreakBefore w:val="0"/>
        <w:kinsoku/>
        <w:wordWrap/>
        <w:overflowPunct/>
        <w:topLinePunct w:val="0"/>
        <w:autoSpaceDN/>
        <w:bidi w:val="0"/>
        <w:adjustRightInd/>
        <w:snapToGrid/>
        <w:spacing w:beforeAutospacing="0"/>
        <w:textAlignment w:val="auto"/>
        <w:outlineLvl w:val="9"/>
        <w:rPr>
          <w:color w:val="auto"/>
        </w:rPr>
      </w:pPr>
    </w:p>
    <w:tbl>
      <w:tblPr>
        <w:tblStyle w:val="12"/>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380"/>
      </w:tblGrid>
      <w:tr w14:paraId="26507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4BE7CFF4">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textAlignment w:val="auto"/>
              <w:outlineLvl w:val="9"/>
              <w:rPr>
                <w:rFonts w:hint="default" w:ascii="仿宋" w:hAnsi="仿宋" w:eastAsia="仿宋" w:cs="仿宋"/>
                <w:b w:val="0"/>
                <w:bCs/>
                <w:color w:val="auto"/>
                <w:kern w:val="0"/>
                <w:sz w:val="21"/>
                <w:szCs w:val="21"/>
                <w:lang w:val="en-US" w:eastAsia="zh-CN" w:bidi="ar"/>
              </w:rPr>
            </w:pPr>
            <w:r>
              <w:rPr>
                <w:rFonts w:hint="default" w:ascii="仿宋" w:hAnsi="仿宋" w:eastAsia="仿宋" w:cs="仿宋"/>
                <w:b/>
                <w:bCs w:val="0"/>
                <w:color w:val="auto"/>
                <w:kern w:val="0"/>
                <w:sz w:val="21"/>
                <w:szCs w:val="21"/>
                <w:lang w:val="en-US" w:eastAsia="zh-CN" w:bidi="ar"/>
              </w:rPr>
              <w:t>安全监测监控单元检查表</w:t>
            </w:r>
          </w:p>
        </w:tc>
      </w:tr>
      <w:tr w14:paraId="7A405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1A09205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1.记录</w:t>
            </w:r>
          </w:p>
        </w:tc>
      </w:tr>
      <w:tr w14:paraId="2BE50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3696C5A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2.变电所集控电脑</w:t>
            </w:r>
          </w:p>
        </w:tc>
      </w:tr>
      <w:tr w14:paraId="267F20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528E79D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3.中央泵房集控电脑</w:t>
            </w:r>
          </w:p>
        </w:tc>
      </w:tr>
      <w:tr w14:paraId="3915C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509ED6E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4.压风机集控电脑</w:t>
            </w:r>
          </w:p>
        </w:tc>
      </w:tr>
      <w:tr w14:paraId="0BB50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37A025C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5.余热回收集控电脑</w:t>
            </w:r>
          </w:p>
        </w:tc>
      </w:tr>
      <w:tr w14:paraId="47341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41056B1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6.生活污水处理集控电脑</w:t>
            </w:r>
          </w:p>
        </w:tc>
      </w:tr>
      <w:tr w14:paraId="35BF3C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3591923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7.井下座机、地面座机</w:t>
            </w:r>
          </w:p>
        </w:tc>
      </w:tr>
      <w:tr w14:paraId="4A0D7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2B5C185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8.各视频监控</w:t>
            </w:r>
          </w:p>
        </w:tc>
      </w:tr>
      <w:tr w14:paraId="77ED5E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413C030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注：接班后检查一次，班中时刻注意各电脑及监控画面。</w:t>
            </w:r>
          </w:p>
        </w:tc>
      </w:tr>
    </w:tbl>
    <w:p w14:paraId="1B15862D">
      <w:pPr>
        <w:pStyle w:val="2"/>
        <w:keepNext w:val="0"/>
        <w:keepLines w:val="0"/>
        <w:pageBreakBefore w:val="0"/>
        <w:kinsoku/>
        <w:wordWrap/>
        <w:overflowPunct/>
        <w:topLinePunct w:val="0"/>
        <w:autoSpaceDN/>
        <w:bidi w:val="0"/>
        <w:adjustRightInd/>
        <w:snapToGrid/>
        <w:spacing w:beforeAutospacing="0"/>
        <w:ind w:left="0" w:leftChars="0" w:firstLine="0" w:firstLineChars="0"/>
        <w:textAlignment w:val="auto"/>
        <w:outlineLvl w:val="9"/>
        <w:rPr>
          <w:rFonts w:hint="eastAsia"/>
          <w:color w:val="auto"/>
        </w:rPr>
      </w:pPr>
    </w:p>
    <w:tbl>
      <w:tblPr>
        <w:tblStyle w:val="12"/>
        <w:tblW w:w="942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82"/>
        <w:gridCol w:w="1624"/>
        <w:gridCol w:w="7114"/>
      </w:tblGrid>
      <w:tr w14:paraId="3F3D53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7" w:hRule="atLeast"/>
          <w:jc w:val="center"/>
        </w:trPr>
        <w:tc>
          <w:tcPr>
            <w:tcW w:w="942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4A787F18">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2"/>
                <w:sz w:val="21"/>
                <w:szCs w:val="21"/>
                <w:lang w:val="en-US" w:eastAsia="zh-CN" w:bidi="ar"/>
              </w:rPr>
              <w:t>安全监测监控岗位操作过程注意事项</w:t>
            </w:r>
          </w:p>
        </w:tc>
      </w:tr>
      <w:tr w14:paraId="3B37C1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3" w:hRule="atLeast"/>
          <w:jc w:val="center"/>
        </w:trPr>
        <w:tc>
          <w:tcPr>
            <w:tcW w:w="682" w:type="dxa"/>
            <w:tcBorders>
              <w:top w:val="nil"/>
              <w:left w:val="single" w:color="auto" w:sz="4" w:space="0"/>
              <w:bottom w:val="single" w:color="auto" w:sz="4" w:space="0"/>
              <w:right w:val="single" w:color="auto" w:sz="4" w:space="0"/>
            </w:tcBorders>
            <w:shd w:val="clear" w:color="auto" w:fill="auto"/>
            <w:vAlign w:val="center"/>
          </w:tcPr>
          <w:p w14:paraId="2F8D8690">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序号</w:t>
            </w:r>
          </w:p>
        </w:tc>
        <w:tc>
          <w:tcPr>
            <w:tcW w:w="1624" w:type="dxa"/>
            <w:tcBorders>
              <w:top w:val="nil"/>
              <w:left w:val="nil"/>
              <w:bottom w:val="single" w:color="auto" w:sz="4" w:space="0"/>
              <w:right w:val="single" w:color="auto" w:sz="4" w:space="0"/>
            </w:tcBorders>
            <w:shd w:val="clear" w:color="auto" w:fill="auto"/>
            <w:vAlign w:val="center"/>
          </w:tcPr>
          <w:p w14:paraId="0DC1272C">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提示词</w:t>
            </w:r>
          </w:p>
        </w:tc>
        <w:tc>
          <w:tcPr>
            <w:tcW w:w="7114" w:type="dxa"/>
            <w:tcBorders>
              <w:top w:val="nil"/>
              <w:left w:val="nil"/>
              <w:bottom w:val="single" w:color="auto" w:sz="4" w:space="0"/>
              <w:right w:val="single" w:color="auto" w:sz="4" w:space="0"/>
            </w:tcBorders>
            <w:shd w:val="clear" w:color="auto" w:fill="auto"/>
            <w:vAlign w:val="center"/>
          </w:tcPr>
          <w:p w14:paraId="1BC6721F">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主要内容</w:t>
            </w:r>
          </w:p>
        </w:tc>
      </w:tr>
      <w:tr w14:paraId="1A4339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9" w:hRule="atLeast"/>
          <w:jc w:val="center"/>
        </w:trPr>
        <w:tc>
          <w:tcPr>
            <w:tcW w:w="682" w:type="dxa"/>
            <w:tcBorders>
              <w:top w:val="nil"/>
              <w:left w:val="single" w:color="auto" w:sz="4" w:space="0"/>
              <w:bottom w:val="single" w:color="000000" w:sz="4" w:space="0"/>
              <w:right w:val="single" w:color="auto" w:sz="4" w:space="0"/>
            </w:tcBorders>
            <w:shd w:val="clear" w:color="auto" w:fill="auto"/>
            <w:vAlign w:val="center"/>
          </w:tcPr>
          <w:p w14:paraId="75BAF38D">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1</w:t>
            </w:r>
          </w:p>
        </w:tc>
        <w:tc>
          <w:tcPr>
            <w:tcW w:w="1624" w:type="dxa"/>
            <w:tcBorders>
              <w:top w:val="nil"/>
              <w:left w:val="nil"/>
              <w:bottom w:val="single" w:color="auto" w:sz="4" w:space="0"/>
              <w:right w:val="single" w:color="auto" w:sz="4" w:space="0"/>
            </w:tcBorders>
            <w:shd w:val="clear" w:color="auto" w:fill="auto"/>
            <w:vAlign w:val="center"/>
          </w:tcPr>
          <w:p w14:paraId="5878C5B7">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看显示</w:t>
            </w:r>
          </w:p>
        </w:tc>
        <w:tc>
          <w:tcPr>
            <w:tcW w:w="7114" w:type="dxa"/>
            <w:tcBorders>
              <w:top w:val="nil"/>
              <w:left w:val="nil"/>
              <w:bottom w:val="single" w:color="auto" w:sz="4" w:space="0"/>
              <w:right w:val="single" w:color="auto" w:sz="4" w:space="0"/>
            </w:tcBorders>
            <w:shd w:val="clear" w:color="auto" w:fill="auto"/>
            <w:vAlign w:val="center"/>
          </w:tcPr>
          <w:p w14:paraId="6D861218">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注意观察信号、各参数显示，出现异常立即采取措施。</w:t>
            </w:r>
          </w:p>
        </w:tc>
      </w:tr>
      <w:tr w14:paraId="58A46D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9" w:hRule="atLeast"/>
          <w:jc w:val="center"/>
        </w:trPr>
        <w:tc>
          <w:tcPr>
            <w:tcW w:w="682" w:type="dxa"/>
            <w:tcBorders>
              <w:top w:val="nil"/>
              <w:left w:val="single" w:color="auto" w:sz="4" w:space="0"/>
              <w:bottom w:val="single" w:color="000000" w:sz="4" w:space="0"/>
              <w:right w:val="single" w:color="auto" w:sz="4" w:space="0"/>
            </w:tcBorders>
            <w:shd w:val="clear" w:color="auto" w:fill="auto"/>
            <w:vAlign w:val="center"/>
          </w:tcPr>
          <w:p w14:paraId="50FD4874">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2</w:t>
            </w:r>
          </w:p>
        </w:tc>
        <w:tc>
          <w:tcPr>
            <w:tcW w:w="1624" w:type="dxa"/>
            <w:tcBorders>
              <w:top w:val="nil"/>
              <w:left w:val="nil"/>
              <w:bottom w:val="single" w:color="auto" w:sz="4" w:space="0"/>
              <w:right w:val="single" w:color="auto" w:sz="4" w:space="0"/>
            </w:tcBorders>
            <w:shd w:val="clear" w:color="auto" w:fill="auto"/>
            <w:vAlign w:val="center"/>
          </w:tcPr>
          <w:p w14:paraId="32994E0B">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看设备</w:t>
            </w:r>
          </w:p>
        </w:tc>
        <w:tc>
          <w:tcPr>
            <w:tcW w:w="7114" w:type="dxa"/>
            <w:tcBorders>
              <w:top w:val="nil"/>
              <w:left w:val="nil"/>
              <w:bottom w:val="single" w:color="auto" w:sz="4" w:space="0"/>
              <w:right w:val="single" w:color="auto" w:sz="4" w:space="0"/>
            </w:tcBorders>
            <w:shd w:val="clear" w:color="auto" w:fill="auto"/>
            <w:vAlign w:val="center"/>
          </w:tcPr>
          <w:p w14:paraId="3572128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如果设备显示故障，立即通知分管班组进行维修。</w:t>
            </w:r>
          </w:p>
        </w:tc>
      </w:tr>
      <w:tr w14:paraId="62B177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7" w:hRule="atLeast"/>
          <w:jc w:val="center"/>
        </w:trPr>
        <w:tc>
          <w:tcPr>
            <w:tcW w:w="682" w:type="dxa"/>
            <w:tcBorders>
              <w:top w:val="nil"/>
              <w:left w:val="single" w:color="auto" w:sz="4" w:space="0"/>
              <w:bottom w:val="single" w:color="000000" w:sz="4" w:space="0"/>
              <w:right w:val="single" w:color="auto" w:sz="4" w:space="0"/>
            </w:tcBorders>
            <w:shd w:val="clear" w:color="auto" w:fill="auto"/>
            <w:vAlign w:val="center"/>
          </w:tcPr>
          <w:p w14:paraId="689FDCC4">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3</w:t>
            </w:r>
          </w:p>
        </w:tc>
        <w:tc>
          <w:tcPr>
            <w:tcW w:w="1624" w:type="dxa"/>
            <w:tcBorders>
              <w:top w:val="nil"/>
              <w:left w:val="nil"/>
              <w:bottom w:val="single" w:color="auto" w:sz="4" w:space="0"/>
              <w:right w:val="single" w:color="auto" w:sz="4" w:space="0"/>
            </w:tcBorders>
            <w:shd w:val="clear" w:color="auto" w:fill="auto"/>
            <w:vAlign w:val="center"/>
          </w:tcPr>
          <w:p w14:paraId="2B3ABBA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站位</w:t>
            </w:r>
          </w:p>
        </w:tc>
        <w:tc>
          <w:tcPr>
            <w:tcW w:w="7114" w:type="dxa"/>
            <w:tcBorders>
              <w:top w:val="nil"/>
              <w:left w:val="nil"/>
              <w:bottom w:val="single" w:color="auto" w:sz="4" w:space="0"/>
              <w:right w:val="single" w:color="auto" w:sz="4" w:space="0"/>
            </w:tcBorders>
            <w:shd w:val="clear" w:color="auto" w:fill="auto"/>
            <w:vAlign w:val="center"/>
          </w:tcPr>
          <w:p w14:paraId="42DC1453">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严禁擅离工作岗位，不得空岗。</w:t>
            </w:r>
          </w:p>
        </w:tc>
      </w:tr>
    </w:tbl>
    <w:p w14:paraId="4ED0F2E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一、一般规定</w:t>
      </w:r>
    </w:p>
    <w:p w14:paraId="43CB103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（一）集控员操作期间严禁离开操作台，监护司机不得随意离开监护位置。</w:t>
      </w:r>
    </w:p>
    <w:p w14:paraId="77A476F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（二）各设备开机必须按照操作规程规定执行。</w:t>
      </w:r>
    </w:p>
    <w:p w14:paraId="6206B86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（三）严格执行开机前安全确认制度。</w:t>
      </w:r>
    </w:p>
    <w:p w14:paraId="32872D0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（四）严禁班中玩手机，严禁饮酒后上岗。</w:t>
      </w:r>
    </w:p>
    <w:p w14:paraId="390803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二、薄弱人物排查治理办法</w:t>
      </w:r>
    </w:p>
    <w:p w14:paraId="7C4C9E8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（一）薄弱人物范畴</w:t>
      </w:r>
    </w:p>
    <w:p w14:paraId="444B06A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1.嗜好饮酒的“迷糊人”：是指爱好喝酒、酗酒甚至容易醉酒的人。</w:t>
      </w:r>
    </w:p>
    <w:p w14:paraId="4F3922A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2.婚期前后的“甜蜜人”：是指正在筹备或者刚刚完成婚姻大事的人。</w:t>
      </w:r>
    </w:p>
    <w:p w14:paraId="5FE980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3.家有丧事的“失落人”：是指家庭有亲人离世导致情绪失落波动。</w:t>
      </w:r>
    </w:p>
    <w:p w14:paraId="6654DA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4.经常违章的“大胆人”：是指自律能力差，对违章屡教不改的人。</w:t>
      </w:r>
    </w:p>
    <w:p w14:paraId="0A9DCA3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5.挨批受罚的“情绪人”：是指受到批评处罚情绪低落的人。</w:t>
      </w:r>
    </w:p>
    <w:p w14:paraId="4828DCE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6.重新上岗的“三长人”：是指长伤、长病、长旷的返岗人员。</w:t>
      </w:r>
    </w:p>
    <w:p w14:paraId="47BEC4F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7.极度疲劳的“硬撑人”：是指班后从事体力劳动极度疲惫的人。</w:t>
      </w:r>
    </w:p>
    <w:p w14:paraId="115021E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8.临近退休的“老年人”：是指年龄偏大（50岁以上）的老工人。</w:t>
      </w:r>
    </w:p>
    <w:p w14:paraId="4253BDD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9.随时发病的“体弱人”：是指被医院诊断患有高血压、心脏病、脑血栓、抑郁症等病情的人。</w:t>
      </w:r>
    </w:p>
    <w:p w14:paraId="476AABF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10.家境特殊的“纠结人”：是指频发家庭矛盾影响工作情绪的人。</w:t>
      </w:r>
    </w:p>
    <w:p w14:paraId="38755B8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11.岗位调整的“转行人”：是指转换了工作岗位、改变了工作性质的人。</w:t>
      </w:r>
    </w:p>
    <w:p w14:paraId="360D048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12.初来乍到的“新工人”：是指刚入矿或者从外单位调入的人。</w:t>
      </w:r>
    </w:p>
    <w:p w14:paraId="04AD51C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13.班前教育的“落空人”：是指未参加班前会的人。</w:t>
      </w:r>
    </w:p>
    <w:p w14:paraId="6939C20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14.心力交瘁的“上访人”：是指由于社会矛盾得不到及时解决有上访倾向的人。</w:t>
      </w:r>
    </w:p>
    <w:p w14:paraId="6167E89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15.八小时以外的“网络人”：是指工作之余，喜欢上网的年轻员工，班前休息不好，上班精力不集中。</w:t>
      </w:r>
    </w:p>
    <w:p w14:paraId="27556D6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16.性格粗暴的“鲁莽人”：是指性格简单粗暴的员工，工作急躁毛躁浮躁。</w:t>
      </w:r>
    </w:p>
    <w:p w14:paraId="7D4F734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17.反应迟钝的“麻木人”：是指工作麻痹大意、马虎凑付不在乎、反应迟钝的员工。</w:t>
      </w:r>
    </w:p>
    <w:p w14:paraId="084DB84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18.不安心工作的“跳槽人”：是指不安心本职工作，意欲调动工作的人。</w:t>
      </w:r>
    </w:p>
    <w:p w14:paraId="6489F2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19.不服从管理的“顶牛人”：是指与管理人员或员工有矛盾，不服从管理的员工。</w:t>
      </w:r>
    </w:p>
    <w:p w14:paraId="4273118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20</w:t>
      </w:r>
      <w:r>
        <w:rPr>
          <w:rFonts w:hint="eastAsia" w:ascii="仿宋" w:hAnsi="仿宋" w:eastAsia="仿宋" w:cs="仿宋"/>
          <w:b w:val="0"/>
          <w:color w:val="auto"/>
          <w:kern w:val="2"/>
          <w:sz w:val="28"/>
          <w:szCs w:val="28"/>
          <w:lang w:val="en-US" w:eastAsia="zh-CN" w:bidi="ar"/>
        </w:rPr>
        <w:t>.</w:t>
      </w:r>
      <w:r>
        <w:rPr>
          <w:rFonts w:hint="default" w:ascii="仿宋" w:hAnsi="仿宋" w:eastAsia="仿宋" w:cs="仿宋"/>
          <w:b w:val="0"/>
          <w:color w:val="auto"/>
          <w:kern w:val="2"/>
          <w:sz w:val="28"/>
          <w:szCs w:val="28"/>
          <w:lang w:val="en-US" w:eastAsia="zh-CN" w:bidi="ar"/>
        </w:rPr>
        <w:t>肩负第二职业的“经济人”：是指挣钱不要命，工作之余另有第二职业的人。</w:t>
      </w:r>
    </w:p>
    <w:p w14:paraId="2722A54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（二）实施建档管理</w:t>
      </w:r>
    </w:p>
    <w:p w14:paraId="0292B5E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1BCECB5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（三）具体排查方式</w:t>
      </w:r>
    </w:p>
    <w:p w14:paraId="0B42B92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4CB4D68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57EA8E7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32D6226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648C149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031714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710F898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（四）薄弱人员管控措施</w:t>
      </w:r>
    </w:p>
    <w:p w14:paraId="230F4C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1.对于岗前饮酒者，坚决禁止上岗作业。轻者责令其回家休息，重者在区队原地休息或者安排人员护送回家。</w:t>
      </w:r>
    </w:p>
    <w:p w14:paraId="4BDA780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2.对于有喜事或丧事的人员，要通过面谈掌握当事人的心理状态，无异议后方可下井。</w:t>
      </w:r>
    </w:p>
    <w:p w14:paraId="2C4A2C2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3.对于经常违章的人员，要加强日常的教育，在班前会上注重提问，安排岗位要合理，原则上做到“疑人不用”。</w:t>
      </w:r>
    </w:p>
    <w:p w14:paraId="46C15FC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4.对于受到批评和处罚的员工，要加强心理疏导，让当事人放下思想包袱，解除心里抱怨，避免带着情绪上岗。</w:t>
      </w:r>
    </w:p>
    <w:p w14:paraId="7F3523E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5.对于“三长”人员，必须加强岗前教育培训，考试合格后方可上岗。上岗过程中，要作为重点的巡查盯靠对象，实施跟踪观察。</w:t>
      </w:r>
    </w:p>
    <w:p w14:paraId="09177FE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14:paraId="4C075DE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7.对于家庭矛盾突出的员工，应通过谈心或者家访的方式，及时为员工解决家庭矛盾，解开症结，保证员工轻装上岗。</w:t>
      </w:r>
    </w:p>
    <w:p w14:paraId="1EFF17B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8.对于临近退休的老工人，在安排岗位上首要考虑安全因素，原则上不安排攀高、抬重、高温等急难险重类型的作业。</w:t>
      </w:r>
    </w:p>
    <w:p w14:paraId="12EC73C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9.对于转岗员工当成新工人尽心管理，严格履行以师带徒合同，在老工人的带领下作业。</w:t>
      </w:r>
    </w:p>
    <w:p w14:paraId="1CFBF66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6D08CBA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11.凡是没有参加班前会学习教育的人员，一律严禁上岗作业。</w:t>
      </w:r>
    </w:p>
    <w:p w14:paraId="714CEA9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12.对于喜欢上网的年轻员工，要加强引导，多沟通勤交流，促使他们培养健康向上的生活工作情趣。</w:t>
      </w:r>
    </w:p>
    <w:p w14:paraId="337CF4C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13.对于有上访倾向的人，要及时了解情况，掌握思想状态，活血化瘀，必要时可申请法律援助，解决实际困难。</w:t>
      </w:r>
    </w:p>
    <w:p w14:paraId="26E3F7E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14:paraId="0604D7B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15.对于不服从管理的员工，单位管理人员要及时做好一人一事的思想工作，解决存在的矛盾，使其心悦诚服、心情舒畅的投入工作。</w:t>
      </w:r>
    </w:p>
    <w:p w14:paraId="07F9368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14:paraId="1B5693D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三、安全风险辨识与管控措施</w:t>
      </w:r>
    </w:p>
    <w:p w14:paraId="1753D07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（一）通用部分</w:t>
      </w:r>
    </w:p>
    <w:p w14:paraId="6245209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1.风险描述：操作上位机不规范可能发生伤人的风险。</w:t>
      </w:r>
    </w:p>
    <w:p w14:paraId="4B367CC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管控措施：使用上位机操作设备时，必须跟现场人员确认安全；非值班人员严禁乱动。做好防灭火设备设施的维护保养，确保齐全有效，发生火灾时能够第一时间灭火。</w:t>
      </w:r>
    </w:p>
    <w:p w14:paraId="587A2160">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2.风险描述：防灭火措施不到位，引发火灾。</w:t>
      </w:r>
    </w:p>
    <w:p w14:paraId="36DD935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管控措施：做好防灭火设备设施的维护保养，确保齐全有效，发生火灾时能够第一时间灭火。</w:t>
      </w:r>
    </w:p>
    <w:p w14:paraId="70C49EE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（二）专用部分</w:t>
      </w:r>
    </w:p>
    <w:p w14:paraId="18508E3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1.开启设备前</w:t>
      </w:r>
    </w:p>
    <w:p w14:paraId="3FC29B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①风险描述：巡检记录填写不及时，设备存在的隐患未及时记录，可能发生设备误操作，发生机电事故。</w:t>
      </w:r>
    </w:p>
    <w:p w14:paraId="3FDB257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管控措施：当班人员及时填写记录，交接班时向接班人讲明设备运转情况，记录上记录的问题未处理完成，严禁操作。</w:t>
      </w:r>
    </w:p>
    <w:p w14:paraId="7E77844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②风险描述：电脑集控失灵，不能及时开启设备，存在液位异常或设备损坏的风险。</w:t>
      </w:r>
    </w:p>
    <w:p w14:paraId="0201CF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管控措施：设备运行过程中随时观察电流、液位和压力变化，出现异常立即停机处理。电脑操作不了，立即通知维修人员现场操作。</w:t>
      </w:r>
    </w:p>
    <w:p w14:paraId="6A38DD1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③风险描述：电话不畅通，发生电气设备及人员伤亡事故不能及时汇报，存在事故扩大的风险。</w:t>
      </w:r>
    </w:p>
    <w:p w14:paraId="1463526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管控措施：每班对集控台进行检查，发现报警指示异常或电话不畅通的，及时告知维护人员，确保畅通完好。</w:t>
      </w:r>
    </w:p>
    <w:p w14:paraId="7122F8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④风险描述：视频监控系统工作不正常，不能观察到机房硐室设备运转情况，存在设备损坏和设备运转伤人的风险。</w:t>
      </w:r>
    </w:p>
    <w:p w14:paraId="1CC6B38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管控措施：上岗前，对视频监控及集控设备的运行状态进行检查。交接班时了解上一个班次的运行情况。发现异常及时处理。</w:t>
      </w:r>
    </w:p>
    <w:p w14:paraId="07BDA1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⑤风险描述：消防器材失效或缺失，发生火灾时，不能及时灭火，存在设备损坏或人员伤亡的风险。</w:t>
      </w:r>
    </w:p>
    <w:p w14:paraId="6E07AA0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管控措施：做好防灭火设备设施的维护保养，确保齐全有效。</w:t>
      </w:r>
    </w:p>
    <w:p w14:paraId="7E13403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2.操作过程中</w:t>
      </w:r>
    </w:p>
    <w:p w14:paraId="2E1A361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①风险描述：设备运行过程中，视频监控无画面，不能及时发现现场存在问题，出现异常时，未紧急停机并汇报处理，存在设备损坏的风险。</w:t>
      </w:r>
    </w:p>
    <w:p w14:paraId="148C70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管控措施：集控员要集中注意力，禁止聊天玩手机，不得随意离开监护位置；双眼注视监控画面，出现异常时，必须采取措施，并立即汇报处理。</w:t>
      </w:r>
    </w:p>
    <w:p w14:paraId="7A133D2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②风险描述：电脑集控失灵，不能及时监测到设备运行情况。</w:t>
      </w:r>
    </w:p>
    <w:p w14:paraId="6CEF6E8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管控措施：发现问题及时汇报分管领导，并安排相关班组值班员到现场查看情况。</w:t>
      </w:r>
    </w:p>
    <w:p w14:paraId="28FD40C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3.停机后</w:t>
      </w:r>
    </w:p>
    <w:p w14:paraId="2483F8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①风险描述：电脑集控故障，无法正常停机，可能造成设备损坏风险。</w:t>
      </w:r>
    </w:p>
    <w:p w14:paraId="2251C03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管控措施：电脑集控故障时，及时汇报工区值班领导组织抢修，安排维修人员现场操作设备。</w:t>
      </w:r>
    </w:p>
    <w:p w14:paraId="08030C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②记录填写不规范，未及时记录生产过程中存在的隐患，存在设备损坏和人员伤害的风险。</w:t>
      </w:r>
    </w:p>
    <w:p w14:paraId="0E64327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管控措施：当班人员及时、规范填写记录。</w:t>
      </w:r>
    </w:p>
    <w:p w14:paraId="2B7A7807">
      <w:pPr>
        <w:keepNext w:val="0"/>
        <w:keepLines w:val="0"/>
        <w:pageBreakBefore w:val="0"/>
        <w:widowControl w:val="0"/>
        <w:numPr>
          <w:ilvl w:val="0"/>
          <w:numId w:val="16"/>
        </w:numPr>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开机前检查、单元检查表确认。</w:t>
      </w:r>
    </w:p>
    <w:p w14:paraId="4ED4420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1.记录：记录填写及时，无缺项。</w:t>
      </w:r>
    </w:p>
    <w:p w14:paraId="10F8C71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w:t>
      </w:r>
      <w:r>
        <w:rPr>
          <w:rFonts w:hint="default" w:ascii="仿宋" w:hAnsi="仿宋" w:eastAsia="仿宋" w:cs="仿宋"/>
          <w:b w:val="0"/>
          <w:color w:val="auto"/>
          <w:kern w:val="0"/>
          <w:sz w:val="28"/>
          <w:szCs w:val="28"/>
          <w:lang w:val="en-US" w:eastAsia="zh-CN" w:bidi="ar"/>
        </w:rPr>
        <w:t>变电所集控电脑</w:t>
      </w:r>
      <w:r>
        <w:rPr>
          <w:rFonts w:hint="default" w:ascii="仿宋" w:hAnsi="仿宋" w:eastAsia="仿宋" w:cs="仿宋"/>
          <w:b w:val="0"/>
          <w:color w:val="auto"/>
          <w:kern w:val="2"/>
          <w:sz w:val="28"/>
          <w:szCs w:val="28"/>
          <w:lang w:val="en-US" w:eastAsia="zh-CN" w:bidi="ar"/>
        </w:rPr>
        <w:t>运行正常，无报警无跳闸。</w:t>
      </w:r>
    </w:p>
    <w:p w14:paraId="41CC122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w:t>
      </w:r>
      <w:r>
        <w:rPr>
          <w:rFonts w:hint="default" w:ascii="仿宋" w:hAnsi="仿宋" w:eastAsia="仿宋" w:cs="仿宋"/>
          <w:b w:val="0"/>
          <w:color w:val="auto"/>
          <w:kern w:val="0"/>
          <w:sz w:val="28"/>
          <w:szCs w:val="28"/>
          <w:lang w:val="en-US" w:eastAsia="zh-CN" w:bidi="ar"/>
        </w:rPr>
        <w:t>中央泵房集控电脑液位正常，无报警。</w:t>
      </w:r>
    </w:p>
    <w:p w14:paraId="2B7F691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w:t>
      </w:r>
      <w:r>
        <w:rPr>
          <w:rFonts w:hint="default" w:ascii="仿宋" w:hAnsi="仿宋" w:eastAsia="仿宋" w:cs="仿宋"/>
          <w:b w:val="0"/>
          <w:color w:val="auto"/>
          <w:kern w:val="0"/>
          <w:sz w:val="28"/>
          <w:szCs w:val="28"/>
          <w:lang w:val="en-US" w:eastAsia="zh-CN" w:bidi="ar"/>
        </w:rPr>
        <w:t>压风机集控电脑，显示正常，管压0.6MPa左右。</w:t>
      </w:r>
    </w:p>
    <w:p w14:paraId="17D79CD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5.余热回收电脑显示正常，设备自动运行正常。</w:t>
      </w:r>
    </w:p>
    <w:p w14:paraId="1B6D5FD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6.生活污水处理集控电脑正常，设备能够自动运行，各池液位正常。</w:t>
      </w:r>
    </w:p>
    <w:p w14:paraId="45D50B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7.电话：电话畅通、清晰响亮。</w:t>
      </w:r>
    </w:p>
    <w:p w14:paraId="3757C08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8.监控：监控显示器完好，画面清晰。</w:t>
      </w:r>
    </w:p>
    <w:p w14:paraId="518CEB6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五、操作程序：</w:t>
      </w:r>
    </w:p>
    <w:p w14:paraId="7B3D72A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检查巡视→</w:t>
      </w:r>
      <w:r>
        <w:rPr>
          <w:rFonts w:hint="default" w:ascii="仿宋" w:hAnsi="仿宋" w:eastAsia="仿宋" w:cs="仿宋"/>
          <w:b w:val="0"/>
          <w:color w:val="auto"/>
          <w:kern w:val="0"/>
          <w:sz w:val="28"/>
          <w:szCs w:val="28"/>
          <w:lang w:val="en-US" w:eastAsia="zh-CN" w:bidi="ar"/>
        </w:rPr>
        <w:t>变电所集控电脑</w:t>
      </w:r>
      <w:r>
        <w:rPr>
          <w:rFonts w:hint="default" w:ascii="仿宋" w:hAnsi="仿宋" w:eastAsia="仿宋" w:cs="仿宋"/>
          <w:color w:val="auto"/>
          <w:kern w:val="2"/>
          <w:sz w:val="28"/>
          <w:szCs w:val="28"/>
          <w:lang w:val="en-US" w:eastAsia="zh-CN" w:bidi="ar"/>
        </w:rPr>
        <w:t>→</w:t>
      </w:r>
      <w:r>
        <w:rPr>
          <w:rFonts w:hint="default" w:ascii="仿宋" w:hAnsi="仿宋" w:eastAsia="仿宋" w:cs="仿宋"/>
          <w:b w:val="0"/>
          <w:color w:val="auto"/>
          <w:kern w:val="0"/>
          <w:sz w:val="28"/>
          <w:szCs w:val="28"/>
          <w:lang w:val="en-US" w:eastAsia="zh-CN" w:bidi="ar"/>
        </w:rPr>
        <w:t>中央泵房集控电脑</w:t>
      </w:r>
      <w:r>
        <w:rPr>
          <w:rFonts w:hint="default" w:ascii="仿宋" w:hAnsi="仿宋" w:eastAsia="仿宋" w:cs="仿宋"/>
          <w:color w:val="auto"/>
          <w:kern w:val="2"/>
          <w:sz w:val="28"/>
          <w:szCs w:val="28"/>
          <w:lang w:val="en-US" w:eastAsia="zh-CN" w:bidi="ar"/>
        </w:rPr>
        <w:t>→</w:t>
      </w:r>
      <w:r>
        <w:rPr>
          <w:rFonts w:hint="default" w:ascii="仿宋" w:hAnsi="仿宋" w:eastAsia="仿宋" w:cs="仿宋"/>
          <w:b w:val="0"/>
          <w:color w:val="auto"/>
          <w:kern w:val="0"/>
          <w:sz w:val="28"/>
          <w:szCs w:val="28"/>
          <w:lang w:val="en-US" w:eastAsia="zh-CN" w:bidi="ar"/>
        </w:rPr>
        <w:t>压风机集控电脑</w:t>
      </w:r>
      <w:r>
        <w:rPr>
          <w:rFonts w:hint="default" w:ascii="仿宋" w:hAnsi="仿宋" w:eastAsia="仿宋" w:cs="仿宋"/>
          <w:color w:val="auto"/>
          <w:kern w:val="2"/>
          <w:sz w:val="28"/>
          <w:szCs w:val="28"/>
          <w:lang w:val="en-US" w:eastAsia="zh-CN" w:bidi="ar"/>
        </w:rPr>
        <w:t>→余热回收电脑→余热回收电脑→生活污水处理集控电脑→电话→监控显示器。</w:t>
      </w:r>
    </w:p>
    <w:p w14:paraId="6E3B8A5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六、安全注意事项：</w:t>
      </w:r>
    </w:p>
    <w:p w14:paraId="4D2CD90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1.观察：</w:t>
      </w:r>
      <w:r>
        <w:rPr>
          <w:rFonts w:hint="default" w:ascii="仿宋" w:hAnsi="仿宋" w:eastAsia="仿宋" w:cs="仿宋"/>
          <w:color w:val="auto"/>
          <w:kern w:val="2"/>
          <w:sz w:val="28"/>
          <w:szCs w:val="28"/>
          <w:lang w:val="en-US" w:eastAsia="zh-CN" w:bidi="ar"/>
        </w:rPr>
        <w:t>观察集控画面、监控画面及声光信号情况。</w:t>
      </w:r>
    </w:p>
    <w:p w14:paraId="45D55FB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2.报警信号：</w:t>
      </w:r>
      <w:r>
        <w:rPr>
          <w:rFonts w:hint="default" w:ascii="仿宋" w:hAnsi="仿宋" w:eastAsia="仿宋" w:cs="仿宋"/>
          <w:color w:val="auto"/>
          <w:kern w:val="2"/>
          <w:sz w:val="28"/>
          <w:szCs w:val="28"/>
          <w:lang w:val="en-US" w:eastAsia="zh-CN" w:bidi="ar"/>
        </w:rPr>
        <w:t>根据高低液位报警指示，及时开停设备。</w:t>
      </w:r>
    </w:p>
    <w:p w14:paraId="6B54BE0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3.超温：</w:t>
      </w:r>
      <w:r>
        <w:rPr>
          <w:rFonts w:hint="default" w:ascii="仿宋" w:hAnsi="仿宋" w:eastAsia="仿宋" w:cs="仿宋"/>
          <w:color w:val="auto"/>
          <w:kern w:val="2"/>
          <w:sz w:val="28"/>
          <w:szCs w:val="28"/>
          <w:lang w:val="en-US" w:eastAsia="zh-CN" w:bidi="ar"/>
        </w:rPr>
        <w:t>发现压风机风包温度超过120°C，保护未动作时立即停机。</w:t>
      </w:r>
    </w:p>
    <w:p w14:paraId="1889E8D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4.位置：</w:t>
      </w:r>
      <w:r>
        <w:rPr>
          <w:rFonts w:hint="default" w:ascii="仿宋" w:hAnsi="仿宋" w:eastAsia="仿宋" w:cs="仿宋"/>
          <w:color w:val="auto"/>
          <w:kern w:val="2"/>
          <w:sz w:val="28"/>
          <w:szCs w:val="28"/>
          <w:lang w:val="en-US" w:eastAsia="zh-CN" w:bidi="ar"/>
        </w:rPr>
        <w:t>司机操作期间严禁离开操作台，集控员不得随意离开监护位置。</w:t>
      </w:r>
    </w:p>
    <w:p w14:paraId="62D70A9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5.姿势：</w:t>
      </w:r>
      <w:r>
        <w:rPr>
          <w:rFonts w:hint="default" w:ascii="仿宋" w:hAnsi="仿宋" w:eastAsia="仿宋" w:cs="仿宋"/>
          <w:color w:val="auto"/>
          <w:kern w:val="2"/>
          <w:sz w:val="28"/>
          <w:szCs w:val="28"/>
          <w:lang w:val="en-US" w:eastAsia="zh-CN" w:bidi="ar"/>
        </w:rPr>
        <w:t>操作期间应保持坐姿端正。</w:t>
      </w:r>
    </w:p>
    <w:p w14:paraId="5926E49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七、停机后确认</w:t>
      </w:r>
    </w:p>
    <w:p w14:paraId="70323C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1.中央泵房水泵停机后，电流为0，运行画面无流动指示。</w:t>
      </w:r>
    </w:p>
    <w:p w14:paraId="093A569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2.压风机停机后，电流为0，冷却风机显示停止。</w:t>
      </w:r>
    </w:p>
    <w:p w14:paraId="19C1074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3.余热回收设备停机后，运行画面无流动指示。</w:t>
      </w:r>
    </w:p>
    <w:p w14:paraId="2BC5A02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4.生活污水处理站设备停机后，运行画面无流动指示。</w:t>
      </w:r>
    </w:p>
    <w:p w14:paraId="39D6EEF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八、事故案例：</w:t>
      </w:r>
    </w:p>
    <w:p w14:paraId="34DBDF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（一）事故经过</w:t>
      </w:r>
    </w:p>
    <w:p w14:paraId="5697AA4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2006年12月13日20时24分，XX矿通巷工区监测值班员陈XX发现，由掘进三区施工的二采区轨道下山迎头瓦斯传感器在没有预兆的情况下突然报警，显示瓦斯浓度为0.8%。20：25陈XX立即向通巷工区区长程XX汇报，并询问调度员王XX，调度台监测系统是否有报警现象。由于厂家当时正在更新系统，调度台并未出现报警信号。于是调度员王XX又电话询问迎头人员，现场汇报未发现瓦斯传感器报警，且便携仪显示正常。程XX立即安排监测工李XX下井查看原因，21：15监测工李XX到达现场，经检查发现瓦斯传感器的透明罩被击破二处，已损坏不能使用。21：48李XX将新的传感器换上，恢复正常。</w:t>
      </w:r>
    </w:p>
    <w:p w14:paraId="5ABD46F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（二）事故原因</w:t>
      </w:r>
    </w:p>
    <w:p w14:paraId="7A1E489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掘进三区中班放炮员王XX责任心差，对迎头检测设备缺乏保护意识，放炮前未能将瓦斯传感器撤到安全地点，对瓦斯传感器的保护措施不到位，以致崩落的碎矸石将瓦斯传感器击坏，是造成这次事故的直接原因。</w:t>
      </w:r>
    </w:p>
    <w:p w14:paraId="2472F1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2.掘进三区跟班副区长李XX、当班班长艳XX安全意识不强，现场管理不到位，对瓦斯传感器的保护工作重视不够，放炮前未严格检查瓦斯传感器是否掩护好，是造成这次事故的主要原因。</w:t>
      </w:r>
    </w:p>
    <w:p w14:paraId="5258296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3.掘进三区对传感器的保护工作重视不够，现场管理不到位，是造成这次事故的另一原因。</w:t>
      </w:r>
    </w:p>
    <w:p w14:paraId="74FD423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4.通巷工区对瓦斯传感器巡查不到位，监管不力也是造成事故的一个原因。</w:t>
      </w:r>
    </w:p>
    <w:p w14:paraId="225C44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（三）防范措施</w:t>
      </w:r>
    </w:p>
    <w:p w14:paraId="30406E3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1.认真吸取这次事故教训，举一反三，进一步加强干部、职工的“三心”教育，加强现场管理，切实保护使用好各类监测监控设备，坚持24小时不间断的监护，发现异常及时处理。</w:t>
      </w:r>
    </w:p>
    <w:p w14:paraId="2577665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2.进一步健全完善通防管理制度。出现问题后要严格按照xx煤矿安全监测系统报警短信管理规定和瓦斯超限事故处理应急预案进行处理。</w:t>
      </w:r>
    </w:p>
    <w:p w14:paraId="063ED7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九、常见三违</w:t>
      </w:r>
    </w:p>
    <w:p w14:paraId="70CA3D8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（一）</w:t>
      </w:r>
      <w:r>
        <w:rPr>
          <w:rFonts w:hint="default" w:ascii="仿宋" w:hAnsi="仿宋" w:eastAsia="仿宋" w:cs="仿宋"/>
          <w:color w:val="auto"/>
          <w:kern w:val="2"/>
          <w:sz w:val="28"/>
          <w:szCs w:val="28"/>
          <w:lang w:val="en-US" w:eastAsia="zh-CN" w:bidi="ar"/>
        </w:rPr>
        <w:t>无证上岗、证件过期的。</w:t>
      </w:r>
    </w:p>
    <w:p w14:paraId="138FFFE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对抵制或举报制止违章的人员进行打击报复。</w:t>
      </w:r>
    </w:p>
    <w:p w14:paraId="5B1D1D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睡岗、躺岗、脱岗。</w:t>
      </w:r>
    </w:p>
    <w:p w14:paraId="5638F3A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人员酒后上岗。</w:t>
      </w:r>
    </w:p>
    <w:p w14:paraId="46A3BC2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要害岗位携带手机上岗的。</w:t>
      </w:r>
    </w:p>
    <w:p w14:paraId="3E2B9A1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其他违反《煤矿安全规程》、《操作规程》及《作业规程》等有关规定的。</w:t>
      </w:r>
    </w:p>
    <w:p w14:paraId="2DA0125F">
      <w:pPr>
        <w:rPr>
          <w:rFonts w:hint="default"/>
          <w:color w:val="auto"/>
          <w:lang w:val="en-US" w:eastAsia="zh-CN"/>
        </w:rPr>
      </w:pPr>
      <w:bookmarkStart w:id="341" w:name="_Toc30354"/>
      <w:bookmarkStart w:id="342" w:name="_Toc21743"/>
      <w:bookmarkStart w:id="343" w:name="_Toc5426"/>
      <w:r>
        <w:rPr>
          <w:rFonts w:hint="default"/>
          <w:color w:val="auto"/>
          <w:lang w:val="en-US" w:eastAsia="zh-CN"/>
        </w:rPr>
        <w:br w:type="page"/>
      </w:r>
    </w:p>
    <w:p w14:paraId="3D66CB52">
      <w:pPr>
        <w:pStyle w:val="17"/>
        <w:bidi w:val="0"/>
        <w:outlineLvl w:val="1"/>
        <w:rPr>
          <w:rFonts w:hint="eastAsia"/>
          <w:color w:val="auto"/>
        </w:rPr>
      </w:pPr>
      <w:bookmarkStart w:id="344" w:name="_Toc4557"/>
      <w:r>
        <w:rPr>
          <w:rFonts w:hint="default"/>
          <w:color w:val="auto"/>
          <w:lang w:val="en-US" w:eastAsia="zh-CN"/>
        </w:rPr>
        <w:t>矿灯充电工</w:t>
      </w:r>
      <w:bookmarkEnd w:id="341"/>
      <w:bookmarkEnd w:id="342"/>
      <w:bookmarkEnd w:id="343"/>
      <w:bookmarkEnd w:id="344"/>
    </w:p>
    <w:tbl>
      <w:tblPr>
        <w:tblStyle w:val="12"/>
        <w:tblW w:w="93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563"/>
        <w:gridCol w:w="2067"/>
        <w:gridCol w:w="1392"/>
        <w:gridCol w:w="4318"/>
      </w:tblGrid>
      <w:tr w14:paraId="224F79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6" w:hRule="atLeast"/>
          <w:jc w:val="center"/>
        </w:trPr>
        <w:tc>
          <w:tcPr>
            <w:tcW w:w="934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53810B74">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val="0"/>
                <w:bCs w:val="0"/>
                <w:color w:val="auto"/>
                <w:kern w:val="0"/>
                <w:sz w:val="21"/>
                <w:szCs w:val="21"/>
                <w:lang w:val="en-US" w:eastAsia="zh-CN" w:bidi="ar"/>
              </w:rPr>
              <w:t>矿灯充电工岗位风险告知卡</w:t>
            </w:r>
          </w:p>
        </w:tc>
      </w:tr>
      <w:tr w14:paraId="2ACBCC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2" w:hRule="atLeast"/>
          <w:jc w:val="center"/>
        </w:trPr>
        <w:tc>
          <w:tcPr>
            <w:tcW w:w="1563" w:type="dxa"/>
            <w:tcBorders>
              <w:top w:val="nil"/>
              <w:left w:val="single" w:color="auto" w:sz="4" w:space="0"/>
              <w:bottom w:val="single" w:color="auto" w:sz="4" w:space="0"/>
              <w:right w:val="single" w:color="auto" w:sz="4" w:space="0"/>
            </w:tcBorders>
            <w:shd w:val="clear" w:color="auto" w:fill="auto"/>
            <w:vAlign w:val="center"/>
          </w:tcPr>
          <w:p w14:paraId="5B3B652C">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风险</w:t>
            </w:r>
          </w:p>
          <w:p w14:paraId="3DF7DA63">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类型</w:t>
            </w:r>
          </w:p>
        </w:tc>
        <w:tc>
          <w:tcPr>
            <w:tcW w:w="2067" w:type="dxa"/>
            <w:tcBorders>
              <w:top w:val="nil"/>
              <w:left w:val="nil"/>
              <w:bottom w:val="single" w:color="auto" w:sz="4" w:space="0"/>
              <w:right w:val="single" w:color="auto" w:sz="4" w:space="0"/>
            </w:tcBorders>
            <w:shd w:val="clear" w:color="auto" w:fill="auto"/>
            <w:vAlign w:val="center"/>
          </w:tcPr>
          <w:p w14:paraId="1D89080E">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机电、火灾、其它</w:t>
            </w:r>
          </w:p>
        </w:tc>
        <w:tc>
          <w:tcPr>
            <w:tcW w:w="1392" w:type="dxa"/>
            <w:tcBorders>
              <w:top w:val="nil"/>
              <w:left w:val="nil"/>
              <w:bottom w:val="single" w:color="auto" w:sz="4" w:space="0"/>
              <w:right w:val="single" w:color="auto" w:sz="4" w:space="0"/>
            </w:tcBorders>
            <w:shd w:val="clear" w:color="auto" w:fill="auto"/>
            <w:vAlign w:val="center"/>
          </w:tcPr>
          <w:p w14:paraId="58EAE385">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事故</w:t>
            </w:r>
          </w:p>
          <w:p w14:paraId="544162BC">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报告</w:t>
            </w:r>
          </w:p>
        </w:tc>
        <w:tc>
          <w:tcPr>
            <w:tcW w:w="4318" w:type="dxa"/>
            <w:tcBorders>
              <w:top w:val="nil"/>
              <w:left w:val="nil"/>
              <w:bottom w:val="single" w:color="auto" w:sz="4" w:space="0"/>
              <w:right w:val="single" w:color="auto" w:sz="4" w:space="0"/>
            </w:tcBorders>
            <w:shd w:val="clear" w:color="auto" w:fill="auto"/>
            <w:vAlign w:val="center"/>
          </w:tcPr>
          <w:p w14:paraId="6EC87452">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调度</w:t>
            </w:r>
            <w:r>
              <w:rPr>
                <w:rFonts w:hint="eastAsia" w:ascii="仿宋" w:hAnsi="仿宋" w:eastAsia="仿宋" w:cs="仿宋"/>
                <w:color w:val="auto"/>
                <w:kern w:val="0"/>
                <w:sz w:val="21"/>
                <w:szCs w:val="21"/>
                <w:lang w:val="en-US" w:eastAsia="zh-CN" w:bidi="ar"/>
              </w:rPr>
              <w:t>室</w:t>
            </w:r>
            <w:r>
              <w:rPr>
                <w:rFonts w:hint="default" w:ascii="仿宋" w:hAnsi="仿宋" w:eastAsia="仿宋" w:cs="仿宋"/>
                <w:color w:val="auto"/>
                <w:kern w:val="0"/>
                <w:sz w:val="21"/>
                <w:szCs w:val="21"/>
                <w:lang w:val="en-US" w:eastAsia="zh-CN" w:bidi="ar"/>
              </w:rPr>
              <w:t>：8650200、8650202、“#”</w:t>
            </w:r>
          </w:p>
          <w:p w14:paraId="20381190">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工区值班：8650473  66311</w:t>
            </w:r>
            <w:r>
              <w:rPr>
                <w:rFonts w:hint="default" w:ascii="仿宋" w:hAnsi="仿宋" w:eastAsia="仿宋" w:cs="仿宋"/>
                <w:color w:val="auto"/>
                <w:kern w:val="0"/>
                <w:sz w:val="21"/>
                <w:szCs w:val="21"/>
                <w:lang w:val="en-US" w:eastAsia="zh-CN" w:bidi="ar"/>
              </w:rPr>
              <w:br w:type="textWrapping"/>
            </w:r>
            <w:r>
              <w:rPr>
                <w:rFonts w:hint="eastAsia" w:ascii="仿宋" w:hAnsi="仿宋" w:eastAsia="仿宋" w:cs="仿宋"/>
                <w:color w:val="auto"/>
                <w:kern w:val="0"/>
                <w:sz w:val="21"/>
                <w:szCs w:val="21"/>
                <w:lang w:val="en-US" w:eastAsia="zh-CN" w:bidi="ar"/>
              </w:rPr>
              <w:t>安监科</w:t>
            </w:r>
            <w:r>
              <w:rPr>
                <w:rFonts w:hint="default" w:ascii="仿宋" w:hAnsi="仿宋" w:eastAsia="仿宋" w:cs="仿宋"/>
                <w:color w:val="auto"/>
                <w:kern w:val="0"/>
                <w:sz w:val="21"/>
                <w:szCs w:val="21"/>
                <w:lang w:val="en-US" w:eastAsia="zh-CN" w:bidi="ar"/>
              </w:rPr>
              <w:t>值班：8650512</w:t>
            </w:r>
          </w:p>
        </w:tc>
      </w:tr>
      <w:tr w14:paraId="43ADAB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7"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0354F4D">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主要危害因素</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14:paraId="45AA10B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管控措施</w:t>
            </w:r>
          </w:p>
        </w:tc>
      </w:tr>
      <w:tr w14:paraId="668831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78"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7E6600A">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1.未持证上岗；不按照操作规程操作设备</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14:paraId="5B894C8D">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1.经培训合格后，持证上岗；严格按照操作规程操作设备</w:t>
            </w:r>
          </w:p>
        </w:tc>
      </w:tr>
      <w:tr w14:paraId="6AE430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2"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44C712F">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2.未执行停送电制度就开始作业。</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14:paraId="37ABA834">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2.严格按照停送电制度进行作业。</w:t>
            </w:r>
          </w:p>
        </w:tc>
      </w:tr>
      <w:tr w14:paraId="66AB13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5"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DE6FBB0">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3.停电后未验电、放电便开始施工，停电后未挂停电警示牌。</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14:paraId="1739A44B">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3.停电后，对电气设备进行验电、放电，悬挂“有人工作，不准送电”停电警示牌。</w:t>
            </w:r>
          </w:p>
        </w:tc>
      </w:tr>
      <w:tr w14:paraId="43447C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3"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87ED8F1">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4.作业时无人员进行监护。</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14:paraId="2CBB6F7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4.作业时必须一人操作一人监护，做好互保联保。</w:t>
            </w:r>
          </w:p>
        </w:tc>
      </w:tr>
      <w:tr w14:paraId="598ED3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5" w:hRule="atLeast"/>
          <w:jc w:val="center"/>
        </w:trPr>
        <w:tc>
          <w:tcPr>
            <w:tcW w:w="1563" w:type="dxa"/>
            <w:tcBorders>
              <w:top w:val="nil"/>
              <w:left w:val="single" w:color="auto" w:sz="4" w:space="0"/>
              <w:bottom w:val="single" w:color="auto" w:sz="4" w:space="0"/>
              <w:right w:val="single" w:color="auto" w:sz="4" w:space="0"/>
            </w:tcBorders>
            <w:shd w:val="clear" w:color="auto" w:fill="auto"/>
            <w:vAlign w:val="center"/>
          </w:tcPr>
          <w:p w14:paraId="5E89A328">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5B9EB521">
            <w:pPr>
              <w:keepNext w:val="0"/>
              <w:keepLines w:val="0"/>
              <w:pageBreakBefore w:val="0"/>
              <w:widowControl/>
              <w:kinsoku/>
              <w:wordWrap/>
              <w:overflowPunct/>
              <w:topLinePunct w:val="0"/>
              <w:bidi w:val="0"/>
              <w:jc w:val="center"/>
              <w:outlineLvl w:val="9"/>
              <w:rPr>
                <w:rFonts w:hint="default"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77" w:type="dxa"/>
            <w:gridSpan w:val="3"/>
            <w:tcBorders>
              <w:top w:val="single" w:color="auto" w:sz="4" w:space="0"/>
              <w:left w:val="nil"/>
              <w:bottom w:val="single" w:color="auto" w:sz="4" w:space="0"/>
              <w:right w:val="single" w:color="auto" w:sz="4" w:space="0"/>
            </w:tcBorders>
            <w:shd w:val="clear" w:color="auto" w:fill="auto"/>
            <w:vAlign w:val="center"/>
          </w:tcPr>
          <w:p w14:paraId="32192B8F">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021649BE">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default"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434A6B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75" w:hRule="atLeast"/>
          <w:jc w:val="center"/>
        </w:trPr>
        <w:tc>
          <w:tcPr>
            <w:tcW w:w="1563" w:type="dxa"/>
            <w:tcBorders>
              <w:top w:val="nil"/>
              <w:left w:val="single" w:color="auto" w:sz="4" w:space="0"/>
              <w:bottom w:val="single" w:color="auto" w:sz="4" w:space="0"/>
              <w:right w:val="single" w:color="auto" w:sz="4" w:space="0"/>
            </w:tcBorders>
            <w:shd w:val="clear" w:color="auto" w:fill="auto"/>
            <w:vAlign w:val="center"/>
          </w:tcPr>
          <w:p w14:paraId="506D55FB">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应急</w:t>
            </w:r>
          </w:p>
          <w:p w14:paraId="01810634">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处置</w:t>
            </w:r>
          </w:p>
          <w:p w14:paraId="1306161D">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措施</w:t>
            </w:r>
          </w:p>
        </w:tc>
        <w:tc>
          <w:tcPr>
            <w:tcW w:w="7777" w:type="dxa"/>
            <w:gridSpan w:val="3"/>
            <w:tcBorders>
              <w:top w:val="single" w:color="auto" w:sz="4" w:space="0"/>
              <w:left w:val="nil"/>
              <w:bottom w:val="single" w:color="auto" w:sz="4" w:space="0"/>
              <w:right w:val="single" w:color="auto" w:sz="4" w:space="0"/>
            </w:tcBorders>
            <w:shd w:val="clear" w:color="auto" w:fill="auto"/>
            <w:vAlign w:val="center"/>
          </w:tcPr>
          <w:p w14:paraId="61C6458D">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ind w:right="0" w:rightChars="0" w:firstLine="420" w:firstLineChars="200"/>
              <w:jc w:val="left"/>
              <w:textAlignment w:val="auto"/>
              <w:outlineLvl w:val="9"/>
              <w:rPr>
                <w:rFonts w:hint="default"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w:t>
            </w:r>
            <w:r>
              <w:rPr>
                <w:rFonts w:hint="default" w:ascii="仿宋" w:hAnsi="仿宋" w:eastAsia="仿宋" w:cs="仿宋"/>
                <w:color w:val="auto"/>
                <w:kern w:val="0"/>
                <w:sz w:val="21"/>
                <w:szCs w:val="21"/>
                <w:lang w:val="en-US" w:eastAsia="zh-CN" w:bidi="ar"/>
              </w:rPr>
              <w:t>出现紧急情况时，应立即停止工作，采取安全处理后，方可继续施工。</w:t>
            </w:r>
          </w:p>
          <w:p w14:paraId="3050A7EB">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ind w:right="0" w:rightChars="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4F2AFEBE">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right="0"/>
        <w:jc w:val="both"/>
        <w:textAlignment w:val="auto"/>
        <w:outlineLvl w:val="9"/>
        <w:rPr>
          <w:rFonts w:hint="default" w:ascii="仿宋" w:hAnsi="仿宋" w:eastAsia="仿宋" w:cs="仿宋"/>
          <w:b/>
          <w:color w:val="auto"/>
          <w:kern w:val="0"/>
          <w:sz w:val="21"/>
          <w:szCs w:val="21"/>
        </w:rPr>
      </w:pPr>
    </w:p>
    <w:tbl>
      <w:tblPr>
        <w:tblStyle w:val="12"/>
        <w:tblW w:w="9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782"/>
        <w:gridCol w:w="4618"/>
      </w:tblGrid>
      <w:tr w14:paraId="6B001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940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6E6721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color w:val="auto"/>
                <w:kern w:val="2"/>
                <w:sz w:val="21"/>
                <w:szCs w:val="21"/>
              </w:rPr>
            </w:pPr>
            <w:r>
              <w:rPr>
                <w:rFonts w:hint="default" w:ascii="仿宋" w:hAnsi="仿宋" w:eastAsia="仿宋" w:cs="仿宋"/>
                <w:b/>
                <w:color w:val="auto"/>
                <w:kern w:val="2"/>
                <w:sz w:val="21"/>
                <w:szCs w:val="21"/>
                <w:lang w:val="en-US" w:eastAsia="zh-CN" w:bidi="ar"/>
              </w:rPr>
              <w:t>矿灯充电工安全提示卡</w:t>
            </w:r>
          </w:p>
        </w:tc>
      </w:tr>
      <w:tr w14:paraId="76145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4782" w:type="dxa"/>
            <w:tcBorders>
              <w:top w:val="single" w:color="auto" w:sz="4" w:space="0"/>
              <w:left w:val="single" w:color="auto" w:sz="4" w:space="0"/>
              <w:bottom w:val="single" w:color="auto" w:sz="4" w:space="0"/>
              <w:right w:val="single" w:color="auto" w:sz="4" w:space="0"/>
            </w:tcBorders>
            <w:shd w:val="clear" w:color="auto" w:fill="auto"/>
            <w:vAlign w:val="center"/>
          </w:tcPr>
          <w:p w14:paraId="56855E6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充电前检查</w:t>
            </w:r>
          </w:p>
        </w:tc>
        <w:tc>
          <w:tcPr>
            <w:tcW w:w="4618" w:type="dxa"/>
            <w:tcBorders>
              <w:top w:val="single" w:color="auto" w:sz="4" w:space="0"/>
              <w:left w:val="nil"/>
              <w:bottom w:val="single" w:color="auto" w:sz="4" w:space="0"/>
              <w:right w:val="single" w:color="auto" w:sz="4" w:space="0"/>
            </w:tcBorders>
            <w:shd w:val="clear" w:color="auto" w:fill="auto"/>
            <w:vAlign w:val="center"/>
          </w:tcPr>
          <w:p w14:paraId="6969C5C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充电后确认</w:t>
            </w:r>
          </w:p>
        </w:tc>
      </w:tr>
      <w:tr w14:paraId="792D3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 w:hRule="atLeast"/>
          <w:jc w:val="center"/>
        </w:trPr>
        <w:tc>
          <w:tcPr>
            <w:tcW w:w="4782" w:type="dxa"/>
            <w:tcBorders>
              <w:top w:val="single" w:color="auto" w:sz="4" w:space="0"/>
              <w:left w:val="single" w:color="auto" w:sz="4" w:space="0"/>
              <w:bottom w:val="single" w:color="auto" w:sz="4" w:space="0"/>
              <w:right w:val="single" w:color="auto" w:sz="4" w:space="0"/>
            </w:tcBorders>
            <w:shd w:val="clear" w:color="auto" w:fill="auto"/>
            <w:vAlign w:val="center"/>
          </w:tcPr>
          <w:p w14:paraId="4D2459FD">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1.充电架</w:t>
            </w:r>
          </w:p>
        </w:tc>
        <w:tc>
          <w:tcPr>
            <w:tcW w:w="4618" w:type="dxa"/>
            <w:tcBorders>
              <w:top w:val="single" w:color="auto" w:sz="4" w:space="0"/>
              <w:left w:val="nil"/>
              <w:bottom w:val="single" w:color="auto" w:sz="4" w:space="0"/>
              <w:right w:val="single" w:color="auto" w:sz="4" w:space="0"/>
            </w:tcBorders>
            <w:shd w:val="clear" w:color="auto" w:fill="auto"/>
            <w:vAlign w:val="center"/>
          </w:tcPr>
          <w:p w14:paraId="597692E2">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1.电压</w:t>
            </w:r>
          </w:p>
        </w:tc>
      </w:tr>
      <w:tr w14:paraId="7E4C4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4782" w:type="dxa"/>
            <w:tcBorders>
              <w:top w:val="single" w:color="auto" w:sz="4" w:space="0"/>
              <w:left w:val="single" w:color="auto" w:sz="4" w:space="0"/>
              <w:bottom w:val="single" w:color="auto" w:sz="4" w:space="0"/>
              <w:right w:val="single" w:color="auto" w:sz="4" w:space="0"/>
            </w:tcBorders>
            <w:shd w:val="clear" w:color="auto" w:fill="auto"/>
            <w:vAlign w:val="center"/>
          </w:tcPr>
          <w:p w14:paraId="66CF1BFC">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2.矿灯</w:t>
            </w:r>
          </w:p>
        </w:tc>
        <w:tc>
          <w:tcPr>
            <w:tcW w:w="4618" w:type="dxa"/>
            <w:tcBorders>
              <w:top w:val="single" w:color="auto" w:sz="4" w:space="0"/>
              <w:left w:val="nil"/>
              <w:bottom w:val="single" w:color="auto" w:sz="4" w:space="0"/>
              <w:right w:val="single" w:color="auto" w:sz="4" w:space="0"/>
            </w:tcBorders>
            <w:shd w:val="clear" w:color="auto" w:fill="auto"/>
            <w:vAlign w:val="center"/>
          </w:tcPr>
          <w:p w14:paraId="0972C77E">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2.电流</w:t>
            </w:r>
          </w:p>
        </w:tc>
      </w:tr>
      <w:tr w14:paraId="1A7755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4782" w:type="dxa"/>
            <w:tcBorders>
              <w:top w:val="single" w:color="auto" w:sz="4" w:space="0"/>
              <w:left w:val="single" w:color="auto" w:sz="4" w:space="0"/>
              <w:bottom w:val="single" w:color="auto" w:sz="4" w:space="0"/>
              <w:right w:val="single" w:color="auto" w:sz="4" w:space="0"/>
            </w:tcBorders>
            <w:shd w:val="clear" w:color="auto" w:fill="auto"/>
            <w:vAlign w:val="center"/>
          </w:tcPr>
          <w:p w14:paraId="50DE8A27">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3.消防器材</w:t>
            </w:r>
          </w:p>
        </w:tc>
        <w:tc>
          <w:tcPr>
            <w:tcW w:w="4618" w:type="dxa"/>
            <w:tcBorders>
              <w:top w:val="single" w:color="auto" w:sz="4" w:space="0"/>
              <w:left w:val="nil"/>
              <w:bottom w:val="single" w:color="auto" w:sz="4" w:space="0"/>
              <w:right w:val="single" w:color="auto" w:sz="4" w:space="0"/>
            </w:tcBorders>
            <w:shd w:val="clear" w:color="auto" w:fill="auto"/>
            <w:vAlign w:val="center"/>
          </w:tcPr>
          <w:p w14:paraId="3E1FFDE1">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3.显示屏</w:t>
            </w:r>
          </w:p>
        </w:tc>
      </w:tr>
    </w:tbl>
    <w:p w14:paraId="41AD8C4E">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right="0"/>
        <w:jc w:val="both"/>
        <w:textAlignment w:val="auto"/>
        <w:outlineLvl w:val="9"/>
        <w:rPr>
          <w:rFonts w:hint="default" w:ascii="仿宋" w:hAnsi="仿宋" w:eastAsia="仿宋" w:cs="仿宋"/>
          <w:b/>
          <w:color w:val="auto"/>
          <w:kern w:val="0"/>
          <w:sz w:val="21"/>
          <w:szCs w:val="21"/>
        </w:rPr>
      </w:pPr>
    </w:p>
    <w:tbl>
      <w:tblPr>
        <w:tblStyle w:val="12"/>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380"/>
      </w:tblGrid>
      <w:tr w14:paraId="4F6356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8"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185B4FEA">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矿灯充电工单元检查表</w:t>
            </w:r>
          </w:p>
        </w:tc>
      </w:tr>
      <w:tr w14:paraId="6C49D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309F093C">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1.矿灯充电架外观及卫生</w:t>
            </w:r>
          </w:p>
        </w:tc>
      </w:tr>
      <w:tr w14:paraId="6C12B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41B41203">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2.每个充电箱显示器：电流、电压、人员姓名</w:t>
            </w:r>
          </w:p>
        </w:tc>
      </w:tr>
      <w:tr w14:paraId="36283C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53CDBF0B">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3.矿灯检查</w:t>
            </w:r>
          </w:p>
        </w:tc>
      </w:tr>
      <w:tr w14:paraId="425CEB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0392D67F">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4.自救器检查</w:t>
            </w:r>
          </w:p>
        </w:tc>
      </w:tr>
      <w:tr w14:paraId="6138A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64CCF122">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5.灭火器检查</w:t>
            </w:r>
          </w:p>
        </w:tc>
      </w:tr>
    </w:tbl>
    <w:p w14:paraId="2EAF38A8">
      <w:pPr>
        <w:pageBreakBefore w:val="0"/>
        <w:kinsoku/>
        <w:wordWrap/>
        <w:overflowPunct/>
        <w:topLinePunct w:val="0"/>
        <w:autoSpaceDN/>
        <w:bidi w:val="0"/>
        <w:adjustRightInd/>
        <w:snapToGrid/>
        <w:textAlignment w:val="auto"/>
        <w:outlineLvl w:val="9"/>
        <w:rPr>
          <w:color w:val="auto"/>
        </w:rPr>
      </w:pPr>
    </w:p>
    <w:tbl>
      <w:tblPr>
        <w:tblStyle w:val="12"/>
        <w:tblW w:w="938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79"/>
        <w:gridCol w:w="1617"/>
        <w:gridCol w:w="7084"/>
      </w:tblGrid>
      <w:tr w14:paraId="65C001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jc w:val="center"/>
        </w:trPr>
        <w:tc>
          <w:tcPr>
            <w:tcW w:w="938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35508D1A">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2"/>
                <w:sz w:val="21"/>
                <w:szCs w:val="21"/>
                <w:lang w:val="en-US" w:eastAsia="zh-CN" w:bidi="ar"/>
              </w:rPr>
              <w:t>矿灯充电工操作过程注意事项</w:t>
            </w:r>
          </w:p>
        </w:tc>
      </w:tr>
      <w:tr w14:paraId="3750F1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4" w:hRule="atLeast"/>
          <w:jc w:val="center"/>
        </w:trPr>
        <w:tc>
          <w:tcPr>
            <w:tcW w:w="679" w:type="dxa"/>
            <w:tcBorders>
              <w:top w:val="nil"/>
              <w:left w:val="single" w:color="auto" w:sz="4" w:space="0"/>
              <w:bottom w:val="single" w:color="auto" w:sz="4" w:space="0"/>
              <w:right w:val="single" w:color="auto" w:sz="4" w:space="0"/>
            </w:tcBorders>
            <w:shd w:val="clear" w:color="auto" w:fill="auto"/>
            <w:vAlign w:val="center"/>
          </w:tcPr>
          <w:p w14:paraId="4AC5C8F7">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序号</w:t>
            </w:r>
          </w:p>
        </w:tc>
        <w:tc>
          <w:tcPr>
            <w:tcW w:w="1617" w:type="dxa"/>
            <w:tcBorders>
              <w:top w:val="nil"/>
              <w:left w:val="nil"/>
              <w:bottom w:val="single" w:color="auto" w:sz="4" w:space="0"/>
              <w:right w:val="single" w:color="auto" w:sz="4" w:space="0"/>
            </w:tcBorders>
            <w:shd w:val="clear" w:color="auto" w:fill="auto"/>
            <w:vAlign w:val="center"/>
          </w:tcPr>
          <w:p w14:paraId="5DFB0CFE">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提示词</w:t>
            </w:r>
          </w:p>
        </w:tc>
        <w:tc>
          <w:tcPr>
            <w:tcW w:w="7084" w:type="dxa"/>
            <w:tcBorders>
              <w:top w:val="nil"/>
              <w:left w:val="nil"/>
              <w:bottom w:val="single" w:color="auto" w:sz="4" w:space="0"/>
              <w:right w:val="single" w:color="auto" w:sz="4" w:space="0"/>
            </w:tcBorders>
            <w:shd w:val="clear" w:color="auto" w:fill="auto"/>
            <w:vAlign w:val="center"/>
          </w:tcPr>
          <w:p w14:paraId="3428670E">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主要内容</w:t>
            </w:r>
          </w:p>
        </w:tc>
      </w:tr>
      <w:tr w14:paraId="1455A7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3" w:hRule="atLeast"/>
          <w:jc w:val="center"/>
        </w:trPr>
        <w:tc>
          <w:tcPr>
            <w:tcW w:w="679" w:type="dxa"/>
            <w:tcBorders>
              <w:top w:val="nil"/>
              <w:left w:val="single" w:color="auto" w:sz="4" w:space="0"/>
              <w:bottom w:val="single" w:color="000000" w:sz="4" w:space="0"/>
              <w:right w:val="single" w:color="auto" w:sz="4" w:space="0"/>
            </w:tcBorders>
            <w:shd w:val="clear" w:color="auto" w:fill="auto"/>
            <w:vAlign w:val="center"/>
          </w:tcPr>
          <w:p w14:paraId="40A5F623">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w:t>
            </w:r>
          </w:p>
        </w:tc>
        <w:tc>
          <w:tcPr>
            <w:tcW w:w="1617" w:type="dxa"/>
            <w:tcBorders>
              <w:top w:val="nil"/>
              <w:left w:val="nil"/>
              <w:bottom w:val="single" w:color="auto" w:sz="4" w:space="0"/>
              <w:right w:val="single" w:color="auto" w:sz="4" w:space="0"/>
            </w:tcBorders>
            <w:shd w:val="clear" w:color="auto" w:fill="auto"/>
            <w:vAlign w:val="center"/>
          </w:tcPr>
          <w:p w14:paraId="28CDC3D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看显示</w:t>
            </w:r>
          </w:p>
        </w:tc>
        <w:tc>
          <w:tcPr>
            <w:tcW w:w="7084" w:type="dxa"/>
            <w:tcBorders>
              <w:top w:val="nil"/>
              <w:left w:val="nil"/>
              <w:bottom w:val="single" w:color="auto" w:sz="4" w:space="0"/>
              <w:right w:val="single" w:color="auto" w:sz="4" w:space="0"/>
            </w:tcBorders>
            <w:shd w:val="clear" w:color="auto" w:fill="auto"/>
            <w:vAlign w:val="center"/>
          </w:tcPr>
          <w:p w14:paraId="14190967">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注意观察充电器显示屏各参数显示，出现异常立即采取措施。</w:t>
            </w:r>
          </w:p>
        </w:tc>
      </w:tr>
      <w:tr w14:paraId="69C7F8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8" w:hRule="atLeast"/>
          <w:jc w:val="center"/>
        </w:trPr>
        <w:tc>
          <w:tcPr>
            <w:tcW w:w="679" w:type="dxa"/>
            <w:tcBorders>
              <w:top w:val="nil"/>
              <w:left w:val="single" w:color="auto" w:sz="4" w:space="0"/>
              <w:bottom w:val="single" w:color="000000" w:sz="4" w:space="0"/>
              <w:right w:val="single" w:color="auto" w:sz="4" w:space="0"/>
            </w:tcBorders>
            <w:shd w:val="clear" w:color="auto" w:fill="auto"/>
            <w:vAlign w:val="center"/>
          </w:tcPr>
          <w:p w14:paraId="1C027BB8">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w:t>
            </w:r>
          </w:p>
        </w:tc>
        <w:tc>
          <w:tcPr>
            <w:tcW w:w="1617" w:type="dxa"/>
            <w:tcBorders>
              <w:top w:val="nil"/>
              <w:left w:val="nil"/>
              <w:bottom w:val="single" w:color="auto" w:sz="4" w:space="0"/>
              <w:right w:val="single" w:color="auto" w:sz="4" w:space="0"/>
            </w:tcBorders>
            <w:shd w:val="clear" w:color="auto" w:fill="auto"/>
            <w:vAlign w:val="center"/>
          </w:tcPr>
          <w:p w14:paraId="1130E83E">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看设备</w:t>
            </w:r>
          </w:p>
        </w:tc>
        <w:tc>
          <w:tcPr>
            <w:tcW w:w="7084" w:type="dxa"/>
            <w:tcBorders>
              <w:top w:val="nil"/>
              <w:left w:val="nil"/>
              <w:bottom w:val="single" w:color="auto" w:sz="4" w:space="0"/>
              <w:right w:val="single" w:color="auto" w:sz="4" w:space="0"/>
            </w:tcBorders>
            <w:shd w:val="clear" w:color="auto" w:fill="auto"/>
            <w:vAlign w:val="center"/>
          </w:tcPr>
          <w:p w14:paraId="48BCE3FD">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如果充电设备出现故障，需要维修时，需按停电、验电放电规定操作。</w:t>
            </w:r>
          </w:p>
        </w:tc>
      </w:tr>
      <w:tr w14:paraId="124928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7" w:hRule="atLeast"/>
          <w:jc w:val="center"/>
        </w:trPr>
        <w:tc>
          <w:tcPr>
            <w:tcW w:w="679" w:type="dxa"/>
            <w:tcBorders>
              <w:top w:val="nil"/>
              <w:left w:val="single" w:color="auto" w:sz="4" w:space="0"/>
              <w:bottom w:val="single" w:color="000000" w:sz="4" w:space="0"/>
              <w:right w:val="single" w:color="auto" w:sz="4" w:space="0"/>
            </w:tcBorders>
            <w:shd w:val="clear" w:color="auto" w:fill="auto"/>
            <w:vAlign w:val="center"/>
          </w:tcPr>
          <w:p w14:paraId="1412B46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w:t>
            </w:r>
          </w:p>
        </w:tc>
        <w:tc>
          <w:tcPr>
            <w:tcW w:w="1617" w:type="dxa"/>
            <w:tcBorders>
              <w:top w:val="nil"/>
              <w:left w:val="nil"/>
              <w:bottom w:val="single" w:color="auto" w:sz="4" w:space="0"/>
              <w:right w:val="single" w:color="auto" w:sz="4" w:space="0"/>
            </w:tcBorders>
            <w:shd w:val="clear" w:color="auto" w:fill="auto"/>
            <w:vAlign w:val="center"/>
          </w:tcPr>
          <w:p w14:paraId="1FC8086A">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互保</w:t>
            </w:r>
          </w:p>
        </w:tc>
        <w:tc>
          <w:tcPr>
            <w:tcW w:w="7084" w:type="dxa"/>
            <w:tcBorders>
              <w:top w:val="nil"/>
              <w:left w:val="nil"/>
              <w:bottom w:val="single" w:color="auto" w:sz="4" w:space="0"/>
              <w:right w:val="single" w:color="auto" w:sz="4" w:space="0"/>
            </w:tcBorders>
            <w:shd w:val="clear" w:color="auto" w:fill="auto"/>
            <w:vAlign w:val="center"/>
          </w:tcPr>
          <w:p w14:paraId="4DEC9218">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进行维修作业时，需一人操作一人监护。</w:t>
            </w:r>
          </w:p>
        </w:tc>
      </w:tr>
    </w:tbl>
    <w:p w14:paraId="7C367B7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一、一般规定</w:t>
      </w:r>
    </w:p>
    <w:p w14:paraId="08CBD3E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（一）</w:t>
      </w:r>
      <w:r>
        <w:rPr>
          <w:rFonts w:hint="default" w:ascii="仿宋" w:hAnsi="仿宋" w:eastAsia="仿宋" w:cs="仿宋"/>
          <w:color w:val="auto"/>
          <w:kern w:val="2"/>
          <w:sz w:val="28"/>
          <w:szCs w:val="28"/>
          <w:lang w:val="en-US" w:eastAsia="zh-CN" w:bidi="ar"/>
        </w:rPr>
        <w:t>严格遵守安全生产规章制度和操作规程，服从管理。</w:t>
      </w:r>
    </w:p>
    <w:p w14:paraId="5E6AA19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积极参加安全学习及相关培训,掌握本职工作所需的安全生产知识，提高安全生产技能,必须经培训取得相应资格证书，方可上岗。</w:t>
      </w:r>
    </w:p>
    <w:p w14:paraId="13D8A59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正确佩戴和使用劳动防护用品。</w:t>
      </w:r>
    </w:p>
    <w:p w14:paraId="0CEAE43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认真开展岗前、岗中安全隐患排查，确保本岗位作业区域内相关机械设备、用电、环境等保持安全状况。</w:t>
      </w:r>
    </w:p>
    <w:p w14:paraId="7C4DE21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熟悉充电设备和矿灯的构造、性能，加强对设备、矿灯的维护保养。</w:t>
      </w:r>
    </w:p>
    <w:p w14:paraId="7F09AD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做好自救器日常检查、气密试验，做好瓦检仪日常维护和调校工作。</w:t>
      </w:r>
    </w:p>
    <w:p w14:paraId="2C9B5E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（七）</w:t>
      </w:r>
      <w:r>
        <w:rPr>
          <w:rFonts w:hint="default" w:ascii="仿宋" w:hAnsi="仿宋" w:eastAsia="仿宋" w:cs="仿宋"/>
          <w:color w:val="auto"/>
          <w:kern w:val="2"/>
          <w:sz w:val="28"/>
          <w:szCs w:val="28"/>
          <w:lang w:val="en-US" w:eastAsia="zh-CN" w:bidi="ar"/>
        </w:rPr>
        <w:t>严禁发放失爆、放电时间不足等不完好矿灯。</w:t>
      </w:r>
    </w:p>
    <w:p w14:paraId="10AC75E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认真做好本职工作，工作时间不准无故脱岗，不做与本职工作无关的事情。</w:t>
      </w:r>
    </w:p>
    <w:p w14:paraId="0B9AE34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（九）</w:t>
      </w:r>
      <w:r>
        <w:rPr>
          <w:rFonts w:hint="default" w:ascii="仿宋" w:hAnsi="仿宋" w:eastAsia="仿宋" w:cs="仿宋"/>
          <w:color w:val="auto"/>
          <w:kern w:val="2"/>
          <w:sz w:val="28"/>
          <w:szCs w:val="28"/>
          <w:lang w:val="en-US" w:eastAsia="zh-CN" w:bidi="ar"/>
        </w:rPr>
        <w:t>搞好环境和岗位卫生，保持清洁干净。</w:t>
      </w:r>
    </w:p>
    <w:p w14:paraId="0857983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（十）</w:t>
      </w:r>
      <w:r>
        <w:rPr>
          <w:rFonts w:hint="default" w:ascii="仿宋" w:hAnsi="仿宋" w:eastAsia="仿宋" w:cs="仿宋"/>
          <w:color w:val="auto"/>
          <w:kern w:val="2"/>
          <w:sz w:val="28"/>
          <w:szCs w:val="28"/>
          <w:lang w:val="en-US" w:eastAsia="zh-CN" w:bidi="ar"/>
        </w:rPr>
        <w:t>发生生产安全事故后，事故现场有关人员应当立即报告本单位负责人；发现事故隐患或者其他不安全因素，应当立即向现场安全管理人员或者本单位负责人报告。</w:t>
      </w:r>
    </w:p>
    <w:p w14:paraId="431C0A1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（十一）</w:t>
      </w:r>
      <w:r>
        <w:rPr>
          <w:rFonts w:hint="default" w:ascii="仿宋" w:hAnsi="仿宋" w:eastAsia="仿宋" w:cs="仿宋"/>
          <w:color w:val="auto"/>
          <w:kern w:val="2"/>
          <w:sz w:val="28"/>
          <w:szCs w:val="28"/>
          <w:lang w:val="en-US" w:eastAsia="zh-CN" w:bidi="ar"/>
        </w:rPr>
        <w:t>有权对单位安全生产工作中存在的问题提出批评、检举、控告，有权拒绝违章指挥和强令冒险作业。</w:t>
      </w:r>
    </w:p>
    <w:p w14:paraId="7A3EF06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（十二）</w:t>
      </w:r>
      <w:r>
        <w:rPr>
          <w:rFonts w:hint="default" w:ascii="仿宋" w:hAnsi="仿宋" w:eastAsia="仿宋" w:cs="仿宋"/>
          <w:color w:val="auto"/>
          <w:kern w:val="2"/>
          <w:sz w:val="28"/>
          <w:szCs w:val="28"/>
          <w:lang w:val="en-US" w:eastAsia="zh-CN" w:bidi="ar"/>
        </w:rPr>
        <w:t>熟悉本岗位的安全生产风险和应急处置措施，发现直接危及人身安全的紧急情况时,有权停止作业或者在采取可能的应急措施后,撤离作业现场。</w:t>
      </w:r>
    </w:p>
    <w:p w14:paraId="45DD5E4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（十三）</w:t>
      </w:r>
      <w:r>
        <w:rPr>
          <w:rFonts w:hint="default" w:ascii="仿宋" w:hAnsi="仿宋" w:eastAsia="仿宋" w:cs="仿宋"/>
          <w:color w:val="auto"/>
          <w:kern w:val="2"/>
          <w:sz w:val="28"/>
          <w:szCs w:val="28"/>
          <w:lang w:val="en-US" w:eastAsia="zh-CN" w:bidi="ar"/>
        </w:rPr>
        <w:t>熟练掌握应急逃生知识，提高互救自救能力。</w:t>
      </w:r>
    </w:p>
    <w:p w14:paraId="27A234F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二、薄弱人物排查治理办法</w:t>
      </w:r>
    </w:p>
    <w:p w14:paraId="0E7CE75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（一）薄弱人物范畴</w:t>
      </w:r>
    </w:p>
    <w:p w14:paraId="31D4BA7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1.嗜好饮酒的“迷糊人”：是指爱好喝酒、酗酒甚至容易醉酒的人。</w:t>
      </w:r>
    </w:p>
    <w:p w14:paraId="1F61B69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2.婚期前后的“甜蜜人”：是指正在筹备或者刚刚完成婚姻大事的人。</w:t>
      </w:r>
    </w:p>
    <w:p w14:paraId="3D991B7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3.家有丧事的“失落人”：是指家庭有亲人离世导致情绪失落波动。</w:t>
      </w:r>
    </w:p>
    <w:p w14:paraId="66CBA74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4.经常违章的“大胆人”：是指自律能力差，对违章屡教不改的人。</w:t>
      </w:r>
    </w:p>
    <w:p w14:paraId="6887933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5.挨批受罚的“情绪人”：是指受到批评处罚情绪低落的人。</w:t>
      </w:r>
    </w:p>
    <w:p w14:paraId="7E92F09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6.重新上岗的“三长人”：是指长伤、长病、长旷的返岗人员。</w:t>
      </w:r>
    </w:p>
    <w:p w14:paraId="73144E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7.极度疲劳的“硬撑人”：是指班后从事体力劳动极度疲惫的人。</w:t>
      </w:r>
    </w:p>
    <w:p w14:paraId="3FE0E5F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8.临近退休的“老年人”：是指年龄偏大（50岁以上）的老工人。</w:t>
      </w:r>
    </w:p>
    <w:p w14:paraId="5AC75A1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9.随时发病的“体弱人”：是指被医院诊断患有高血压、心脏病、脑血栓、抑郁症等病情的人。</w:t>
      </w:r>
    </w:p>
    <w:p w14:paraId="199DED8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10.家境特殊的“纠结人”：是指频发家庭矛盾影响工作情绪的人。</w:t>
      </w:r>
    </w:p>
    <w:p w14:paraId="4D0E24A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11.岗位调整的“转行人”：是指转换了工作岗位、改变了工作性质的人。</w:t>
      </w:r>
    </w:p>
    <w:p w14:paraId="10D8552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12.初来乍到的“新工人”：是指刚入矿或者从外单位调入的人。</w:t>
      </w:r>
    </w:p>
    <w:p w14:paraId="46A32B3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13.班前教育的“落空人”：是指未参加班前会的人。</w:t>
      </w:r>
    </w:p>
    <w:p w14:paraId="1B46712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14.心力交瘁的“上访人”：是指由于社会矛盾得不到及时解决有上访倾向的人。</w:t>
      </w:r>
    </w:p>
    <w:p w14:paraId="56EE30E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15.八小时以外的“网络人”：是指工作之余，喜欢上网的年轻员工，班前休息不好，上班精力不集中。</w:t>
      </w:r>
    </w:p>
    <w:p w14:paraId="36DA50B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16.性格粗暴的“鲁莽人”：是指性格简单粗暴的员工，工作急躁毛躁浮躁。</w:t>
      </w:r>
    </w:p>
    <w:p w14:paraId="109FA53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17.反应迟钝的“麻木人”：是指工作麻痹大意、马虎凑付不在乎、反应迟钝的员工。</w:t>
      </w:r>
    </w:p>
    <w:p w14:paraId="5D6DBA7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18.不安心工作的“跳槽人”：是指不安心本职工作，意欲调动工作的人。</w:t>
      </w:r>
    </w:p>
    <w:p w14:paraId="0BE2865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19.不服从管理的“顶牛人”：是指与管理人员或员工有矛盾，不服从管理的员工。</w:t>
      </w:r>
    </w:p>
    <w:p w14:paraId="4E1C9D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20</w:t>
      </w:r>
      <w:r>
        <w:rPr>
          <w:rFonts w:hint="eastAsia" w:ascii="仿宋" w:hAnsi="仿宋" w:eastAsia="仿宋" w:cs="仿宋"/>
          <w:b w:val="0"/>
          <w:color w:val="auto"/>
          <w:kern w:val="2"/>
          <w:sz w:val="28"/>
          <w:szCs w:val="28"/>
          <w:lang w:val="en-US" w:eastAsia="zh-CN" w:bidi="ar"/>
        </w:rPr>
        <w:t>.</w:t>
      </w:r>
      <w:r>
        <w:rPr>
          <w:rFonts w:hint="default" w:ascii="仿宋" w:hAnsi="仿宋" w:eastAsia="仿宋" w:cs="仿宋"/>
          <w:b w:val="0"/>
          <w:color w:val="auto"/>
          <w:kern w:val="2"/>
          <w:sz w:val="28"/>
          <w:szCs w:val="28"/>
          <w:lang w:val="en-US" w:eastAsia="zh-CN" w:bidi="ar"/>
        </w:rPr>
        <w:t>肩负第二职业的“经济人”：是指挣钱不要命，工作之余另有第二职业的人。</w:t>
      </w:r>
    </w:p>
    <w:p w14:paraId="78BAE6D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（二）实施建档管理</w:t>
      </w:r>
    </w:p>
    <w:p w14:paraId="72FC5FC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589AC2D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（三）具体排查方式</w:t>
      </w:r>
    </w:p>
    <w:p w14:paraId="4302CF3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28DA1CB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76F4984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5CC6B84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7A5E07A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77139E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7848D2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（四）薄弱人员管控措施</w:t>
      </w:r>
    </w:p>
    <w:p w14:paraId="23B577B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1.对于岗前饮酒者，坚决禁止上岗作业。轻者责令其回家休息，重者在区队原地休息或者安排人员护送回家。</w:t>
      </w:r>
    </w:p>
    <w:p w14:paraId="678FD7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2.对于有喜事或丧事的人员，要通过面谈掌握当事人的心理状态，无异议后方可下井。</w:t>
      </w:r>
    </w:p>
    <w:p w14:paraId="3772634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3.对于经常违章的人员，要加强日常的教育，在班前会上注重提问，安排岗位要合理，原则上做到“疑人不用”。</w:t>
      </w:r>
    </w:p>
    <w:p w14:paraId="4E015A7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4.对于受到批评和处罚的员工，要加强心理疏导，让当事人放下思想包袱，解除心里抱怨，避免带着情绪上岗。</w:t>
      </w:r>
    </w:p>
    <w:p w14:paraId="10E2038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5.对于“三长”人员，必须加强岗前教育培训，考试合格后方可上岗。上岗过程中，要作为重点的巡查盯靠对象，实施跟踪观察。</w:t>
      </w:r>
    </w:p>
    <w:p w14:paraId="6BAC07E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14:paraId="2790D3A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7.对于家庭矛盾突出的员工，应通过谈心或者家访的方式，及时为员工解决家庭矛盾，解开症结，保证员工轻装上岗。</w:t>
      </w:r>
    </w:p>
    <w:p w14:paraId="20F73CF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8.对于临近退休的老工人，在安排岗位上首要考虑安全因素，原则上不安排攀高、抬重、高温等急难险重类型的作业。</w:t>
      </w:r>
    </w:p>
    <w:p w14:paraId="0D7B0AA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9.对于转岗员工当成新工人尽心管理，严格履行以师带徒合同，在老工人的带领下作业。</w:t>
      </w:r>
    </w:p>
    <w:p w14:paraId="2C6235B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3FD0201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11.凡是没有参加班前会学习教育的人员，一律严禁上岗作业。</w:t>
      </w:r>
    </w:p>
    <w:p w14:paraId="6BE2785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12.对于喜欢上网的年轻员工，要加强引导，多沟通勤交流，促使他们培养健康向上的生活工作情趣。</w:t>
      </w:r>
    </w:p>
    <w:p w14:paraId="0744C59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13.对于有上访倾向的人，要及时了解情况，掌握思想状态，活血化瘀，必要时可申请法律援助，解决实际困难。</w:t>
      </w:r>
    </w:p>
    <w:p w14:paraId="63A98AD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14:paraId="3968B9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15.对于不服从管理的员工，单位管理人员要及时做好一人一事的思想工作，解决存在的矛盾，使其心悦诚服、心情舒畅的投入工作。</w:t>
      </w:r>
    </w:p>
    <w:p w14:paraId="67B10FF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14:paraId="3E6F957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三、安全风险辨识与管控措施</w:t>
      </w:r>
    </w:p>
    <w:p w14:paraId="07F1CEF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风险描述：未执行停送电制度就开始作业；停电后未验电、放电便开始施工，停电后未挂停电警示牌；作业时无人员进行监护。</w:t>
      </w:r>
    </w:p>
    <w:p w14:paraId="0B82AEA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管控措施：严格按照停送电制度进行作业；停电后，对电气设备进行验电、放电，悬挂“有人工作，不准送电”警示牌；作业时必须一人操作一人监护，做好互保联保。</w:t>
      </w:r>
    </w:p>
    <w:p w14:paraId="2754948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四、（一）开机前检查</w:t>
      </w:r>
    </w:p>
    <w:p w14:paraId="4C863AC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1.充电前</w:t>
      </w:r>
    </w:p>
    <w:p w14:paraId="30D1595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①风险描述：充电架显示异常，存在无法充电、设备损坏的风险。</w:t>
      </w:r>
    </w:p>
    <w:p w14:paraId="1A8A4E1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管控措施：操作前对充电架进行检查，充电架指示灯显示正常，充电架通电正常，发现问题应及时汇报处理。</w:t>
      </w:r>
    </w:p>
    <w:p w14:paraId="06C00B7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②风险描述：矿灯不完好，灯线破损，存在矿灯无法充电的风险。</w:t>
      </w:r>
    </w:p>
    <w:p w14:paraId="16291A5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管控措施：矿灯充电前，检查矿灯及灯线，发现问题及时修复，否则严禁充电。</w:t>
      </w:r>
    </w:p>
    <w:p w14:paraId="107DD8E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③风险描述：消防器材失效或缺失，发生火灾时，不能及时灭火，存在设备损坏或人员伤亡的风险。</w:t>
      </w:r>
    </w:p>
    <w:p w14:paraId="0C6697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管控措施：做好防灭火设备设施的维护保养，确保齐全有效。</w:t>
      </w:r>
    </w:p>
    <w:p w14:paraId="73FA76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2.操作过程中</w:t>
      </w:r>
    </w:p>
    <w:p w14:paraId="32D581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风险描述：矿灯充电过程中电池和充电架过热，充电工未及时发现，存在引起电气火灾的风险。</w:t>
      </w:r>
    </w:p>
    <w:p w14:paraId="664471C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管控措施：严格执行矿灯充电过程中巡检和操作制度，发现问题及时处理或汇报。</w:t>
      </w:r>
    </w:p>
    <w:p w14:paraId="5ADE00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3.充电后</w:t>
      </w:r>
    </w:p>
    <w:p w14:paraId="1D9A3D6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风险描述：充电后，充电架显示屏数据异常，存在矿灯未充电或充电不足的风险。</w:t>
      </w:r>
    </w:p>
    <w:p w14:paraId="73C3CB1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管控措施：充电后检查充电完成情况，发现异常，应更换充电架，并及时汇报处理问题。</w:t>
      </w:r>
    </w:p>
    <w:p w14:paraId="387A41B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（二）单元检查表确认：</w:t>
      </w:r>
    </w:p>
    <w:p w14:paraId="53EAE08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1.矿灯充电架外观完好，卫生清洁。</w:t>
      </w:r>
    </w:p>
    <w:p w14:paraId="0E909CB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2.每个充电箱显示器：电流、电压正常，人员姓名齐全。</w:t>
      </w:r>
    </w:p>
    <w:p w14:paraId="20F0B29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3.矿灯完好，无失爆。</w:t>
      </w:r>
    </w:p>
    <w:p w14:paraId="6ECF6C8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4.自救器合格，无超期。</w:t>
      </w:r>
    </w:p>
    <w:p w14:paraId="0B7C3B4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5.灭火器检查合格。</w:t>
      </w:r>
    </w:p>
    <w:p w14:paraId="03D8230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五、操作程序</w:t>
      </w:r>
    </w:p>
    <w:p w14:paraId="5D277EE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（一）检查顺序：</w:t>
      </w:r>
    </w:p>
    <w:p w14:paraId="2F62C96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充电架→矿灯→自救器→灭火器</w:t>
      </w:r>
      <w:r>
        <w:rPr>
          <w:rFonts w:hint="eastAsia" w:ascii="仿宋" w:hAnsi="仿宋" w:eastAsia="仿宋" w:cs="仿宋"/>
          <w:color w:val="auto"/>
          <w:kern w:val="2"/>
          <w:sz w:val="28"/>
          <w:szCs w:val="28"/>
          <w:lang w:val="en-US" w:eastAsia="zh-CN" w:bidi="ar"/>
        </w:rPr>
        <w:t>。</w:t>
      </w:r>
    </w:p>
    <w:p w14:paraId="38F81AF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（二）充电后确认：</w:t>
      </w:r>
    </w:p>
    <w:p w14:paraId="44A0693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1.电压、电流：电压、电流显示正常。</w:t>
      </w:r>
    </w:p>
    <w:p w14:paraId="58149B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2.指示灯：指示灯显示正常。</w:t>
      </w:r>
    </w:p>
    <w:p w14:paraId="2F281BE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六、注意事项：</w:t>
      </w:r>
    </w:p>
    <w:p w14:paraId="0FB87DD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1.看参数：</w:t>
      </w:r>
      <w:r>
        <w:rPr>
          <w:rFonts w:hint="default" w:ascii="仿宋" w:hAnsi="仿宋" w:eastAsia="仿宋" w:cs="仿宋"/>
          <w:color w:val="auto"/>
          <w:kern w:val="2"/>
          <w:sz w:val="28"/>
          <w:szCs w:val="28"/>
          <w:lang w:val="en-US" w:eastAsia="zh-CN" w:bidi="ar"/>
        </w:rPr>
        <w:t>注意观察电压（220V：+7％、－10%）、电流、充电指示，发现异常立即汇报处理。</w:t>
      </w:r>
    </w:p>
    <w:p w14:paraId="45DD6FA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2.听异响：</w:t>
      </w:r>
      <w:r>
        <w:rPr>
          <w:rFonts w:hint="default" w:ascii="仿宋" w:hAnsi="仿宋" w:eastAsia="仿宋" w:cs="仿宋"/>
          <w:color w:val="auto"/>
          <w:kern w:val="2"/>
          <w:sz w:val="28"/>
          <w:szCs w:val="28"/>
          <w:lang w:val="en-US" w:eastAsia="zh-CN" w:bidi="ar"/>
        </w:rPr>
        <w:t>充电声音异常立即处理。</w:t>
      </w:r>
    </w:p>
    <w:p w14:paraId="55D0285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3.嗅异味：</w:t>
      </w:r>
      <w:r>
        <w:rPr>
          <w:rFonts w:hint="default" w:ascii="仿宋" w:hAnsi="仿宋" w:eastAsia="仿宋" w:cs="仿宋"/>
          <w:color w:val="auto"/>
          <w:kern w:val="2"/>
          <w:sz w:val="28"/>
          <w:szCs w:val="28"/>
          <w:lang w:val="en-US" w:eastAsia="zh-CN" w:bidi="ar"/>
        </w:rPr>
        <w:t>闻到刺鼻异常气味，汇报处理。</w:t>
      </w:r>
    </w:p>
    <w:p w14:paraId="52D40BA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4.充电：</w:t>
      </w:r>
      <w:r>
        <w:rPr>
          <w:rFonts w:hint="default" w:ascii="仿宋" w:hAnsi="仿宋" w:eastAsia="仿宋" w:cs="仿宋"/>
          <w:color w:val="auto"/>
          <w:kern w:val="2"/>
          <w:sz w:val="28"/>
          <w:szCs w:val="28"/>
          <w:lang w:val="en-US" w:eastAsia="zh-CN" w:bidi="ar"/>
        </w:rPr>
        <w:t>先关灯后充电。</w:t>
      </w:r>
    </w:p>
    <w:p w14:paraId="5166DCE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5.维修：</w:t>
      </w:r>
      <w:r>
        <w:rPr>
          <w:rFonts w:hint="default" w:ascii="仿宋" w:hAnsi="仿宋" w:eastAsia="仿宋" w:cs="仿宋"/>
          <w:color w:val="auto"/>
          <w:kern w:val="2"/>
          <w:sz w:val="28"/>
          <w:szCs w:val="28"/>
          <w:lang w:val="en-US" w:eastAsia="zh-CN" w:bidi="ar"/>
        </w:rPr>
        <w:t>正确使用维修工具，严禁野蛮拆装。维修完毕后进行试验，不完好严禁发放。</w:t>
      </w:r>
    </w:p>
    <w:p w14:paraId="3B11111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color w:val="auto"/>
          <w:kern w:val="2"/>
          <w:sz w:val="28"/>
          <w:szCs w:val="28"/>
          <w:lang w:val="en-US" w:eastAsia="zh-CN" w:bidi="ar"/>
        </w:rPr>
        <w:t>七、停工后确认：</w:t>
      </w:r>
    </w:p>
    <w:p w14:paraId="713D7AA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1.所有维修工器具清理干净，无遗留。</w:t>
      </w:r>
    </w:p>
    <w:p w14:paraId="135F10A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2.各充电箱工作正常。</w:t>
      </w:r>
    </w:p>
    <w:p w14:paraId="3774930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八、事故案例：</w:t>
      </w:r>
    </w:p>
    <w:p w14:paraId="2F0049C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（一）事故经过</w:t>
      </w:r>
    </w:p>
    <w:p w14:paraId="13DE44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某队职工李某在班长安排下进行更换充电架指示器工作，由于一方螺丝难以卸下，李某就用自制套管顶住螺丝，结果造成了充电设备的短路。</w:t>
      </w:r>
    </w:p>
    <w:p w14:paraId="41C803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（二）事故原因分析</w:t>
      </w:r>
    </w:p>
    <w:p w14:paraId="223EF56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1.充电工李某安全意识淡薄，没有搞清充电设备原理，胃然工作是造成事故的白接原因:</w:t>
      </w:r>
    </w:p>
    <w:p w14:paraId="599BBBE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2.充电班班长曹某安排工作不细致，安排工作没有讲清楚详细的安全注意事项，现场安全管理不到位，是事故发生的间接原因:</w:t>
      </w:r>
    </w:p>
    <w:p w14:paraId="5A51C6F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（三）事故防范措施</w:t>
      </w:r>
    </w:p>
    <w:p w14:paraId="0358DA8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1.处理或检修机电设备工作时，要把安全工作布置细致，要制定专门技术措施。</w:t>
      </w:r>
    </w:p>
    <w:p w14:paraId="090AD16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2.每一个工作岗位应加强培训学习，提高自身业务索质。</w:t>
      </w:r>
    </w:p>
    <w:p w14:paraId="108A89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3.白制工具的使用应得到安全确认后再投入使用。</w:t>
      </w:r>
    </w:p>
    <w:p w14:paraId="4A6F672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九、常见三违</w:t>
      </w:r>
    </w:p>
    <w:p w14:paraId="6D1CB2F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（一）</w:t>
      </w:r>
      <w:r>
        <w:rPr>
          <w:rFonts w:hint="default" w:ascii="仿宋" w:hAnsi="仿宋" w:eastAsia="仿宋" w:cs="仿宋"/>
          <w:color w:val="auto"/>
          <w:kern w:val="2"/>
          <w:sz w:val="28"/>
          <w:szCs w:val="28"/>
          <w:lang w:val="en-US" w:eastAsia="zh-CN" w:bidi="ar"/>
        </w:rPr>
        <w:t>无证上岗、证件过期的</w:t>
      </w:r>
      <w:r>
        <w:rPr>
          <w:rFonts w:hint="eastAsia" w:ascii="仿宋" w:hAnsi="仿宋" w:eastAsia="仿宋" w:cs="仿宋"/>
          <w:color w:val="auto"/>
          <w:kern w:val="2"/>
          <w:sz w:val="28"/>
          <w:szCs w:val="28"/>
          <w:lang w:val="en-US" w:eastAsia="zh-CN" w:bidi="ar"/>
        </w:rPr>
        <w:t>；</w:t>
      </w:r>
    </w:p>
    <w:p w14:paraId="032EBF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对抵制或举报制止违章的人员进行打击报复</w:t>
      </w:r>
      <w:r>
        <w:rPr>
          <w:rFonts w:hint="eastAsia" w:ascii="仿宋" w:hAnsi="仿宋" w:eastAsia="仿宋" w:cs="仿宋"/>
          <w:color w:val="auto"/>
          <w:kern w:val="2"/>
          <w:sz w:val="28"/>
          <w:szCs w:val="28"/>
          <w:lang w:val="en-US" w:eastAsia="zh-CN" w:bidi="ar"/>
        </w:rPr>
        <w:t>；</w:t>
      </w:r>
    </w:p>
    <w:p w14:paraId="3212F60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睡岗、躺岗、脱岗</w:t>
      </w:r>
      <w:r>
        <w:rPr>
          <w:rFonts w:hint="eastAsia" w:ascii="仿宋" w:hAnsi="仿宋" w:eastAsia="仿宋" w:cs="仿宋"/>
          <w:color w:val="auto"/>
          <w:kern w:val="2"/>
          <w:sz w:val="28"/>
          <w:szCs w:val="28"/>
          <w:lang w:val="en-US" w:eastAsia="zh-CN" w:bidi="ar"/>
        </w:rPr>
        <w:t>；</w:t>
      </w:r>
    </w:p>
    <w:p w14:paraId="3B79D22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人员酒后上岗</w:t>
      </w:r>
      <w:r>
        <w:rPr>
          <w:rFonts w:hint="eastAsia" w:ascii="仿宋" w:hAnsi="仿宋" w:eastAsia="仿宋" w:cs="仿宋"/>
          <w:color w:val="auto"/>
          <w:kern w:val="2"/>
          <w:sz w:val="28"/>
          <w:szCs w:val="28"/>
          <w:lang w:val="en-US" w:eastAsia="zh-CN" w:bidi="ar"/>
        </w:rPr>
        <w:t>；</w:t>
      </w:r>
    </w:p>
    <w:p w14:paraId="1589C2B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要害岗位携带手机上岗的</w:t>
      </w:r>
      <w:r>
        <w:rPr>
          <w:rFonts w:hint="eastAsia" w:ascii="仿宋" w:hAnsi="仿宋" w:eastAsia="仿宋" w:cs="仿宋"/>
          <w:color w:val="auto"/>
          <w:kern w:val="2"/>
          <w:sz w:val="28"/>
          <w:szCs w:val="28"/>
          <w:lang w:val="en-US" w:eastAsia="zh-CN" w:bidi="ar"/>
        </w:rPr>
        <w:t>；</w:t>
      </w:r>
    </w:p>
    <w:p w14:paraId="5FB8C36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矿灯红灯占本班内入井人员10%及以上的</w:t>
      </w:r>
      <w:r>
        <w:rPr>
          <w:rFonts w:hint="eastAsia" w:ascii="仿宋" w:hAnsi="仿宋" w:eastAsia="仿宋" w:cs="仿宋"/>
          <w:color w:val="auto"/>
          <w:kern w:val="2"/>
          <w:sz w:val="28"/>
          <w:szCs w:val="28"/>
          <w:lang w:val="en-US" w:eastAsia="zh-CN" w:bidi="ar"/>
        </w:rPr>
        <w:t>；</w:t>
      </w:r>
    </w:p>
    <w:p w14:paraId="2295920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（七）</w:t>
      </w:r>
      <w:r>
        <w:rPr>
          <w:rFonts w:hint="default" w:ascii="仿宋" w:hAnsi="仿宋" w:eastAsia="仿宋" w:cs="仿宋"/>
          <w:color w:val="auto"/>
          <w:kern w:val="2"/>
          <w:sz w:val="28"/>
          <w:szCs w:val="28"/>
          <w:lang w:val="en-US" w:eastAsia="zh-CN" w:bidi="ar"/>
        </w:rPr>
        <w:t>矿灯充电架不完好，设备卫生差的</w:t>
      </w:r>
      <w:r>
        <w:rPr>
          <w:rFonts w:hint="eastAsia" w:ascii="仿宋" w:hAnsi="仿宋" w:eastAsia="仿宋" w:cs="仿宋"/>
          <w:color w:val="auto"/>
          <w:kern w:val="2"/>
          <w:sz w:val="28"/>
          <w:szCs w:val="28"/>
          <w:lang w:val="en-US" w:eastAsia="zh-CN" w:bidi="ar"/>
        </w:rPr>
        <w:t>；</w:t>
      </w:r>
    </w:p>
    <w:p w14:paraId="4ACE0FA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其他违反《煤矿安全规程》、《操作规程》及《作业规程》等有关规定的。</w:t>
      </w:r>
    </w:p>
    <w:bookmarkEnd w:id="322"/>
    <w:bookmarkEnd w:id="323"/>
    <w:bookmarkEnd w:id="324"/>
    <w:bookmarkEnd w:id="325"/>
    <w:bookmarkEnd w:id="326"/>
    <w:p w14:paraId="41C5DBC9">
      <w:pPr>
        <w:rPr>
          <w:rFonts w:hint="default" w:cs="Times New Roman"/>
          <w:color w:val="auto"/>
          <w:lang w:val="en-US" w:eastAsia="zh-CN"/>
        </w:rPr>
      </w:pPr>
      <w:bookmarkStart w:id="345" w:name="_Toc1352"/>
      <w:bookmarkStart w:id="346" w:name="_Toc4385"/>
      <w:bookmarkStart w:id="347" w:name="_Toc12319"/>
      <w:r>
        <w:rPr>
          <w:rFonts w:hint="default" w:cs="Times New Roman"/>
          <w:color w:val="auto"/>
          <w:lang w:val="en-US" w:eastAsia="zh-CN"/>
        </w:rPr>
        <w:br w:type="page"/>
      </w:r>
    </w:p>
    <w:p w14:paraId="16B1E497">
      <w:pPr>
        <w:pStyle w:val="17"/>
        <w:keepNext/>
        <w:keepLines/>
        <w:pageBreakBefore w:val="0"/>
        <w:widowControl w:val="0"/>
        <w:kinsoku/>
        <w:wordWrap/>
        <w:overflowPunct/>
        <w:topLinePunct w:val="0"/>
        <w:autoSpaceDE/>
        <w:autoSpaceDN/>
        <w:bidi w:val="0"/>
        <w:adjustRightInd/>
        <w:snapToGrid/>
        <w:spacing w:line="400" w:lineRule="exact"/>
        <w:textAlignment w:val="auto"/>
        <w:outlineLvl w:val="1"/>
        <w:rPr>
          <w:rFonts w:hint="default" w:cs="Times New Roman"/>
          <w:color w:val="auto"/>
          <w:lang w:val="en-US" w:eastAsia="zh-CN"/>
        </w:rPr>
      </w:pPr>
      <w:bookmarkStart w:id="348" w:name="_Toc6210"/>
      <w:r>
        <w:rPr>
          <w:rFonts w:hint="default" w:cs="Times New Roman"/>
          <w:color w:val="auto"/>
          <w:lang w:val="en-US" w:eastAsia="zh-CN"/>
        </w:rPr>
        <w:t>副井主提升机司机</w:t>
      </w:r>
      <w:bookmarkEnd w:id="345"/>
      <w:bookmarkEnd w:id="346"/>
      <w:bookmarkEnd w:id="347"/>
      <w:bookmarkEnd w:id="348"/>
    </w:p>
    <w:tbl>
      <w:tblPr>
        <w:tblStyle w:val="12"/>
        <w:tblW w:w="1030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68"/>
        <w:gridCol w:w="3008"/>
        <w:gridCol w:w="351"/>
        <w:gridCol w:w="5677"/>
      </w:tblGrid>
      <w:tr w14:paraId="34650F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0304"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05F5FD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bookmarkStart w:id="349" w:name="_Toc22876"/>
            <w:bookmarkStart w:id="350" w:name="_Toc10240"/>
            <w:bookmarkStart w:id="351" w:name="_Toc11690"/>
            <w:r>
              <w:rPr>
                <w:rFonts w:hint="default" w:ascii="仿宋" w:hAnsi="仿宋" w:eastAsia="仿宋" w:cs="仿宋"/>
                <w:b w:val="0"/>
                <w:bCs w:val="0"/>
                <w:color w:val="auto"/>
                <w:kern w:val="0"/>
                <w:sz w:val="21"/>
                <w:szCs w:val="21"/>
                <w:lang w:val="en-US" w:eastAsia="zh-CN" w:bidi="ar"/>
              </w:rPr>
              <w:t>副井主提升机司机岗位风险告知卡</w:t>
            </w:r>
            <w:bookmarkEnd w:id="349"/>
            <w:bookmarkEnd w:id="350"/>
            <w:bookmarkEnd w:id="351"/>
          </w:p>
        </w:tc>
      </w:tr>
      <w:tr w14:paraId="3C5117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1268" w:type="dxa"/>
            <w:tcBorders>
              <w:top w:val="nil"/>
              <w:left w:val="single" w:color="auto" w:sz="4" w:space="0"/>
              <w:bottom w:val="single" w:color="auto" w:sz="4" w:space="0"/>
              <w:right w:val="single" w:color="auto" w:sz="4" w:space="0"/>
            </w:tcBorders>
            <w:shd w:val="clear" w:color="auto" w:fill="auto"/>
            <w:vAlign w:val="center"/>
          </w:tcPr>
          <w:p w14:paraId="14D3F07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风险</w:t>
            </w:r>
          </w:p>
          <w:p w14:paraId="29F046C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类型</w:t>
            </w:r>
          </w:p>
        </w:tc>
        <w:tc>
          <w:tcPr>
            <w:tcW w:w="3008" w:type="dxa"/>
            <w:tcBorders>
              <w:top w:val="nil"/>
              <w:left w:val="nil"/>
              <w:bottom w:val="single" w:color="auto" w:sz="4" w:space="0"/>
              <w:right w:val="single" w:color="auto" w:sz="4" w:space="0"/>
            </w:tcBorders>
            <w:shd w:val="clear" w:color="auto" w:fill="auto"/>
            <w:vAlign w:val="center"/>
          </w:tcPr>
          <w:p w14:paraId="78A8756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火灾、机电（触电、机械伤害）、运输、职业病危害（噪声）、其它</w:t>
            </w:r>
          </w:p>
        </w:tc>
        <w:tc>
          <w:tcPr>
            <w:tcW w:w="351" w:type="dxa"/>
            <w:tcBorders>
              <w:top w:val="nil"/>
              <w:left w:val="nil"/>
              <w:bottom w:val="single" w:color="auto" w:sz="4" w:space="0"/>
              <w:right w:val="single" w:color="auto" w:sz="4" w:space="0"/>
            </w:tcBorders>
            <w:shd w:val="clear" w:color="auto" w:fill="auto"/>
            <w:vAlign w:val="center"/>
          </w:tcPr>
          <w:p w14:paraId="63B22A7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事故</w:t>
            </w:r>
          </w:p>
          <w:p w14:paraId="652E4E3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报告</w:t>
            </w:r>
          </w:p>
        </w:tc>
        <w:tc>
          <w:tcPr>
            <w:tcW w:w="5677" w:type="dxa"/>
            <w:tcBorders>
              <w:top w:val="nil"/>
              <w:left w:val="nil"/>
              <w:bottom w:val="single" w:color="auto" w:sz="4" w:space="0"/>
              <w:right w:val="single" w:color="auto" w:sz="4" w:space="0"/>
            </w:tcBorders>
            <w:shd w:val="clear" w:color="auto" w:fill="auto"/>
            <w:vAlign w:val="center"/>
          </w:tcPr>
          <w:p w14:paraId="049462D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调度</w:t>
            </w:r>
            <w:r>
              <w:rPr>
                <w:rFonts w:hint="eastAsia" w:ascii="仿宋" w:hAnsi="仿宋" w:eastAsia="仿宋" w:cs="仿宋"/>
                <w:color w:val="auto"/>
                <w:kern w:val="0"/>
                <w:sz w:val="21"/>
                <w:szCs w:val="21"/>
                <w:lang w:val="en-US" w:eastAsia="zh-CN" w:bidi="ar"/>
              </w:rPr>
              <w:t>室</w:t>
            </w:r>
            <w:r>
              <w:rPr>
                <w:rFonts w:hint="default" w:ascii="仿宋" w:hAnsi="仿宋" w:eastAsia="仿宋" w:cs="仿宋"/>
                <w:color w:val="auto"/>
                <w:kern w:val="0"/>
                <w:sz w:val="21"/>
                <w:szCs w:val="21"/>
                <w:lang w:val="en-US" w:eastAsia="zh-CN" w:bidi="ar"/>
              </w:rPr>
              <w:t>：8650200、8650202、#</w:t>
            </w:r>
          </w:p>
          <w:p w14:paraId="6CFA52E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工区值班：8650473</w:t>
            </w:r>
          </w:p>
          <w:p w14:paraId="02BC52A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安监科</w:t>
            </w:r>
            <w:r>
              <w:rPr>
                <w:rFonts w:hint="default" w:ascii="仿宋" w:hAnsi="仿宋" w:eastAsia="仿宋" w:cs="仿宋"/>
                <w:color w:val="auto"/>
                <w:kern w:val="0"/>
                <w:sz w:val="21"/>
                <w:szCs w:val="21"/>
                <w:lang w:val="en-US" w:eastAsia="zh-CN" w:bidi="ar"/>
              </w:rPr>
              <w:t>值班：8650512</w:t>
            </w:r>
          </w:p>
        </w:tc>
      </w:tr>
      <w:tr w14:paraId="734E45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37AA5D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主要危害因素</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00A11BE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管控措施</w:t>
            </w:r>
          </w:p>
        </w:tc>
      </w:tr>
      <w:tr w14:paraId="23B09C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6163FB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1.未持证上岗；无监护司机，司机单岗作业。</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598FD3D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1.经培训合格后，持证上岗；主提升机司机禁止单岗作业，监护司机和操作司机做好互保联保。</w:t>
            </w:r>
          </w:p>
        </w:tc>
      </w:tr>
      <w:tr w14:paraId="4F02C2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770651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2.主提升机司机接收信号不清晰。</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4E1F9EA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2.主提升机司机必须规范作业，信号不清严禁开车。</w:t>
            </w:r>
          </w:p>
        </w:tc>
      </w:tr>
      <w:tr w14:paraId="10F78E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15518C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3.滚筒前方未加防护罩。</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4737333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3.滚筒前方加防护罩以防司机打扫卫生或巡检时被转动部位碰伤。</w:t>
            </w:r>
          </w:p>
        </w:tc>
      </w:tr>
      <w:tr w14:paraId="41C6FE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21"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F6B330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4.滚筒、电机、液压系统、冷却风机及启动装置等运行不正常开机；操作台、信号、控制柜等运行不正常开机。</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40EA952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4.加强对滚筒、电机、液压系统、冷却风机及启动装置的维护管理，保证运行正常才能开机；加强对操作台、信号、控制柜等设备的维护管理，保证运行正常才能开机。</w:t>
            </w:r>
          </w:p>
        </w:tc>
      </w:tr>
      <w:tr w14:paraId="25598A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A1D878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rightChars="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5.消防器材、绝缘用具不齐全、不完好。</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23F492F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rightChars="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5.消防器材、绝缘用具要齐全、完好。</w:t>
            </w:r>
          </w:p>
        </w:tc>
      </w:tr>
      <w:tr w14:paraId="5096C9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E7E178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6.主提升机司机操作期间责任心不强。</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0BF8D57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6.主提升机司机开车期间禁止嬉戏打闹、聊天，做与工作无关的事情。</w:t>
            </w:r>
          </w:p>
        </w:tc>
      </w:tr>
      <w:tr w14:paraId="2CBE7B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96D744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7.消防器材、绝缘用具不齐全、不完好。</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4A66550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7.消防器材、绝缘用具要齐全、完好。</w:t>
            </w:r>
          </w:p>
        </w:tc>
      </w:tr>
      <w:tr w14:paraId="50B779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8BF846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8.绞车运行期间司机双手离开闸把；提升机运行中出现异常时，未紧急停车。</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14:paraId="2CBCFF5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8.主提升机司机开车期间严禁双手同时离开闸把；提升机运行中出现异常时，必须紧急停车，立即汇报处理。</w:t>
            </w:r>
          </w:p>
        </w:tc>
      </w:tr>
      <w:tr w14:paraId="5EB373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1268" w:type="dxa"/>
            <w:tcBorders>
              <w:top w:val="nil"/>
              <w:left w:val="single" w:color="auto" w:sz="4" w:space="0"/>
              <w:bottom w:val="single" w:color="auto" w:sz="4" w:space="0"/>
              <w:right w:val="single" w:color="auto" w:sz="4" w:space="0"/>
            </w:tcBorders>
            <w:shd w:val="clear" w:color="auto" w:fill="auto"/>
            <w:vAlign w:val="center"/>
          </w:tcPr>
          <w:p w14:paraId="3C651E4F">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60C8C4EB">
            <w:pPr>
              <w:keepNext w:val="0"/>
              <w:keepLines w:val="0"/>
              <w:pageBreakBefore w:val="0"/>
              <w:widowControl/>
              <w:kinsoku/>
              <w:wordWrap/>
              <w:overflowPunct/>
              <w:topLinePunct w:val="0"/>
              <w:bidi w:val="0"/>
              <w:jc w:val="center"/>
              <w:outlineLvl w:val="9"/>
              <w:rPr>
                <w:rFonts w:hint="default"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9036" w:type="dxa"/>
            <w:gridSpan w:val="3"/>
            <w:tcBorders>
              <w:top w:val="single" w:color="auto" w:sz="4" w:space="0"/>
              <w:left w:val="nil"/>
              <w:bottom w:val="single" w:color="auto" w:sz="4" w:space="0"/>
              <w:right w:val="single" w:color="auto" w:sz="4" w:space="0"/>
            </w:tcBorders>
            <w:shd w:val="clear" w:color="auto" w:fill="auto"/>
            <w:vAlign w:val="center"/>
          </w:tcPr>
          <w:p w14:paraId="434D1CE3">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772B57B4">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default"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01D1A8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1268" w:type="dxa"/>
            <w:tcBorders>
              <w:top w:val="nil"/>
              <w:left w:val="single" w:color="auto" w:sz="4" w:space="0"/>
              <w:bottom w:val="single" w:color="auto" w:sz="4" w:space="0"/>
              <w:right w:val="single" w:color="auto" w:sz="4" w:space="0"/>
            </w:tcBorders>
            <w:shd w:val="clear" w:color="auto" w:fill="auto"/>
            <w:vAlign w:val="center"/>
          </w:tcPr>
          <w:p w14:paraId="41EC8E9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应急</w:t>
            </w:r>
          </w:p>
          <w:p w14:paraId="25A106C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处置</w:t>
            </w:r>
          </w:p>
          <w:p w14:paraId="5FE14FB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措施</w:t>
            </w:r>
          </w:p>
        </w:tc>
        <w:tc>
          <w:tcPr>
            <w:tcW w:w="9036" w:type="dxa"/>
            <w:gridSpan w:val="3"/>
            <w:tcBorders>
              <w:top w:val="single" w:color="auto" w:sz="4" w:space="0"/>
              <w:left w:val="nil"/>
              <w:bottom w:val="single" w:color="auto" w:sz="4" w:space="0"/>
              <w:right w:val="single" w:color="auto" w:sz="4" w:space="0"/>
            </w:tcBorders>
            <w:shd w:val="clear" w:color="auto" w:fill="auto"/>
            <w:vAlign w:val="center"/>
          </w:tcPr>
          <w:p w14:paraId="0A47F2A6">
            <w:pPr>
              <w:keepNext w:val="0"/>
              <w:keepLines w:val="0"/>
              <w:pageBreakBefore w:val="0"/>
              <w:widowControl/>
              <w:numPr>
                <w:ilvl w:val="0"/>
                <w:numId w:val="17"/>
              </w:numPr>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lang w:val="en-US" w:eastAsia="zh-CN" w:bidi="ar"/>
              </w:rPr>
            </w:pPr>
            <w:r>
              <w:rPr>
                <w:rFonts w:hint="default" w:ascii="仿宋" w:hAnsi="仿宋" w:eastAsia="仿宋" w:cs="仿宋"/>
                <w:color w:val="auto"/>
                <w:kern w:val="0"/>
                <w:sz w:val="21"/>
                <w:szCs w:val="21"/>
                <w:lang w:val="en-US" w:eastAsia="zh-CN" w:bidi="ar"/>
              </w:rPr>
              <w:t>出现紧急情况时，立即停机，通知维修工找出故障</w:t>
            </w:r>
            <w:r>
              <w:rPr>
                <w:rFonts w:hint="eastAsia" w:ascii="仿宋" w:hAnsi="仿宋" w:eastAsia="仿宋" w:cs="仿宋"/>
                <w:color w:val="auto"/>
                <w:kern w:val="0"/>
                <w:sz w:val="21"/>
                <w:szCs w:val="21"/>
                <w:lang w:val="en-US" w:eastAsia="zh-CN" w:bidi="ar"/>
              </w:rPr>
              <w:t>点</w:t>
            </w:r>
            <w:r>
              <w:rPr>
                <w:rFonts w:hint="default" w:ascii="仿宋" w:hAnsi="仿宋" w:eastAsia="仿宋" w:cs="仿宋"/>
                <w:color w:val="auto"/>
                <w:kern w:val="0"/>
                <w:sz w:val="21"/>
                <w:szCs w:val="21"/>
                <w:lang w:val="en-US" w:eastAsia="zh-CN" w:bidi="ar"/>
              </w:rPr>
              <w:t>并将故障排除检查完毕方可开机。</w:t>
            </w:r>
          </w:p>
          <w:p w14:paraId="7B3DDA28">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突发事故时，现场人员应立即采取有效措施安全避险，并及时向矿调度室汇报灾情，通知工区值班人员。听从安排，积极开展现场急救、互救工作，有序撤离。撤退前应断开与救灾无关的电源，告知矿调度避灾行走路线与目的地。</w:t>
            </w:r>
          </w:p>
        </w:tc>
      </w:tr>
    </w:tbl>
    <w:p w14:paraId="25B60E12">
      <w:pPr>
        <w:pageBreakBefore w:val="0"/>
        <w:kinsoku/>
        <w:wordWrap/>
        <w:overflowPunct/>
        <w:topLinePunct w:val="0"/>
        <w:autoSpaceDN/>
        <w:bidi w:val="0"/>
        <w:adjustRightInd/>
        <w:snapToGrid/>
        <w:outlineLvl w:val="9"/>
        <w:rPr>
          <w:color w:val="auto"/>
        </w:rPr>
      </w:pPr>
    </w:p>
    <w:tbl>
      <w:tblPr>
        <w:tblStyle w:val="12"/>
        <w:tblW w:w="1006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826"/>
        <w:gridCol w:w="5234"/>
      </w:tblGrid>
      <w:tr w14:paraId="56DBB2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00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C74AD6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val="0"/>
                <w:color w:val="auto"/>
                <w:kern w:val="0"/>
                <w:sz w:val="21"/>
                <w:szCs w:val="21"/>
              </w:rPr>
            </w:pPr>
            <w:r>
              <w:rPr>
                <w:rFonts w:hint="default" w:ascii="仿宋" w:hAnsi="仿宋" w:eastAsia="仿宋" w:cs="仿宋"/>
                <w:b/>
                <w:color w:val="auto"/>
                <w:kern w:val="0"/>
                <w:sz w:val="21"/>
                <w:szCs w:val="21"/>
                <w:lang w:val="en-US" w:eastAsia="zh-CN" w:bidi="ar"/>
              </w:rPr>
              <w:t>副井主提升机司机安全提示卡</w:t>
            </w:r>
          </w:p>
        </w:tc>
      </w:tr>
      <w:tr w14:paraId="3B7097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single" w:color="auto" w:sz="4" w:space="0"/>
              <w:left w:val="single" w:color="auto" w:sz="4" w:space="0"/>
              <w:bottom w:val="single" w:color="auto" w:sz="4" w:space="0"/>
              <w:right w:val="single" w:color="auto" w:sz="4" w:space="0"/>
            </w:tcBorders>
            <w:shd w:val="clear" w:color="auto" w:fill="auto"/>
            <w:vAlign w:val="center"/>
          </w:tcPr>
          <w:p w14:paraId="5983131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bCs/>
                <w:color w:val="auto"/>
                <w:kern w:val="0"/>
                <w:sz w:val="21"/>
                <w:szCs w:val="21"/>
              </w:rPr>
            </w:pPr>
            <w:r>
              <w:rPr>
                <w:rFonts w:hint="default" w:ascii="仿宋" w:hAnsi="仿宋" w:eastAsia="仿宋" w:cs="仿宋"/>
                <w:b/>
                <w:bCs/>
                <w:color w:val="auto"/>
                <w:kern w:val="0"/>
                <w:sz w:val="21"/>
                <w:szCs w:val="21"/>
                <w:lang w:val="en-US" w:eastAsia="zh-CN" w:bidi="ar"/>
              </w:rPr>
              <w:t>开车前检查</w:t>
            </w:r>
          </w:p>
        </w:tc>
        <w:tc>
          <w:tcPr>
            <w:tcW w:w="5234" w:type="dxa"/>
            <w:tcBorders>
              <w:top w:val="single" w:color="auto" w:sz="4" w:space="0"/>
              <w:left w:val="nil"/>
              <w:bottom w:val="single" w:color="auto" w:sz="4" w:space="0"/>
              <w:right w:val="single" w:color="auto" w:sz="4" w:space="0"/>
            </w:tcBorders>
            <w:shd w:val="clear" w:color="auto" w:fill="auto"/>
            <w:vAlign w:val="center"/>
          </w:tcPr>
          <w:p w14:paraId="27A6D87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bCs/>
                <w:color w:val="auto"/>
                <w:kern w:val="0"/>
                <w:sz w:val="21"/>
                <w:szCs w:val="21"/>
              </w:rPr>
            </w:pPr>
            <w:r>
              <w:rPr>
                <w:rFonts w:hint="default" w:ascii="仿宋" w:hAnsi="仿宋" w:eastAsia="仿宋" w:cs="仿宋"/>
                <w:b/>
                <w:bCs/>
                <w:color w:val="auto"/>
                <w:kern w:val="0"/>
                <w:sz w:val="21"/>
                <w:szCs w:val="21"/>
                <w:lang w:val="en-US" w:eastAsia="zh-CN" w:bidi="ar"/>
              </w:rPr>
              <w:t>停车后确认</w:t>
            </w:r>
          </w:p>
        </w:tc>
      </w:tr>
      <w:tr w14:paraId="6E0931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193EF9D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1.电话</w:t>
            </w:r>
          </w:p>
        </w:tc>
        <w:tc>
          <w:tcPr>
            <w:tcW w:w="5234" w:type="dxa"/>
            <w:tcBorders>
              <w:top w:val="nil"/>
              <w:left w:val="nil"/>
              <w:bottom w:val="single" w:color="auto" w:sz="4" w:space="0"/>
              <w:right w:val="single" w:color="auto" w:sz="4" w:space="0"/>
            </w:tcBorders>
            <w:shd w:val="clear" w:color="auto" w:fill="auto"/>
            <w:vAlign w:val="center"/>
          </w:tcPr>
          <w:p w14:paraId="06B9B8B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★1.主令控制器、工作闸</w:t>
            </w:r>
          </w:p>
        </w:tc>
      </w:tr>
      <w:tr w14:paraId="4D8987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369834F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2.消防器材</w:t>
            </w:r>
          </w:p>
        </w:tc>
        <w:tc>
          <w:tcPr>
            <w:tcW w:w="5234" w:type="dxa"/>
            <w:tcBorders>
              <w:top w:val="nil"/>
              <w:left w:val="nil"/>
              <w:bottom w:val="single" w:color="auto" w:sz="4" w:space="0"/>
              <w:right w:val="single" w:color="auto" w:sz="4" w:space="0"/>
            </w:tcBorders>
            <w:shd w:val="clear" w:color="auto" w:fill="auto"/>
            <w:vAlign w:val="center"/>
          </w:tcPr>
          <w:p w14:paraId="2B48205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★2.提升容器位置指示</w:t>
            </w:r>
          </w:p>
        </w:tc>
      </w:tr>
      <w:tr w14:paraId="7F253B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52AFF8E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★3.人员、障碍物</w:t>
            </w:r>
          </w:p>
        </w:tc>
        <w:tc>
          <w:tcPr>
            <w:tcW w:w="5234" w:type="dxa"/>
            <w:tcBorders>
              <w:top w:val="nil"/>
              <w:left w:val="nil"/>
              <w:bottom w:val="single" w:color="auto" w:sz="4" w:space="0"/>
              <w:right w:val="single" w:color="auto" w:sz="4" w:space="0"/>
            </w:tcBorders>
            <w:shd w:val="clear" w:color="auto" w:fill="auto"/>
            <w:vAlign w:val="center"/>
          </w:tcPr>
          <w:p w14:paraId="780E11F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3.按钮、转换开关</w:t>
            </w:r>
          </w:p>
        </w:tc>
      </w:tr>
      <w:tr w14:paraId="325DE5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5F6EE00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4.监护司机</w:t>
            </w:r>
          </w:p>
        </w:tc>
        <w:tc>
          <w:tcPr>
            <w:tcW w:w="5234" w:type="dxa"/>
            <w:tcBorders>
              <w:top w:val="nil"/>
              <w:left w:val="nil"/>
              <w:bottom w:val="single" w:color="auto" w:sz="4" w:space="0"/>
              <w:right w:val="single" w:color="auto" w:sz="4" w:space="0"/>
            </w:tcBorders>
            <w:shd w:val="clear" w:color="auto" w:fill="auto"/>
            <w:vAlign w:val="center"/>
          </w:tcPr>
          <w:p w14:paraId="4083C53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★4.主控台仪表</w:t>
            </w:r>
          </w:p>
        </w:tc>
      </w:tr>
      <w:tr w14:paraId="40062C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5C8FF03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5.装置电源</w:t>
            </w:r>
          </w:p>
        </w:tc>
        <w:tc>
          <w:tcPr>
            <w:tcW w:w="5234" w:type="dxa"/>
            <w:tcBorders>
              <w:top w:val="nil"/>
              <w:left w:val="nil"/>
              <w:bottom w:val="single" w:color="auto" w:sz="4" w:space="0"/>
              <w:right w:val="single" w:color="auto" w:sz="4" w:space="0"/>
            </w:tcBorders>
            <w:shd w:val="clear" w:color="auto" w:fill="auto"/>
            <w:vAlign w:val="center"/>
          </w:tcPr>
          <w:p w14:paraId="1287A56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5.冷却风机</w:t>
            </w:r>
          </w:p>
        </w:tc>
      </w:tr>
      <w:tr w14:paraId="25D948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2C3AF35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 xml:space="preserve">      6.按钮、转换开关</w:t>
            </w:r>
          </w:p>
        </w:tc>
        <w:tc>
          <w:tcPr>
            <w:tcW w:w="5234" w:type="dxa"/>
            <w:tcBorders>
              <w:top w:val="nil"/>
              <w:left w:val="nil"/>
              <w:bottom w:val="single" w:color="auto" w:sz="4" w:space="0"/>
              <w:right w:val="single" w:color="auto" w:sz="4" w:space="0"/>
            </w:tcBorders>
            <w:shd w:val="clear" w:color="auto" w:fill="auto"/>
            <w:vAlign w:val="center"/>
          </w:tcPr>
          <w:p w14:paraId="1C51FAF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★6.液压系统</w:t>
            </w:r>
          </w:p>
        </w:tc>
      </w:tr>
      <w:tr w14:paraId="4E0D6C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62780EE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7.冷却风机</w:t>
            </w:r>
          </w:p>
        </w:tc>
        <w:tc>
          <w:tcPr>
            <w:tcW w:w="5234" w:type="dxa"/>
            <w:tcBorders>
              <w:top w:val="nil"/>
              <w:left w:val="nil"/>
              <w:bottom w:val="single" w:color="auto" w:sz="4" w:space="0"/>
              <w:right w:val="single" w:color="auto" w:sz="4" w:space="0"/>
            </w:tcBorders>
            <w:shd w:val="clear" w:color="auto" w:fill="auto"/>
            <w:vAlign w:val="center"/>
          </w:tcPr>
          <w:p w14:paraId="49F2DA8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7.装置电源</w:t>
            </w:r>
          </w:p>
        </w:tc>
      </w:tr>
      <w:tr w14:paraId="137043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5365A85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★8.主令控制器、工作闸</w:t>
            </w:r>
          </w:p>
        </w:tc>
        <w:tc>
          <w:tcPr>
            <w:tcW w:w="5234" w:type="dxa"/>
            <w:tcBorders>
              <w:top w:val="nil"/>
              <w:left w:val="nil"/>
              <w:bottom w:val="single" w:color="auto" w:sz="4" w:space="0"/>
              <w:right w:val="single" w:color="auto" w:sz="4" w:space="0"/>
            </w:tcBorders>
            <w:shd w:val="clear" w:color="auto" w:fill="auto"/>
            <w:vAlign w:val="center"/>
          </w:tcPr>
          <w:p w14:paraId="0E56C8F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8.安全回路</w:t>
            </w:r>
          </w:p>
        </w:tc>
      </w:tr>
      <w:tr w14:paraId="4A726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4887F5F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★9.信号</w:t>
            </w:r>
          </w:p>
        </w:tc>
        <w:tc>
          <w:tcPr>
            <w:tcW w:w="5234" w:type="dxa"/>
            <w:vMerge w:val="restart"/>
            <w:tcBorders>
              <w:top w:val="nil"/>
              <w:left w:val="nil"/>
              <w:right w:val="single" w:color="auto" w:sz="4" w:space="0"/>
            </w:tcBorders>
            <w:shd w:val="clear" w:color="auto" w:fill="auto"/>
            <w:vAlign w:val="center"/>
          </w:tcPr>
          <w:p w14:paraId="09E2EBF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注：第一次按开车前确认内容逐项检查并确认，存在问题整改后再确认；中间再次操作只检查带“★”部分；当班提升任务全部结束后按停车后确认内容逐项检查并确认。</w:t>
            </w:r>
          </w:p>
        </w:tc>
      </w:tr>
      <w:tr w14:paraId="1E037E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55EE31A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★10.提升方向</w:t>
            </w:r>
          </w:p>
        </w:tc>
        <w:tc>
          <w:tcPr>
            <w:tcW w:w="5234" w:type="dxa"/>
            <w:vMerge w:val="continue"/>
            <w:tcBorders>
              <w:left w:val="nil"/>
              <w:right w:val="single" w:color="auto" w:sz="4" w:space="0"/>
            </w:tcBorders>
            <w:shd w:val="clear" w:color="auto" w:fill="auto"/>
            <w:vAlign w:val="center"/>
          </w:tcPr>
          <w:p w14:paraId="21A1B00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default" w:ascii="仿宋" w:hAnsi="仿宋" w:eastAsia="仿宋" w:cs="仿宋"/>
                <w:b w:val="0"/>
                <w:color w:val="auto"/>
                <w:kern w:val="0"/>
                <w:sz w:val="21"/>
                <w:szCs w:val="21"/>
              </w:rPr>
            </w:pPr>
          </w:p>
        </w:tc>
      </w:tr>
      <w:tr w14:paraId="7EF8FB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70B4AA8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★11.主控台仪表</w:t>
            </w:r>
          </w:p>
        </w:tc>
        <w:tc>
          <w:tcPr>
            <w:tcW w:w="5234" w:type="dxa"/>
            <w:vMerge w:val="continue"/>
            <w:tcBorders>
              <w:left w:val="nil"/>
              <w:right w:val="single" w:color="auto" w:sz="4" w:space="0"/>
            </w:tcBorders>
            <w:shd w:val="clear" w:color="auto" w:fill="auto"/>
            <w:vAlign w:val="center"/>
          </w:tcPr>
          <w:p w14:paraId="0DF75D6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default" w:ascii="仿宋" w:hAnsi="仿宋" w:eastAsia="仿宋" w:cs="仿宋"/>
                <w:b w:val="0"/>
                <w:color w:val="auto"/>
                <w:kern w:val="0"/>
                <w:sz w:val="21"/>
                <w:szCs w:val="21"/>
              </w:rPr>
            </w:pPr>
          </w:p>
        </w:tc>
      </w:tr>
      <w:tr w14:paraId="14E4C3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14:paraId="098565D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★12.液压系统</w:t>
            </w:r>
          </w:p>
        </w:tc>
        <w:tc>
          <w:tcPr>
            <w:tcW w:w="5234" w:type="dxa"/>
            <w:vMerge w:val="continue"/>
            <w:tcBorders>
              <w:left w:val="nil"/>
              <w:bottom w:val="single" w:color="auto" w:sz="4" w:space="0"/>
              <w:right w:val="single" w:color="auto" w:sz="4" w:space="0"/>
            </w:tcBorders>
            <w:shd w:val="clear" w:color="auto" w:fill="auto"/>
            <w:vAlign w:val="center"/>
          </w:tcPr>
          <w:p w14:paraId="7F8FAD8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default" w:ascii="仿宋" w:hAnsi="仿宋" w:eastAsia="仿宋" w:cs="仿宋"/>
                <w:b w:val="0"/>
                <w:color w:val="auto"/>
                <w:kern w:val="0"/>
                <w:sz w:val="21"/>
                <w:szCs w:val="21"/>
              </w:rPr>
            </w:pPr>
          </w:p>
        </w:tc>
      </w:tr>
    </w:tbl>
    <w:p w14:paraId="619322C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Calibri" w:hAnsi="Calibri" w:eastAsia="宋体" w:cs="Times New Roman"/>
          <w:color w:val="auto"/>
          <w:kern w:val="2"/>
          <w:sz w:val="28"/>
          <w:szCs w:val="28"/>
          <w:lang w:val="en-US" w:eastAsia="zh-CN" w:bidi="ar"/>
        </w:rPr>
      </w:pPr>
    </w:p>
    <w:tbl>
      <w:tblPr>
        <w:tblStyle w:val="12"/>
        <w:tblW w:w="98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263"/>
        <w:gridCol w:w="5631"/>
      </w:tblGrid>
      <w:tr w14:paraId="03566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989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E112F7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center"/>
              <w:outlineLvl w:val="9"/>
              <w:rPr>
                <w:rFonts w:hint="default" w:ascii="仿宋" w:hAnsi="仿宋" w:eastAsia="仿宋" w:cs="仿宋"/>
                <w:b/>
                <w:color w:val="auto"/>
                <w:kern w:val="0"/>
                <w:sz w:val="21"/>
                <w:szCs w:val="21"/>
              </w:rPr>
            </w:pPr>
            <w:r>
              <w:rPr>
                <w:rFonts w:hint="default" w:ascii="仿宋" w:hAnsi="仿宋" w:eastAsia="仿宋" w:cs="仿宋"/>
                <w:b w:val="0"/>
                <w:color w:val="auto"/>
                <w:kern w:val="0"/>
                <w:sz w:val="21"/>
                <w:szCs w:val="21"/>
                <w:lang w:val="en-US" w:eastAsia="zh-CN" w:bidi="ar"/>
              </w:rPr>
              <w:t>副井提升机单元检查表</w:t>
            </w:r>
          </w:p>
        </w:tc>
      </w:tr>
      <w:tr w14:paraId="77BFB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14:paraId="00D90CE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1.记录</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14:paraId="7AA5612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9.9-20</w:t>
            </w:r>
            <w:r>
              <w:rPr>
                <w:rFonts w:hint="default" w:ascii="仿宋" w:hAnsi="仿宋" w:eastAsia="仿宋" w:cs="仿宋"/>
                <w:b w:val="0"/>
                <w:color w:val="auto"/>
                <w:kern w:val="0"/>
                <w:sz w:val="21"/>
                <w:szCs w:val="21"/>
                <w:vertAlign w:val="superscript"/>
                <w:lang w:val="en-US" w:eastAsia="zh-CN" w:bidi="ar"/>
              </w:rPr>
              <w:t>#</w:t>
            </w:r>
            <w:r>
              <w:rPr>
                <w:rFonts w:hint="default" w:ascii="仿宋" w:hAnsi="仿宋" w:eastAsia="仿宋" w:cs="仿宋"/>
                <w:b w:val="0"/>
                <w:color w:val="auto"/>
                <w:kern w:val="0"/>
                <w:sz w:val="21"/>
                <w:szCs w:val="21"/>
                <w:lang w:val="en-US" w:eastAsia="zh-CN" w:bidi="ar"/>
              </w:rPr>
              <w:t>盘形闸</w:t>
            </w:r>
          </w:p>
        </w:tc>
      </w:tr>
      <w:tr w14:paraId="21FED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14:paraId="4A12DA2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2.操作台</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14:paraId="2DCBCF3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10.电动机</w:t>
            </w:r>
          </w:p>
        </w:tc>
      </w:tr>
      <w:tr w14:paraId="07E47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14:paraId="7DAB9F9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3.监控机</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14:paraId="45ADEF9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11.整流变压器</w:t>
            </w:r>
          </w:p>
        </w:tc>
      </w:tr>
      <w:tr w14:paraId="7571F2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14:paraId="7D37741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4.信号</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14:paraId="49DBF4F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12.平波电抗器</w:t>
            </w:r>
          </w:p>
        </w:tc>
      </w:tr>
      <w:tr w14:paraId="38595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14:paraId="3964F95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5.液压站</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14:paraId="28D6814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13.直流调速柜</w:t>
            </w:r>
          </w:p>
        </w:tc>
      </w:tr>
      <w:tr w14:paraId="7E87F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14:paraId="3EE9403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6.1-8</w:t>
            </w:r>
            <w:r>
              <w:rPr>
                <w:rFonts w:hint="default" w:ascii="仿宋" w:hAnsi="仿宋" w:eastAsia="仿宋" w:cs="仿宋"/>
                <w:b w:val="0"/>
                <w:color w:val="auto"/>
                <w:kern w:val="0"/>
                <w:sz w:val="21"/>
                <w:szCs w:val="21"/>
                <w:vertAlign w:val="superscript"/>
                <w:lang w:val="en-US" w:eastAsia="zh-CN" w:bidi="ar"/>
              </w:rPr>
              <w:t>#</w:t>
            </w:r>
            <w:r>
              <w:rPr>
                <w:rFonts w:hint="default" w:ascii="仿宋" w:hAnsi="仿宋" w:eastAsia="仿宋" w:cs="仿宋"/>
                <w:b w:val="0"/>
                <w:color w:val="auto"/>
                <w:kern w:val="0"/>
                <w:sz w:val="21"/>
                <w:szCs w:val="21"/>
                <w:lang w:val="en-US" w:eastAsia="zh-CN" w:bidi="ar"/>
              </w:rPr>
              <w:t>盘形闸</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14:paraId="741D331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14.高压开关柜</w:t>
            </w:r>
          </w:p>
        </w:tc>
      </w:tr>
      <w:tr w14:paraId="79ABE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14:paraId="173A3F7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7.滚筒及防护罩</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14:paraId="3EB1CF6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15.低压配电柜</w:t>
            </w:r>
          </w:p>
        </w:tc>
      </w:tr>
      <w:tr w14:paraId="08EA7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14:paraId="5CBB4C2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8.轴编码器</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14:paraId="46332F1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16.冷却风机</w:t>
            </w:r>
          </w:p>
        </w:tc>
      </w:tr>
      <w:tr w14:paraId="1A26B3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 w:hRule="atLeast"/>
          <w:jc w:val="center"/>
        </w:trPr>
        <w:tc>
          <w:tcPr>
            <w:tcW w:w="989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D78F6C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宋体" w:hAnsi="宋体" w:eastAsia="宋体" w:cs="宋体"/>
                <w:b/>
                <w:color w:val="auto"/>
                <w:kern w:val="0"/>
                <w:sz w:val="28"/>
                <w:szCs w:val="28"/>
              </w:rPr>
            </w:pPr>
            <w:r>
              <w:rPr>
                <w:rFonts w:hint="default" w:ascii="仿宋" w:hAnsi="仿宋" w:eastAsia="仿宋" w:cs="仿宋"/>
                <w:b w:val="0"/>
                <w:color w:val="auto"/>
                <w:kern w:val="0"/>
                <w:sz w:val="21"/>
                <w:szCs w:val="21"/>
                <w:lang w:val="en-US" w:eastAsia="zh-CN" w:bidi="ar"/>
              </w:rPr>
              <w:t>接班后检查一次，单元检查表检查前，先进行停电闭锁确认。</w:t>
            </w:r>
          </w:p>
        </w:tc>
      </w:tr>
    </w:tbl>
    <w:p w14:paraId="2CD4B32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leftChars="0" w:right="0" w:firstLine="0" w:firstLineChars="0"/>
        <w:jc w:val="both"/>
        <w:outlineLvl w:val="9"/>
        <w:rPr>
          <w:rFonts w:hint="default" w:ascii="仿宋" w:hAnsi="仿宋" w:eastAsia="仿宋" w:cs="仿宋"/>
          <w:b/>
          <w:color w:val="auto"/>
          <w:kern w:val="2"/>
          <w:sz w:val="21"/>
          <w:szCs w:val="21"/>
          <w:lang w:val="en-US" w:eastAsia="zh-CN" w:bidi="ar"/>
        </w:rPr>
      </w:pPr>
    </w:p>
    <w:tbl>
      <w:tblPr>
        <w:tblStyle w:val="12"/>
        <w:tblW w:w="987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56"/>
        <w:gridCol w:w="1538"/>
        <w:gridCol w:w="7578"/>
      </w:tblGrid>
      <w:tr w14:paraId="55391E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8" w:hRule="atLeast"/>
          <w:jc w:val="center"/>
        </w:trPr>
        <w:tc>
          <w:tcPr>
            <w:tcW w:w="987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3B1DF8B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宋体" w:hAnsi="宋体" w:eastAsia="宋体" w:cs="宋体"/>
                <w:b/>
                <w:color w:val="auto"/>
                <w:kern w:val="0"/>
                <w:sz w:val="28"/>
                <w:szCs w:val="28"/>
              </w:rPr>
            </w:pPr>
            <w:r>
              <w:rPr>
                <w:rFonts w:hint="default" w:ascii="仿宋" w:hAnsi="仿宋" w:eastAsia="仿宋" w:cs="仿宋"/>
                <w:b/>
                <w:color w:val="auto"/>
                <w:kern w:val="0"/>
                <w:sz w:val="21"/>
                <w:szCs w:val="21"/>
                <w:lang w:val="en-US" w:eastAsia="zh-CN" w:bidi="ar"/>
              </w:rPr>
              <w:t>副井主提升机司机操作过程注意事项</w:t>
            </w:r>
          </w:p>
        </w:tc>
      </w:tr>
      <w:tr w14:paraId="5FE430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5" w:hRule="atLeast"/>
          <w:jc w:val="center"/>
        </w:trPr>
        <w:tc>
          <w:tcPr>
            <w:tcW w:w="756" w:type="dxa"/>
            <w:tcBorders>
              <w:top w:val="nil"/>
              <w:left w:val="single" w:color="auto" w:sz="4" w:space="0"/>
              <w:bottom w:val="single" w:color="auto" w:sz="4" w:space="0"/>
              <w:right w:val="single" w:color="auto" w:sz="4" w:space="0"/>
            </w:tcBorders>
            <w:shd w:val="clear" w:color="auto" w:fill="auto"/>
            <w:vAlign w:val="center"/>
          </w:tcPr>
          <w:p w14:paraId="626B97C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序号</w:t>
            </w:r>
          </w:p>
        </w:tc>
        <w:tc>
          <w:tcPr>
            <w:tcW w:w="1538" w:type="dxa"/>
            <w:tcBorders>
              <w:top w:val="nil"/>
              <w:left w:val="nil"/>
              <w:bottom w:val="single" w:color="auto" w:sz="4" w:space="0"/>
              <w:right w:val="single" w:color="auto" w:sz="4" w:space="0"/>
            </w:tcBorders>
            <w:shd w:val="clear" w:color="auto" w:fill="auto"/>
            <w:vAlign w:val="center"/>
          </w:tcPr>
          <w:p w14:paraId="2022231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2"/>
                <w:szCs w:val="22"/>
              </w:rPr>
            </w:pPr>
            <w:r>
              <w:rPr>
                <w:rFonts w:hint="default" w:ascii="仿宋" w:hAnsi="仿宋" w:eastAsia="仿宋" w:cs="仿宋"/>
                <w:b/>
                <w:i w:val="0"/>
                <w:color w:val="auto"/>
                <w:kern w:val="0"/>
                <w:sz w:val="22"/>
                <w:szCs w:val="22"/>
                <w:lang w:val="en-US" w:eastAsia="zh-CN" w:bidi="ar"/>
              </w:rPr>
              <w:t>提示词</w:t>
            </w:r>
          </w:p>
        </w:tc>
        <w:tc>
          <w:tcPr>
            <w:tcW w:w="7578" w:type="dxa"/>
            <w:tcBorders>
              <w:top w:val="nil"/>
              <w:left w:val="nil"/>
              <w:bottom w:val="single" w:color="auto" w:sz="4" w:space="0"/>
              <w:right w:val="single" w:color="auto" w:sz="4" w:space="0"/>
            </w:tcBorders>
            <w:shd w:val="clear" w:color="auto" w:fill="auto"/>
            <w:vAlign w:val="center"/>
          </w:tcPr>
          <w:p w14:paraId="2A2A464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2"/>
                <w:szCs w:val="22"/>
              </w:rPr>
            </w:pPr>
            <w:r>
              <w:rPr>
                <w:rFonts w:hint="default" w:ascii="仿宋" w:hAnsi="仿宋" w:eastAsia="仿宋" w:cs="仿宋"/>
                <w:b/>
                <w:i w:val="0"/>
                <w:color w:val="auto"/>
                <w:kern w:val="0"/>
                <w:sz w:val="22"/>
                <w:szCs w:val="22"/>
                <w:lang w:val="en-US" w:eastAsia="zh-CN" w:bidi="ar"/>
              </w:rPr>
              <w:t>操作注意事项解释</w:t>
            </w:r>
          </w:p>
        </w:tc>
      </w:tr>
      <w:tr w14:paraId="6487C8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jc w:val="center"/>
        </w:trPr>
        <w:tc>
          <w:tcPr>
            <w:tcW w:w="756" w:type="dxa"/>
            <w:tcBorders>
              <w:top w:val="nil"/>
              <w:left w:val="single" w:color="auto" w:sz="4" w:space="0"/>
              <w:bottom w:val="single" w:color="000000" w:sz="4" w:space="0"/>
              <w:right w:val="single" w:color="auto" w:sz="4" w:space="0"/>
            </w:tcBorders>
            <w:shd w:val="clear" w:color="auto" w:fill="auto"/>
            <w:vAlign w:val="center"/>
          </w:tcPr>
          <w:p w14:paraId="654C5FA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1</w:t>
            </w:r>
          </w:p>
        </w:tc>
        <w:tc>
          <w:tcPr>
            <w:tcW w:w="1538" w:type="dxa"/>
            <w:tcBorders>
              <w:top w:val="nil"/>
              <w:left w:val="nil"/>
              <w:bottom w:val="single" w:color="auto" w:sz="4" w:space="0"/>
              <w:right w:val="single" w:color="auto" w:sz="4" w:space="0"/>
            </w:tcBorders>
            <w:shd w:val="clear" w:color="auto" w:fill="auto"/>
            <w:vAlign w:val="center"/>
          </w:tcPr>
          <w:p w14:paraId="1B1AF1F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rightChars="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看仪表</w:t>
            </w:r>
          </w:p>
        </w:tc>
        <w:tc>
          <w:tcPr>
            <w:tcW w:w="7578" w:type="dxa"/>
            <w:tcBorders>
              <w:top w:val="nil"/>
              <w:left w:val="nil"/>
              <w:bottom w:val="single" w:color="auto" w:sz="4" w:space="0"/>
              <w:right w:val="single" w:color="auto" w:sz="4" w:space="0"/>
            </w:tcBorders>
            <w:shd w:val="clear" w:color="auto" w:fill="auto"/>
            <w:vAlign w:val="center"/>
          </w:tcPr>
          <w:p w14:paraId="4FFD941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rightChars="0"/>
              <w:jc w:val="left"/>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随时观察电压表、电流表、压力表、速度、信号、保护显示情况，出现异常立即停车或紧急制动。</w:t>
            </w:r>
          </w:p>
        </w:tc>
      </w:tr>
      <w:tr w14:paraId="5CEB20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756" w:type="dxa"/>
            <w:tcBorders>
              <w:top w:val="nil"/>
              <w:left w:val="single" w:color="auto" w:sz="4" w:space="0"/>
              <w:bottom w:val="single" w:color="000000" w:sz="4" w:space="0"/>
              <w:right w:val="single" w:color="auto" w:sz="4" w:space="0"/>
            </w:tcBorders>
            <w:shd w:val="clear" w:color="auto" w:fill="auto"/>
            <w:vAlign w:val="center"/>
          </w:tcPr>
          <w:p w14:paraId="23C9A8C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2</w:t>
            </w:r>
          </w:p>
        </w:tc>
        <w:tc>
          <w:tcPr>
            <w:tcW w:w="1538" w:type="dxa"/>
            <w:tcBorders>
              <w:top w:val="nil"/>
              <w:left w:val="nil"/>
              <w:bottom w:val="single" w:color="auto" w:sz="4" w:space="0"/>
              <w:right w:val="single" w:color="auto" w:sz="4" w:space="0"/>
            </w:tcBorders>
            <w:shd w:val="clear" w:color="auto" w:fill="auto"/>
            <w:vAlign w:val="center"/>
          </w:tcPr>
          <w:p w14:paraId="2B42A78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看深指</w:t>
            </w:r>
          </w:p>
        </w:tc>
        <w:tc>
          <w:tcPr>
            <w:tcW w:w="7578" w:type="dxa"/>
            <w:tcBorders>
              <w:top w:val="nil"/>
              <w:left w:val="nil"/>
              <w:bottom w:val="single" w:color="auto" w:sz="4" w:space="0"/>
              <w:right w:val="single" w:color="auto" w:sz="4" w:space="0"/>
            </w:tcBorders>
            <w:shd w:val="clear" w:color="auto" w:fill="auto"/>
            <w:vAlign w:val="center"/>
          </w:tcPr>
          <w:p w14:paraId="14D15C5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随时观察提升容器位置显示位置和移动速度，出现异常立即停车。</w:t>
            </w:r>
          </w:p>
        </w:tc>
      </w:tr>
      <w:tr w14:paraId="6986B9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nil"/>
              <w:left w:val="single" w:color="auto" w:sz="4" w:space="0"/>
              <w:bottom w:val="single" w:color="000000" w:sz="4" w:space="0"/>
              <w:right w:val="single" w:color="auto" w:sz="4" w:space="0"/>
            </w:tcBorders>
            <w:shd w:val="clear" w:color="auto" w:fill="auto"/>
            <w:vAlign w:val="center"/>
          </w:tcPr>
          <w:p w14:paraId="6552073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3</w:t>
            </w:r>
          </w:p>
        </w:tc>
        <w:tc>
          <w:tcPr>
            <w:tcW w:w="1538" w:type="dxa"/>
            <w:tcBorders>
              <w:top w:val="nil"/>
              <w:left w:val="nil"/>
              <w:bottom w:val="single" w:color="auto" w:sz="4" w:space="0"/>
              <w:right w:val="single" w:color="auto" w:sz="4" w:space="0"/>
            </w:tcBorders>
            <w:shd w:val="clear" w:color="auto" w:fill="auto"/>
            <w:vAlign w:val="center"/>
          </w:tcPr>
          <w:p w14:paraId="66E24D9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2"/>
                <w:sz w:val="22"/>
                <w:szCs w:val="22"/>
                <w:lang w:val="en-US" w:eastAsia="zh-CN" w:bidi="ar"/>
              </w:rPr>
              <w:t>看绳况</w:t>
            </w:r>
          </w:p>
        </w:tc>
        <w:tc>
          <w:tcPr>
            <w:tcW w:w="7578" w:type="dxa"/>
            <w:tcBorders>
              <w:top w:val="nil"/>
              <w:left w:val="nil"/>
              <w:bottom w:val="single" w:color="auto" w:sz="4" w:space="0"/>
              <w:right w:val="single" w:color="auto" w:sz="4" w:space="0"/>
            </w:tcBorders>
            <w:shd w:val="clear" w:color="auto" w:fill="auto"/>
            <w:vAlign w:val="center"/>
          </w:tcPr>
          <w:p w14:paraId="51067C7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2"/>
                <w:szCs w:val="22"/>
              </w:rPr>
            </w:pPr>
            <w:r>
              <w:rPr>
                <w:rFonts w:hint="default" w:ascii="仿宋" w:hAnsi="仿宋" w:eastAsia="仿宋" w:cs="仿宋"/>
                <w:color w:val="auto"/>
                <w:kern w:val="2"/>
                <w:sz w:val="22"/>
                <w:szCs w:val="22"/>
                <w:lang w:val="en-US" w:eastAsia="zh-CN" w:bidi="ar"/>
              </w:rPr>
              <w:t>随时观察钢丝绳有无滑动、异常跳动及排列情况，出现异常立即停车。</w:t>
            </w:r>
          </w:p>
        </w:tc>
      </w:tr>
      <w:tr w14:paraId="488030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nil"/>
              <w:left w:val="single" w:color="auto" w:sz="4" w:space="0"/>
              <w:bottom w:val="single" w:color="000000" w:sz="4" w:space="0"/>
              <w:right w:val="single" w:color="auto" w:sz="4" w:space="0"/>
            </w:tcBorders>
            <w:shd w:val="clear" w:color="auto" w:fill="auto"/>
            <w:vAlign w:val="center"/>
          </w:tcPr>
          <w:p w14:paraId="15AB5CD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4</w:t>
            </w:r>
          </w:p>
        </w:tc>
        <w:tc>
          <w:tcPr>
            <w:tcW w:w="1538" w:type="dxa"/>
            <w:tcBorders>
              <w:top w:val="nil"/>
              <w:left w:val="nil"/>
              <w:bottom w:val="single" w:color="auto" w:sz="4" w:space="0"/>
              <w:right w:val="single" w:color="auto" w:sz="4" w:space="0"/>
            </w:tcBorders>
            <w:shd w:val="clear" w:color="auto" w:fill="auto"/>
            <w:vAlign w:val="center"/>
          </w:tcPr>
          <w:p w14:paraId="47B073E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2"/>
                <w:sz w:val="22"/>
                <w:szCs w:val="22"/>
                <w:lang w:val="en-US" w:eastAsia="zh-CN" w:bidi="ar"/>
              </w:rPr>
              <w:t>听信号</w:t>
            </w:r>
          </w:p>
        </w:tc>
        <w:tc>
          <w:tcPr>
            <w:tcW w:w="7578" w:type="dxa"/>
            <w:tcBorders>
              <w:top w:val="nil"/>
              <w:left w:val="nil"/>
              <w:bottom w:val="single" w:color="auto" w:sz="4" w:space="0"/>
              <w:right w:val="single" w:color="auto" w:sz="4" w:space="0"/>
            </w:tcBorders>
            <w:shd w:val="clear" w:color="auto" w:fill="auto"/>
            <w:vAlign w:val="center"/>
          </w:tcPr>
          <w:p w14:paraId="1BD1D8D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2"/>
                <w:szCs w:val="22"/>
              </w:rPr>
            </w:pPr>
            <w:r>
              <w:rPr>
                <w:rFonts w:hint="default" w:ascii="仿宋" w:hAnsi="仿宋" w:eastAsia="仿宋" w:cs="仿宋"/>
                <w:color w:val="auto"/>
                <w:kern w:val="2"/>
                <w:sz w:val="22"/>
                <w:szCs w:val="22"/>
                <w:lang w:val="en-US" w:eastAsia="zh-CN" w:bidi="ar"/>
              </w:rPr>
              <w:t xml:space="preserve">严格按信号指令操作。  </w:t>
            </w:r>
          </w:p>
        </w:tc>
      </w:tr>
      <w:tr w14:paraId="475E93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nil"/>
              <w:left w:val="single" w:color="auto" w:sz="4" w:space="0"/>
              <w:bottom w:val="single" w:color="auto" w:sz="4" w:space="0"/>
              <w:right w:val="single" w:color="auto" w:sz="4" w:space="0"/>
            </w:tcBorders>
            <w:shd w:val="clear" w:color="auto" w:fill="auto"/>
            <w:vAlign w:val="center"/>
          </w:tcPr>
          <w:p w14:paraId="3C58F23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5</w:t>
            </w:r>
          </w:p>
        </w:tc>
        <w:tc>
          <w:tcPr>
            <w:tcW w:w="1538" w:type="dxa"/>
            <w:tcBorders>
              <w:top w:val="nil"/>
              <w:left w:val="nil"/>
              <w:bottom w:val="single" w:color="auto" w:sz="4" w:space="0"/>
              <w:right w:val="single" w:color="auto" w:sz="4" w:space="0"/>
            </w:tcBorders>
            <w:shd w:val="clear" w:color="auto" w:fill="auto"/>
            <w:vAlign w:val="center"/>
          </w:tcPr>
          <w:p w14:paraId="3FFACCC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听异响</w:t>
            </w:r>
          </w:p>
        </w:tc>
        <w:tc>
          <w:tcPr>
            <w:tcW w:w="7578" w:type="dxa"/>
            <w:tcBorders>
              <w:top w:val="nil"/>
              <w:left w:val="nil"/>
              <w:bottom w:val="single" w:color="auto" w:sz="4" w:space="0"/>
              <w:right w:val="single" w:color="auto" w:sz="4" w:space="0"/>
            </w:tcBorders>
            <w:shd w:val="clear" w:color="auto" w:fill="auto"/>
            <w:vAlign w:val="center"/>
          </w:tcPr>
          <w:p w14:paraId="685BBFB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设备出现严重异响或非正常震动立即停车。</w:t>
            </w:r>
          </w:p>
        </w:tc>
      </w:tr>
      <w:tr w14:paraId="446744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52" w:hRule="atLeast"/>
          <w:jc w:val="center"/>
        </w:trPr>
        <w:tc>
          <w:tcPr>
            <w:tcW w:w="756" w:type="dxa"/>
            <w:tcBorders>
              <w:top w:val="nil"/>
              <w:left w:val="single" w:color="auto" w:sz="4" w:space="0"/>
              <w:bottom w:val="single" w:color="auto" w:sz="4" w:space="0"/>
              <w:right w:val="single" w:color="auto" w:sz="4" w:space="0"/>
            </w:tcBorders>
            <w:shd w:val="clear" w:color="auto" w:fill="auto"/>
            <w:vAlign w:val="center"/>
          </w:tcPr>
          <w:p w14:paraId="78B7330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6</w:t>
            </w:r>
          </w:p>
        </w:tc>
        <w:tc>
          <w:tcPr>
            <w:tcW w:w="1538" w:type="dxa"/>
            <w:tcBorders>
              <w:top w:val="nil"/>
              <w:left w:val="nil"/>
              <w:bottom w:val="single" w:color="auto" w:sz="4" w:space="0"/>
              <w:right w:val="single" w:color="auto" w:sz="4" w:space="0"/>
            </w:tcBorders>
            <w:shd w:val="clear" w:color="auto" w:fill="auto"/>
            <w:vAlign w:val="center"/>
          </w:tcPr>
          <w:p w14:paraId="07A7E37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嗅异味</w:t>
            </w:r>
          </w:p>
        </w:tc>
        <w:tc>
          <w:tcPr>
            <w:tcW w:w="7578" w:type="dxa"/>
            <w:tcBorders>
              <w:top w:val="nil"/>
              <w:left w:val="nil"/>
              <w:bottom w:val="single" w:color="auto" w:sz="4" w:space="0"/>
              <w:right w:val="single" w:color="auto" w:sz="4" w:space="0"/>
            </w:tcBorders>
            <w:shd w:val="clear" w:color="auto" w:fill="auto"/>
            <w:vAlign w:val="center"/>
          </w:tcPr>
          <w:p w14:paraId="1504961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闻到设备出现异常气味立即停车。</w:t>
            </w:r>
          </w:p>
        </w:tc>
      </w:tr>
      <w:tr w14:paraId="7C14B3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2" w:hRule="atLeast"/>
          <w:jc w:val="center"/>
        </w:trPr>
        <w:tc>
          <w:tcPr>
            <w:tcW w:w="756" w:type="dxa"/>
            <w:tcBorders>
              <w:top w:val="nil"/>
              <w:left w:val="single" w:color="auto" w:sz="4" w:space="0"/>
              <w:bottom w:val="single" w:color="auto" w:sz="4" w:space="0"/>
              <w:right w:val="single" w:color="auto" w:sz="4" w:space="0"/>
            </w:tcBorders>
            <w:shd w:val="clear" w:color="auto" w:fill="auto"/>
            <w:vAlign w:val="center"/>
          </w:tcPr>
          <w:p w14:paraId="269BC9F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7</w:t>
            </w:r>
          </w:p>
        </w:tc>
        <w:tc>
          <w:tcPr>
            <w:tcW w:w="1538" w:type="dxa"/>
            <w:tcBorders>
              <w:top w:val="nil"/>
              <w:left w:val="nil"/>
              <w:bottom w:val="single" w:color="auto" w:sz="4" w:space="0"/>
              <w:right w:val="single" w:color="auto" w:sz="4" w:space="0"/>
            </w:tcBorders>
            <w:shd w:val="clear" w:color="auto" w:fill="auto"/>
            <w:vAlign w:val="center"/>
          </w:tcPr>
          <w:p w14:paraId="6016B0E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禁闲谈</w:t>
            </w:r>
          </w:p>
        </w:tc>
        <w:tc>
          <w:tcPr>
            <w:tcW w:w="7578" w:type="dxa"/>
            <w:tcBorders>
              <w:top w:val="nil"/>
              <w:left w:val="nil"/>
              <w:bottom w:val="single" w:color="auto" w:sz="4" w:space="0"/>
              <w:right w:val="single" w:color="auto" w:sz="4" w:space="0"/>
            </w:tcBorders>
            <w:shd w:val="clear" w:color="auto" w:fill="auto"/>
            <w:vAlign w:val="center"/>
          </w:tcPr>
          <w:p w14:paraId="0C49247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严禁闲谈和接打电话；禁止对监护司机的示警性喊话进行对答。</w:t>
            </w:r>
          </w:p>
        </w:tc>
      </w:tr>
      <w:tr w14:paraId="3EC4A5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single" w:color="auto" w:sz="4" w:space="0"/>
              <w:left w:val="single" w:color="auto" w:sz="4" w:space="0"/>
              <w:bottom w:val="single" w:color="auto" w:sz="4" w:space="0"/>
              <w:right w:val="single" w:color="auto" w:sz="4" w:space="0"/>
            </w:tcBorders>
            <w:shd w:val="clear" w:color="auto" w:fill="auto"/>
            <w:vAlign w:val="center"/>
          </w:tcPr>
          <w:p w14:paraId="7381D0E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8</w:t>
            </w:r>
          </w:p>
        </w:tc>
        <w:tc>
          <w:tcPr>
            <w:tcW w:w="1538" w:type="dxa"/>
            <w:tcBorders>
              <w:top w:val="single" w:color="auto" w:sz="4" w:space="0"/>
              <w:left w:val="nil"/>
              <w:bottom w:val="single" w:color="auto" w:sz="4" w:space="0"/>
              <w:right w:val="single" w:color="auto" w:sz="4" w:space="0"/>
            </w:tcBorders>
            <w:shd w:val="clear" w:color="auto" w:fill="auto"/>
            <w:vAlign w:val="center"/>
          </w:tcPr>
          <w:p w14:paraId="267CDA9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握手柄</w:t>
            </w:r>
          </w:p>
        </w:tc>
        <w:tc>
          <w:tcPr>
            <w:tcW w:w="7578" w:type="dxa"/>
            <w:tcBorders>
              <w:top w:val="single" w:color="auto" w:sz="4" w:space="0"/>
              <w:left w:val="nil"/>
              <w:bottom w:val="single" w:color="auto" w:sz="4" w:space="0"/>
              <w:right w:val="single" w:color="auto" w:sz="4" w:space="0"/>
            </w:tcBorders>
            <w:shd w:val="clear" w:color="auto" w:fill="auto"/>
            <w:vAlign w:val="center"/>
          </w:tcPr>
          <w:p w14:paraId="39F3049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开车时，左右手不准离开工作闸及主令控制手柄，加减速均匀。</w:t>
            </w:r>
          </w:p>
        </w:tc>
      </w:tr>
      <w:tr w14:paraId="5D344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single" w:color="auto" w:sz="4" w:space="0"/>
              <w:left w:val="single" w:color="auto" w:sz="4" w:space="0"/>
              <w:bottom w:val="single" w:color="auto" w:sz="4" w:space="0"/>
              <w:right w:val="single" w:color="auto" w:sz="4" w:space="0"/>
            </w:tcBorders>
            <w:shd w:val="clear" w:color="auto" w:fill="auto"/>
            <w:vAlign w:val="center"/>
          </w:tcPr>
          <w:p w14:paraId="4E3F793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9</w:t>
            </w:r>
          </w:p>
        </w:tc>
        <w:tc>
          <w:tcPr>
            <w:tcW w:w="1538" w:type="dxa"/>
            <w:tcBorders>
              <w:top w:val="single" w:color="auto" w:sz="4" w:space="0"/>
              <w:left w:val="nil"/>
              <w:bottom w:val="single" w:color="auto" w:sz="4" w:space="0"/>
              <w:right w:val="single" w:color="auto" w:sz="4" w:space="0"/>
            </w:tcBorders>
            <w:shd w:val="clear" w:color="auto" w:fill="auto"/>
            <w:vAlign w:val="center"/>
          </w:tcPr>
          <w:p w14:paraId="63357D6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按急停</w:t>
            </w:r>
          </w:p>
        </w:tc>
        <w:tc>
          <w:tcPr>
            <w:tcW w:w="7578" w:type="dxa"/>
            <w:tcBorders>
              <w:top w:val="single" w:color="auto" w:sz="4" w:space="0"/>
              <w:left w:val="nil"/>
              <w:bottom w:val="single" w:color="auto" w:sz="4" w:space="0"/>
              <w:right w:val="single" w:color="auto" w:sz="4" w:space="0"/>
            </w:tcBorders>
            <w:shd w:val="clear" w:color="auto" w:fill="auto"/>
            <w:vAlign w:val="center"/>
          </w:tcPr>
          <w:p w14:paraId="50BB9AB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出现紧急情况或故障时按下急停按钮实施制动。</w:t>
            </w:r>
          </w:p>
        </w:tc>
      </w:tr>
      <w:tr w14:paraId="149F52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single" w:color="auto" w:sz="4" w:space="0"/>
              <w:left w:val="single" w:color="auto" w:sz="4" w:space="0"/>
              <w:bottom w:val="single" w:color="auto" w:sz="4" w:space="0"/>
              <w:right w:val="single" w:color="auto" w:sz="4" w:space="0"/>
            </w:tcBorders>
            <w:shd w:val="clear" w:color="auto" w:fill="auto"/>
            <w:vAlign w:val="center"/>
          </w:tcPr>
          <w:p w14:paraId="685470F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10</w:t>
            </w:r>
          </w:p>
        </w:tc>
        <w:tc>
          <w:tcPr>
            <w:tcW w:w="1538" w:type="dxa"/>
            <w:tcBorders>
              <w:top w:val="single" w:color="auto" w:sz="4" w:space="0"/>
              <w:left w:val="nil"/>
              <w:bottom w:val="single" w:color="auto" w:sz="4" w:space="0"/>
              <w:right w:val="single" w:color="auto" w:sz="4" w:space="0"/>
            </w:tcBorders>
            <w:shd w:val="clear" w:color="auto" w:fill="auto"/>
            <w:vAlign w:val="center"/>
          </w:tcPr>
          <w:p w14:paraId="3200F3D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端坐姿</w:t>
            </w:r>
          </w:p>
        </w:tc>
        <w:tc>
          <w:tcPr>
            <w:tcW w:w="7578" w:type="dxa"/>
            <w:tcBorders>
              <w:top w:val="single" w:color="auto" w:sz="4" w:space="0"/>
              <w:left w:val="nil"/>
              <w:bottom w:val="single" w:color="auto" w:sz="4" w:space="0"/>
              <w:right w:val="single" w:color="auto" w:sz="4" w:space="0"/>
            </w:tcBorders>
            <w:shd w:val="clear" w:color="auto" w:fill="auto"/>
            <w:vAlign w:val="center"/>
          </w:tcPr>
          <w:p w14:paraId="623DE94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保持坐姿端正，双脚应平放地面，不得随意晃动。</w:t>
            </w:r>
          </w:p>
        </w:tc>
      </w:tr>
      <w:tr w14:paraId="2E121C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single" w:color="auto" w:sz="4" w:space="0"/>
              <w:left w:val="single" w:color="auto" w:sz="4" w:space="0"/>
              <w:bottom w:val="single" w:color="auto" w:sz="4" w:space="0"/>
              <w:right w:val="single" w:color="auto" w:sz="4" w:space="0"/>
            </w:tcBorders>
            <w:shd w:val="clear" w:color="auto" w:fill="auto"/>
            <w:vAlign w:val="center"/>
          </w:tcPr>
          <w:p w14:paraId="46CF1EE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11</w:t>
            </w:r>
          </w:p>
        </w:tc>
        <w:tc>
          <w:tcPr>
            <w:tcW w:w="1538" w:type="dxa"/>
            <w:tcBorders>
              <w:top w:val="single" w:color="auto" w:sz="4" w:space="0"/>
              <w:left w:val="nil"/>
              <w:bottom w:val="single" w:color="auto" w:sz="4" w:space="0"/>
              <w:right w:val="single" w:color="auto" w:sz="4" w:space="0"/>
            </w:tcBorders>
            <w:shd w:val="clear" w:color="auto" w:fill="auto"/>
            <w:vAlign w:val="center"/>
          </w:tcPr>
          <w:p w14:paraId="0900852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定位置</w:t>
            </w:r>
          </w:p>
        </w:tc>
        <w:tc>
          <w:tcPr>
            <w:tcW w:w="7578" w:type="dxa"/>
            <w:tcBorders>
              <w:top w:val="single" w:color="auto" w:sz="4" w:space="0"/>
              <w:left w:val="nil"/>
              <w:bottom w:val="single" w:color="auto" w:sz="4" w:space="0"/>
              <w:right w:val="single" w:color="auto" w:sz="4" w:space="0"/>
            </w:tcBorders>
            <w:shd w:val="clear" w:color="auto" w:fill="auto"/>
            <w:vAlign w:val="center"/>
          </w:tcPr>
          <w:p w14:paraId="594682B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主司机严禁离开操作台，监护司机不得随意离开监护位置。</w:t>
            </w:r>
          </w:p>
        </w:tc>
      </w:tr>
    </w:tbl>
    <w:p w14:paraId="4A782F7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一、一般规定</w:t>
      </w:r>
    </w:p>
    <w:p w14:paraId="4D418E4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（一）工作中着装整齐，佩戴好各种劳动保护用品，规范上岗、按章操作，杜绝“三违”现象，提人及检修期间严格执行一人操作一人监护制度。</w:t>
      </w:r>
    </w:p>
    <w:p w14:paraId="739F0E7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（二）严格落实本岗位责任制，清理好岗位卫生、设备卫生并保持动态达标。</w:t>
      </w:r>
    </w:p>
    <w:p w14:paraId="39C71C8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（三）定期参加各种业务学习，做到“应知应会”，不断提高自身技术水平。</w:t>
      </w:r>
    </w:p>
    <w:p w14:paraId="6AD657C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（四）按要求及时参加矿组织的特殊工种培训，考试合格，持证上岗。</w:t>
      </w:r>
    </w:p>
    <w:p w14:paraId="424EE5C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（五）发现工作地点安全监控系统、设备等不能正常工作时，应及时汇报。</w:t>
      </w:r>
    </w:p>
    <w:p w14:paraId="42D52F1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0"/>
          <w:sz w:val="28"/>
          <w:szCs w:val="28"/>
          <w:lang w:val="en-US" w:eastAsia="zh-CN" w:bidi="ar"/>
        </w:rPr>
        <w:t>（六）严格遵守劳动纪律和各种规章制度，</w:t>
      </w:r>
      <w:r>
        <w:rPr>
          <w:rFonts w:hint="default" w:ascii="仿宋" w:hAnsi="仿宋" w:eastAsia="仿宋" w:cs="仿宋"/>
          <w:color w:val="auto"/>
          <w:kern w:val="2"/>
          <w:sz w:val="28"/>
          <w:szCs w:val="28"/>
          <w:lang w:val="en-US" w:eastAsia="zh-CN" w:bidi="ar"/>
        </w:rPr>
        <w:t>对于各级管理人员的违章指挥，有权拒绝执行。</w:t>
      </w:r>
    </w:p>
    <w:p w14:paraId="5334BF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（七）班前、班中严禁喝酒，上班时不做与工作无关的其它事情。</w:t>
      </w:r>
    </w:p>
    <w:p w14:paraId="1D5B2C3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（八）车房及井口20m范围内禁止吸烟，杂物不得乱扔乱放。</w:t>
      </w:r>
    </w:p>
    <w:p w14:paraId="2EC771A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（九）交接班司机必须按时在岗位现场进行交接班，不得迟到、早退。</w:t>
      </w:r>
    </w:p>
    <w:p w14:paraId="3880283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（十）执行好要害场所管理制度，对于陌生人员有权拒绝其入内或让其进行登记。</w:t>
      </w:r>
    </w:p>
    <w:p w14:paraId="00CCE2C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eastAsia" w:ascii="宋体" w:hAnsi="宋体" w:eastAsia="宋体" w:cs="宋体"/>
          <w:color w:val="auto"/>
          <w:kern w:val="0"/>
          <w:sz w:val="28"/>
          <w:szCs w:val="28"/>
        </w:rPr>
      </w:pPr>
      <w:r>
        <w:rPr>
          <w:rFonts w:hint="default" w:ascii="仿宋" w:hAnsi="仿宋" w:eastAsia="仿宋" w:cs="仿宋"/>
          <w:color w:val="auto"/>
          <w:kern w:val="2"/>
          <w:sz w:val="28"/>
          <w:szCs w:val="28"/>
          <w:lang w:val="en-US" w:eastAsia="zh-CN" w:bidi="ar"/>
        </w:rPr>
        <w:t>（十一）全力配合维修工的工作，及时向维修工反映设备运行情况。</w:t>
      </w:r>
    </w:p>
    <w:p w14:paraId="45D250F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二、薄弱人物排查治理办法</w:t>
      </w:r>
    </w:p>
    <w:p w14:paraId="257D98A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（一）薄弱人物范畴</w:t>
      </w:r>
    </w:p>
    <w:p w14:paraId="186C508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1.嗜好饮酒的“迷糊人”：是指爱好喝酒、酗酒甚至容易醉酒的人。</w:t>
      </w:r>
    </w:p>
    <w:p w14:paraId="6BBF460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2.婚期前后的“甜蜜人”：是指正在筹备或者刚刚完成婚姻大事的人。</w:t>
      </w:r>
    </w:p>
    <w:p w14:paraId="193C4E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3.家有丧事的“失落人”：是指家庭有亲人离世导致情绪失落波动。</w:t>
      </w:r>
    </w:p>
    <w:p w14:paraId="69E3253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4.经常违章的“大胆人”：是指自律能力差，对违章屡教不改的人。</w:t>
      </w:r>
    </w:p>
    <w:p w14:paraId="7020CD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5.挨批受罚的“情绪人”：是指受到批评处罚情绪低落的人。</w:t>
      </w:r>
    </w:p>
    <w:p w14:paraId="35CF11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6.重新上岗的“三长人”：是指长伤、长病、长旷的返岗人员。</w:t>
      </w:r>
    </w:p>
    <w:p w14:paraId="4899F53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7.极度疲劳的“硬撑人”：是指班后从事体力劳动极度疲惫的人。</w:t>
      </w:r>
    </w:p>
    <w:p w14:paraId="19FCE6C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8.临近退休的“老年人”：是指年龄偏大（50岁以上）的老工人。</w:t>
      </w:r>
    </w:p>
    <w:p w14:paraId="7152E36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9.随时发病的“体弱人”：是指被医院诊断患有高血压、心脏病、脑血栓、抑郁症等病情的人。</w:t>
      </w:r>
    </w:p>
    <w:p w14:paraId="7BFCA7D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10.家境特殊的“纠结人”：是指频发家庭矛盾影响工作情绪的人。</w:t>
      </w:r>
    </w:p>
    <w:p w14:paraId="705412A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11.岗位调整的“转行人”：是指转换了工作岗位、改变了工作性质的人。</w:t>
      </w:r>
    </w:p>
    <w:p w14:paraId="1FB8F8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12.初来乍到的“新工人”：是指刚入矿或者从外单位调入的人。</w:t>
      </w:r>
    </w:p>
    <w:p w14:paraId="1E885D4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13.班前教育的“落空人”：是指未参加班前会的人。</w:t>
      </w:r>
    </w:p>
    <w:p w14:paraId="25E0291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14.心力交瘁的“上访人”：是指由于社会矛盾得不到及时解决有上访倾向的人。</w:t>
      </w:r>
    </w:p>
    <w:p w14:paraId="6A75408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15.八小时以外的“网络人”：是指工作之余，喜欢上网的年轻员工，班前休息不好，上班精力不集中。</w:t>
      </w:r>
    </w:p>
    <w:p w14:paraId="7B45335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16.性格粗暴的“鲁莽人”：是指性格简单粗暴的员工，工作急躁毛躁浮躁。</w:t>
      </w:r>
    </w:p>
    <w:p w14:paraId="1FBDEB7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17.反应迟钝的“麻木人”：是指工作麻痹大意、马虎凑付不在乎、反应迟钝的员工。</w:t>
      </w:r>
    </w:p>
    <w:p w14:paraId="19CA10C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18.不安心工作的“跳槽人”：是指不安心本职工作，意欲调动工作的人。</w:t>
      </w:r>
    </w:p>
    <w:p w14:paraId="6AC2700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19.不服从管理的“顶牛人”：是指与管理人员或员工有矛盾，不服从管理的员工。</w:t>
      </w:r>
    </w:p>
    <w:p w14:paraId="542B237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20</w:t>
      </w:r>
      <w:r>
        <w:rPr>
          <w:rFonts w:hint="eastAsia" w:ascii="仿宋" w:hAnsi="仿宋" w:eastAsia="仿宋" w:cs="仿宋"/>
          <w:b w:val="0"/>
          <w:color w:val="auto"/>
          <w:kern w:val="2"/>
          <w:sz w:val="28"/>
          <w:szCs w:val="28"/>
          <w:lang w:val="en-US" w:eastAsia="zh-CN" w:bidi="ar"/>
        </w:rPr>
        <w:t>.</w:t>
      </w:r>
      <w:r>
        <w:rPr>
          <w:rFonts w:hint="default" w:ascii="仿宋" w:hAnsi="仿宋" w:eastAsia="仿宋" w:cs="仿宋"/>
          <w:b w:val="0"/>
          <w:color w:val="auto"/>
          <w:kern w:val="2"/>
          <w:sz w:val="28"/>
          <w:szCs w:val="28"/>
          <w:lang w:val="en-US" w:eastAsia="zh-CN" w:bidi="ar"/>
        </w:rPr>
        <w:t>肩负第二职业的“经济人”：是指挣钱不要命，工作之余另有第二职业的人。</w:t>
      </w:r>
    </w:p>
    <w:p w14:paraId="18287AA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（二）实施建档管理</w:t>
      </w:r>
    </w:p>
    <w:p w14:paraId="5E0300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44EC5FD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（三）具体排查方式</w:t>
      </w:r>
    </w:p>
    <w:p w14:paraId="3C5575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6E7A076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46F7127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2B36C10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611B9D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9D0199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5158EF2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（四）薄弱人员管控措施</w:t>
      </w:r>
    </w:p>
    <w:p w14:paraId="4567C4A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1.对于岗前饮酒者，坚决禁止上岗作业。轻者责令其回家休息，重者在区队原地休息或者安排人员护送回家。</w:t>
      </w:r>
    </w:p>
    <w:p w14:paraId="19887E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2.对于有喜事或丧事的人员，要通过面谈掌握当事人的心理状态，无异议后方可下井。</w:t>
      </w:r>
    </w:p>
    <w:p w14:paraId="66B84AF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3.对于经常违章的人员，要加强日常的教育，在班前会上注重提问，安排岗位要合理，原则上做到“疑人不用”。</w:t>
      </w:r>
    </w:p>
    <w:p w14:paraId="758FB97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4.对于受到批评和处罚的员工，要加强心理疏导，让当事人放下思想包袱，解除心里抱怨，避免带着情绪上岗。</w:t>
      </w:r>
    </w:p>
    <w:p w14:paraId="6F134CB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5.对于“三长”人员，必须加强岗前教育培训，考试合格后方可上岗。上岗过程中，要作为重点的巡查盯靠对象，实施跟踪观察。</w:t>
      </w:r>
    </w:p>
    <w:p w14:paraId="45E0D81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14:paraId="1EB201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7.对于家庭矛盾突出的员工，应通过谈心或者家访的方式，及时为员工解决家庭矛盾，解开症结，保证员工轻装上岗。</w:t>
      </w:r>
    </w:p>
    <w:p w14:paraId="3653033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8.对于临近退休的老工人，在安排岗位上首要考虑安全因素，原则上不安排攀高、抬重、高温等急难险重类型的作业。</w:t>
      </w:r>
    </w:p>
    <w:p w14:paraId="2DCC149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9.对于转岗员工当成新工人尽心管理，严格履行以师带徒合同，在老工人的带领下作业。</w:t>
      </w:r>
    </w:p>
    <w:p w14:paraId="1E2A3DD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3DFB7DC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11.凡是没有参加班前会学习教育的人员，一律严禁上岗作业。</w:t>
      </w:r>
    </w:p>
    <w:p w14:paraId="7E5C65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12.对于喜欢上网的年轻员工，要加强引导，多沟通勤交流，促使他们培养健康向上的生活工作情趣。</w:t>
      </w:r>
    </w:p>
    <w:p w14:paraId="5AC18D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13.对于有上访倾向的人，要及时了解情况，掌握思想状态，活血化瘀，必要时可申请法律援助，解决实际困难。</w:t>
      </w:r>
    </w:p>
    <w:p w14:paraId="4CA7B8B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14:paraId="32653EC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15.对于不服从管理的员工，单位管理人员要及时做好一人一事的思想工作，解决存在的矛盾，使其心悦诚服、心情舒畅的投入工作。</w:t>
      </w:r>
    </w:p>
    <w:p w14:paraId="3A3BD4F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14:paraId="130C6C8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三、安全风险辨识与管控措施</w:t>
      </w:r>
    </w:p>
    <w:p w14:paraId="6EE4B31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（一）通用部分</w:t>
      </w:r>
    </w:p>
    <w:p w14:paraId="68C49CC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1.风险描述：电气设备性能不良、损坏、过载、短路等，防灭火管理不到位可能造成火灾。</w:t>
      </w:r>
    </w:p>
    <w:p w14:paraId="44E5ED2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14:paraId="379EBA6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2.风险描述：人员靠近运行中的旋转部位时，可能发生人员伤害的风险。</w:t>
      </w:r>
    </w:p>
    <w:p w14:paraId="32CAF0A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管控措施：施工人员必须着装整齐，劳保用品齐全，熟悉机械性能和操作方法，按照操作规程施工，旋转部位安设防护罩。</w:t>
      </w:r>
    </w:p>
    <w:p w14:paraId="285233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3.风险描述：人员上下爬梯存在坠落风险。</w:t>
      </w:r>
    </w:p>
    <w:p w14:paraId="1E6B493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管控措施：上、下爬梯时，必须抓实护栏，现场必须有充足照明。</w:t>
      </w:r>
    </w:p>
    <w:p w14:paraId="2B3E1E7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4.风险描述：巡检过程中未沿规定路线行走，随意触碰设备、线缆。</w:t>
      </w:r>
    </w:p>
    <w:p w14:paraId="411C5C75">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管控措施：巡检沿路线，手脚勿乱触，检查时与设备保持安全距离，对带电体巡检时只准目检。</w:t>
      </w:r>
    </w:p>
    <w:p w14:paraId="158D37C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5.风险描述：人员巡检时精力不集中，地面有油污、杂物，可能造成滑倒、绊倒，受到伤害。</w:t>
      </w:r>
    </w:p>
    <w:p w14:paraId="709ED43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管控措施：做好现场的管理工作，保持动态达标，人员行走时注意力要集中，严禁嬉戏打闹，行走时观察好路况，确保道路畅通、安全，才能通过。</w:t>
      </w:r>
    </w:p>
    <w:p w14:paraId="331409C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6.风险描述：私拉乱接电线，违规使用电器，车房附近违规吸烟。</w:t>
      </w:r>
    </w:p>
    <w:p w14:paraId="65662D4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管控措施：严禁在车房内私拉乱接电线，禁止违规使用电器，车房内外严禁吸烟或用火炉取暖。</w:t>
      </w:r>
    </w:p>
    <w:p w14:paraId="03E203C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7.风险描述：吸音隔音装置不齐全或个人防护用品使用不当。</w:t>
      </w:r>
    </w:p>
    <w:p w14:paraId="5D337FE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管控措施：作业人员出入操作室关闭好室门，设备巡检时佩戴耳塞。</w:t>
      </w:r>
    </w:p>
    <w:p w14:paraId="1C48C4A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（二）专用部分</w:t>
      </w:r>
    </w:p>
    <w:p w14:paraId="6FA540A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1.开车前</w:t>
      </w:r>
    </w:p>
    <w:p w14:paraId="789CA07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①风险描述：电话不畅通，现场出现问题不能及时汇报，存在事故扩大的风险。</w:t>
      </w:r>
    </w:p>
    <w:p w14:paraId="1B1E2B5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管控措施：每班对电话进行检查，发现电话不畅通或损坏的，及时告知维护人员，确保电话畅通完好。</w:t>
      </w:r>
    </w:p>
    <w:p w14:paraId="6D33645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②风险描述：消防器材失效或缺失，发生火灾时，不能及时灭火，存在设备损坏或人员伤亡的风险。</w:t>
      </w:r>
    </w:p>
    <w:p w14:paraId="3A378BD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管控措施：做好防灭火设备设施的维护保养，确保齐全有效。</w:t>
      </w:r>
    </w:p>
    <w:p w14:paraId="48D9FED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③风险描述：提升机滚筒、钢丝绳或其它转动部位存在人员或障碍物时，开车存在转动部位伤人的风险。</w:t>
      </w:r>
    </w:p>
    <w:p w14:paraId="7F9576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管控措施：提升机滚筒、钢丝绳或其它转动部位严禁存在障碍物或人员，开车前应认真检查，待人员离开或障碍物清理后再开车。</w:t>
      </w:r>
    </w:p>
    <w:p w14:paraId="70BF9C5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④风险描述：开车前，监护人未到位，操作人员容易误操作，存在设备损坏、人员伤亡的风险。</w:t>
      </w:r>
    </w:p>
    <w:p w14:paraId="41746A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管控措施：提升机提升时，严格执行一人操作一人监护，监护人不到位严禁操作。</w:t>
      </w:r>
    </w:p>
    <w:p w14:paraId="3EFD75A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⑤风险描述：提升机装置电源、转换开关、主令控制器、工作闸手柄不可靠，将无法确保设备正常运行。</w:t>
      </w:r>
    </w:p>
    <w:p w14:paraId="737B332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管控措施：合上安全回路，确定电源、快开、风机、励磁正常，并将主令控制器放在零位、工作闸手柄放在零位。</w:t>
      </w:r>
    </w:p>
    <w:p w14:paraId="0D8EE69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⑥风险描述：提升机司机接收信号不清晰，开车前未确认信号。</w:t>
      </w:r>
    </w:p>
    <w:p w14:paraId="269E2D0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管控措施：主提升机司机必须规范作业，信号不清严禁开车。</w:t>
      </w:r>
    </w:p>
    <w:p w14:paraId="6A4998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⑦风险描述：开车前，提升方向错误，提升机未按指定路线提升，存在设备损坏或人员伤亡的风险。</w:t>
      </w:r>
    </w:p>
    <w:p w14:paraId="33F7947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管控措施：开车前，操作司机及监护司机应检查提升容器位置，确认开车方向，监护司机要及时提醒操作人规范操作。</w:t>
      </w:r>
    </w:p>
    <w:p w14:paraId="1DF5868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2.操作过程中</w:t>
      </w:r>
    </w:p>
    <w:p w14:paraId="4626B81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①风险描述：滚筒、电机、液压系统、冷却风机及启动装置等运行不正常开机；操作台、信号、控制柜等运行不正常开机。</w:t>
      </w:r>
    </w:p>
    <w:p w14:paraId="5996E8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管控措施：加强对滚筒、电机、液压系统、冷却风机及启动装置的维护管理，保证运行正常才能开机；加强对操作台、信号、控制柜等设备的维护管理，保证运行正常才能开机。</w:t>
      </w:r>
    </w:p>
    <w:p w14:paraId="23B4120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②风险描述：开车过程中司机精力不集中，未能仔细观察主控台仪表数据变化及滚筒、钢丝绳运行情况，运行异常时未能及时停车。</w:t>
      </w:r>
    </w:p>
    <w:p w14:paraId="5117BE20">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管控措施：开车过程中精力集中，注意观察主控台仪表数据变化及滚筒、钢丝绳运行情况，发现异常及时停车。</w:t>
      </w:r>
    </w:p>
    <w:p w14:paraId="2B95FD2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③风险描述：提升机运行中，双手离开闸把，出现异常时，未紧急停车并汇报处理，存在设备损坏、人员伤亡的风险。</w:t>
      </w:r>
    </w:p>
    <w:p w14:paraId="5967D9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管控措施：提升机运行中，司机要集中注意力，禁止嬉戏打闹、聊天，双手不准离开闸把，出现异常时，必须紧急停车，立即汇报处理。</w:t>
      </w:r>
    </w:p>
    <w:p w14:paraId="450E66E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3.停车后</w:t>
      </w:r>
    </w:p>
    <w:p w14:paraId="2692179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①风险描述：提升机停车后，主令控制器未在零位，提升机容易误动作，存在设备损坏或人员伤亡的风险。</w:t>
      </w:r>
    </w:p>
    <w:p w14:paraId="467F7F9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管控措施：提升机停车后，操作司机及监护司机应检查主令控制器位置，确认在零位，监护司机要及时提醒操作人，规范操作。</w:t>
      </w:r>
    </w:p>
    <w:p w14:paraId="4083D2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②风险描述：提升机停车后，工作闸手柄未在制动状态，提升机容易误动作，存在设备损坏或人员伤亡的风险。</w:t>
      </w:r>
    </w:p>
    <w:p w14:paraId="3F6871D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管控措施：提升机停车后，操作司机及监护司机应检查制动闸位置，确认在制动位置，监护司机要及时提醒操作人，规范操作。</w:t>
      </w:r>
    </w:p>
    <w:p w14:paraId="148B6A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③风险描述：提升机停车后，提升容器位置显示异常未能及时发现，提升机未停在指定位置，存在设备损坏或人员伤亡的风险。</w:t>
      </w:r>
    </w:p>
    <w:p w14:paraId="4110B3B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管控措施：提升机停车后，操作司机及监护司机应检查提升容器位置，确认停车位置正确，监护司机要及时提醒操作人，规范操作。</w:t>
      </w:r>
    </w:p>
    <w:p w14:paraId="0B3AAFA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④风险描述：提升机长时间停车后，液压站及装置电源未停电，提升机容易误动作，存在设备损坏或人员伤亡的风险。</w:t>
      </w:r>
    </w:p>
    <w:p w14:paraId="1215A44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管控措施：提升机长时间停车后，操作司机应及时切断液压站，长时间停机及时切断装置电源，防止提升机误动作，监护司机要及时提醒操作人，规范操作。</w:t>
      </w:r>
    </w:p>
    <w:p w14:paraId="1E69CCC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⑤风险描述：提升机长时间停车后，冷却风机未停电，存在设备损坏的风险。</w:t>
      </w:r>
    </w:p>
    <w:p w14:paraId="3EFC6C0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管控措施：提升机长时间停车后，操作司机应及时切断冷却风机电源，监护司机要及时提醒操作人，规范操作。</w:t>
      </w:r>
    </w:p>
    <w:p w14:paraId="56C6495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⑥风险描述：提升机停车后，安全回路显示异常，提升机保护故障报警，存在设备损坏的风险。</w:t>
      </w:r>
    </w:p>
    <w:p w14:paraId="079ECA6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管控措施：提升机停车后，操作司机应检查安全回路是否显示正常，发现异常情况，应及时通知维护人员，待问题解除后，及时复位。</w:t>
      </w:r>
    </w:p>
    <w:p w14:paraId="6FF45C2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⑦风险描述：提升机停车后，仪表显示异常，存在设备损坏的风险。</w:t>
      </w:r>
    </w:p>
    <w:p w14:paraId="07CBB38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管控措施：提升机停车后，操作司机应检查仪表是否显示正常，发现异常情况，应及时通知维护人员，问题不解决严禁动车。</w:t>
      </w:r>
    </w:p>
    <w:p w14:paraId="35FEDE53">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四、（一）开车前检查</w:t>
      </w:r>
    </w:p>
    <w:p w14:paraId="7F69B8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1.电话：电话畅通拨号正常、无严重杂音。</w:t>
      </w:r>
    </w:p>
    <w:p w14:paraId="5FF9677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2.消防器材：消防器材齐全完好。</w:t>
      </w:r>
    </w:p>
    <w:p w14:paraId="4F02CFA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3.人员、障碍物：无人员及其他障碍物。</w:t>
      </w:r>
    </w:p>
    <w:p w14:paraId="332B73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4.监护司机：提升机提升时，监护司机到位。</w:t>
      </w:r>
    </w:p>
    <w:p w14:paraId="3B19DD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5.装置电源：合上安全回路，确定高压电源、快开、风机、励磁正常。</w:t>
      </w:r>
    </w:p>
    <w:p w14:paraId="41204D9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6.按钮、转换开关：油泵转换开关置于工作油泵位置，按下制动泵启动按钮，制动泵开启。</w:t>
      </w:r>
    </w:p>
    <w:p w14:paraId="4AA4B1AF">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7.冷却风机：运行正常，温度正常。</w:t>
      </w:r>
    </w:p>
    <w:p w14:paraId="77BF518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8.主令控制器、工作闸：主令控制器手柄放在零位、工作闸手柄放在制动位置。</w:t>
      </w:r>
    </w:p>
    <w:p w14:paraId="04B93E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9.信号：信号清晰，显示正常。</w:t>
      </w:r>
    </w:p>
    <w:p w14:paraId="0C31059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10.提升方向：根据信号，正确选择提升方向。</w:t>
      </w:r>
    </w:p>
    <w:p w14:paraId="1A7017C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11.主控台仪表：仪表数据正常，符合要求。</w:t>
      </w:r>
    </w:p>
    <w:p w14:paraId="29132D1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color w:val="auto"/>
          <w:kern w:val="2"/>
          <w:sz w:val="28"/>
          <w:szCs w:val="28"/>
        </w:rPr>
      </w:pPr>
      <w:r>
        <w:rPr>
          <w:rFonts w:hint="default" w:ascii="仿宋" w:hAnsi="仿宋" w:eastAsia="仿宋" w:cs="仿宋"/>
          <w:color w:val="auto"/>
          <w:kern w:val="2"/>
          <w:sz w:val="28"/>
          <w:szCs w:val="28"/>
          <w:lang w:val="en-US" w:eastAsia="zh-CN" w:bidi="ar"/>
        </w:rPr>
        <w:t>12.液压系统：运行正常，压力及温度正常。</w:t>
      </w:r>
    </w:p>
    <w:p w14:paraId="25C5F7F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（二）单元检查表确认</w:t>
      </w:r>
    </w:p>
    <w:p w14:paraId="655526F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1.记录：查看上一个班次的相关记录，</w:t>
      </w:r>
      <w:r>
        <w:rPr>
          <w:rFonts w:hint="default" w:ascii="仿宋" w:hAnsi="仿宋" w:eastAsia="仿宋" w:cs="仿宋"/>
          <w:color w:val="auto"/>
          <w:kern w:val="0"/>
          <w:sz w:val="28"/>
          <w:szCs w:val="28"/>
          <w:lang w:val="en-US" w:eastAsia="zh-CN" w:bidi="ar"/>
        </w:rPr>
        <w:t>由交接班双方对设备及需要交接的项目进行全面检查，确认无问题时，双方在交接班记录上签字后，接班人履行自己的职责。</w:t>
      </w:r>
    </w:p>
    <w:p w14:paraId="4AC0200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2.操作台：操作台按钮、控制手柄、仪表等完好。</w:t>
      </w:r>
    </w:p>
    <w:p w14:paraId="253BF82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3.监控机：监控计算机显示画面正常。</w:t>
      </w:r>
    </w:p>
    <w:p w14:paraId="549A1B7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4.信号：信号指示正常。</w:t>
      </w:r>
    </w:p>
    <w:p w14:paraId="1359015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5.液压站：管路和阀组不渗油；油位、油温、油压正常。</w:t>
      </w:r>
    </w:p>
    <w:p w14:paraId="28C5960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6.1-8</w:t>
      </w:r>
      <w:r>
        <w:rPr>
          <w:rFonts w:hint="default" w:ascii="仿宋" w:hAnsi="仿宋" w:eastAsia="仿宋" w:cs="仿宋"/>
          <w:color w:val="auto"/>
          <w:kern w:val="2"/>
          <w:sz w:val="28"/>
          <w:szCs w:val="28"/>
          <w:vertAlign w:val="superscript"/>
          <w:lang w:val="en-US" w:eastAsia="zh-CN" w:bidi="ar"/>
        </w:rPr>
        <w:t>#</w:t>
      </w:r>
      <w:r>
        <w:rPr>
          <w:rFonts w:hint="default" w:ascii="仿宋" w:hAnsi="仿宋" w:eastAsia="仿宋" w:cs="仿宋"/>
          <w:color w:val="auto"/>
          <w:kern w:val="2"/>
          <w:sz w:val="28"/>
          <w:szCs w:val="28"/>
          <w:lang w:val="en-US" w:eastAsia="zh-CN" w:bidi="ar"/>
        </w:rPr>
        <w:t>盘形闸：盘形闸油管及连接处不渗油，盘型闸间隙正常、闸瓦磨损不超限，螺栓固定牢固不松动。</w:t>
      </w:r>
    </w:p>
    <w:p w14:paraId="79AAD7E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7.滚筒及防护罩：滚筒衬垫磨损不超限且固定牢固，防护罩无破损、无变形，螺栓固定牢固不松动。</w:t>
      </w:r>
    </w:p>
    <w:p w14:paraId="5B672EF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8.轴编码器：编码器完好，固定牢固、灵活可靠。</w:t>
      </w:r>
    </w:p>
    <w:p w14:paraId="0E1DBF5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9.9-20</w:t>
      </w:r>
      <w:r>
        <w:rPr>
          <w:rFonts w:hint="default" w:ascii="仿宋" w:hAnsi="仿宋" w:eastAsia="仿宋" w:cs="仿宋"/>
          <w:color w:val="auto"/>
          <w:kern w:val="2"/>
          <w:sz w:val="28"/>
          <w:szCs w:val="28"/>
          <w:vertAlign w:val="superscript"/>
          <w:lang w:val="en-US" w:eastAsia="zh-CN" w:bidi="ar"/>
        </w:rPr>
        <w:t>#</w:t>
      </w:r>
      <w:r>
        <w:rPr>
          <w:rFonts w:hint="default" w:ascii="仿宋" w:hAnsi="仿宋" w:eastAsia="仿宋" w:cs="仿宋"/>
          <w:color w:val="auto"/>
          <w:kern w:val="2"/>
          <w:sz w:val="28"/>
          <w:szCs w:val="28"/>
          <w:lang w:val="en-US" w:eastAsia="zh-CN" w:bidi="ar"/>
        </w:rPr>
        <w:t>盘形闸：盘形闸油管及连接处不渗油，盘型闸间隙正常、闸瓦磨损不超标，螺栓固定牢固不松动。</w:t>
      </w:r>
    </w:p>
    <w:p w14:paraId="2F67FEB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10.电动机：电机无异响、无异味，温度正常。</w:t>
      </w:r>
    </w:p>
    <w:p w14:paraId="476F5AB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11.整流变压器：运行正常，温度正常，无异响、无异味，供电电压稳定。</w:t>
      </w:r>
    </w:p>
    <w:p w14:paraId="7BFD301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12.平波电抗器：运行正常，无异响、异味。</w:t>
      </w:r>
    </w:p>
    <w:p w14:paraId="190CC79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13.直流调速柜：仪表指示正常，运行正常。</w:t>
      </w:r>
    </w:p>
    <w:p w14:paraId="45E58F8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14.高压开关柜：仪表指示正常，运行正常，无异响、无异味，供电电压稳定。</w:t>
      </w:r>
    </w:p>
    <w:p w14:paraId="592F910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15.低压配电柜：仪表指示正常，运行正常，无异响、异味，供电电压稳定。</w:t>
      </w:r>
    </w:p>
    <w:p w14:paraId="738F2489">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lang w:val="en-US" w:eastAsia="zh-CN" w:bidi="ar"/>
        </w:rPr>
      </w:pPr>
      <w:r>
        <w:rPr>
          <w:rFonts w:hint="default" w:ascii="仿宋" w:hAnsi="仿宋" w:eastAsia="仿宋" w:cs="仿宋"/>
          <w:b w:val="0"/>
          <w:color w:val="auto"/>
          <w:kern w:val="2"/>
          <w:sz w:val="28"/>
          <w:szCs w:val="28"/>
          <w:lang w:val="en-US" w:eastAsia="zh-CN" w:bidi="ar"/>
        </w:rPr>
        <w:t>16.冷却风机：运行正常，温度正常。</w:t>
      </w:r>
    </w:p>
    <w:p w14:paraId="2F23C45D">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bCs/>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五、主提升机司机正规操作</w:t>
      </w:r>
    </w:p>
    <w:p w14:paraId="031FBEC3">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bCs/>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（一）主提升机司机操作顺序</w:t>
      </w:r>
    </w:p>
    <w:p w14:paraId="2E9428D6">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lang w:val="en-US" w:eastAsia="zh-CN" w:bidi="ar"/>
        </w:rPr>
      </w:pPr>
      <w:r>
        <w:rPr>
          <w:rFonts w:hint="default" w:ascii="仿宋" w:hAnsi="仿宋" w:eastAsia="仿宋" w:cs="仿宋"/>
          <w:b w:val="0"/>
          <w:color w:val="auto"/>
          <w:kern w:val="2"/>
          <w:sz w:val="28"/>
          <w:szCs w:val="28"/>
          <w:lang w:val="en-US" w:eastAsia="zh-CN" w:bidi="ar"/>
        </w:rPr>
        <w:t>检查巡视→正副司机就位→确认装置电源→确认操作手柄→确认信号及提升方向→提升机运转→设备状态检查→停车→设备闭锁</w:t>
      </w:r>
      <w:r>
        <w:rPr>
          <w:rFonts w:hint="eastAsia" w:ascii="仿宋" w:hAnsi="仿宋" w:eastAsia="仿宋" w:cs="仿宋"/>
          <w:b w:val="0"/>
          <w:color w:val="auto"/>
          <w:kern w:val="2"/>
          <w:sz w:val="28"/>
          <w:szCs w:val="28"/>
          <w:lang w:val="en-US" w:eastAsia="zh-CN" w:bidi="ar"/>
        </w:rPr>
        <w:t>。</w:t>
      </w:r>
    </w:p>
    <w:p w14:paraId="3B39119F">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bCs/>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（二）主提升机司机正规操作</w:t>
      </w:r>
    </w:p>
    <w:p w14:paraId="2E758B9A">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1.检查巡视：按照提升机司机提示卡中的开机前检查内</w:t>
      </w:r>
      <w:r>
        <w:rPr>
          <w:rFonts w:hint="default" w:ascii="仿宋" w:hAnsi="仿宋" w:eastAsia="仿宋" w:cs="仿宋"/>
          <w:color w:val="auto"/>
          <w:kern w:val="2"/>
          <w:sz w:val="28"/>
          <w:szCs w:val="28"/>
          <w:lang w:val="en-US" w:eastAsia="zh-CN" w:bidi="ar"/>
        </w:rPr>
        <w:t>容确认无误后，方可操作。</w:t>
      </w:r>
    </w:p>
    <w:p w14:paraId="6BBA0FD6">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2.正副司机就位：提升机提升期间，操作司机及监护司机到位。</w:t>
      </w:r>
    </w:p>
    <w:p w14:paraId="7478E07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3.确认装置电源：确定高压电源、快开、风机、励磁等正常后，合上安全回路。</w:t>
      </w:r>
    </w:p>
    <w:p w14:paraId="757385A9">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4.确认操作手柄：主令控制器手柄放在零位、工作闸手柄放在制动位置。</w:t>
      </w:r>
    </w:p>
    <w:p w14:paraId="09AAC358">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5.确认信号及提升方向：主提升机司机必须规范作业，确认信号及提升方向。</w:t>
      </w:r>
    </w:p>
    <w:p w14:paraId="2065F28D">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提升机运转：正向开车时，确认信号后，将工作闸手柄向前推，主令向后拉，正向加速，主提升机全速运行到减速点后将减速运行，自动运行到停车位置；反向开车时，确认信号后，将工作闸手柄向前推，主令向前推，反向加速，主提升机全速运行到减速点后将减速运行，自动运行到停车位置。</w:t>
      </w:r>
    </w:p>
    <w:p w14:paraId="1185A234">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7.设备</w:t>
      </w:r>
      <w:r>
        <w:rPr>
          <w:rFonts w:hint="default" w:ascii="仿宋" w:hAnsi="仿宋" w:eastAsia="仿宋" w:cs="仿宋"/>
          <w:color w:val="auto"/>
          <w:kern w:val="2"/>
          <w:sz w:val="28"/>
          <w:szCs w:val="28"/>
          <w:lang w:val="en-US" w:eastAsia="zh-CN" w:bidi="ar"/>
        </w:rPr>
        <w:t>状态检查：注意观察电流、电压、油压等读数应符合规定；各运转部位的声响应正常，无异常震动；各种保护装置的声光显示应正常；钢丝绳无异常跳动、滑绳。</w:t>
      </w:r>
    </w:p>
    <w:p w14:paraId="387611D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停车：正常停车时，接收到停车信号后，将主令推向零位，然后收工作闸；紧急停车时，用右脚踏下主控台下方急停开关，此时安全回路断电，提升机抱闸，完成紧急停车。然后将主令手柄置于零位、工作闸手柄置于制动位置，并联系维修人员、汇报工区值班人员，待故障处理完毕后方可试车。</w:t>
      </w:r>
    </w:p>
    <w:p w14:paraId="099D07B3">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9.设备闭锁：提升机长时间停机时，操作司机应及时切断各装置电源，防止提升机误动作，监护司机要及时提醒操作人规范操作。</w:t>
      </w:r>
    </w:p>
    <w:p w14:paraId="19B6D28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六、主提升机司机操作过程中的安全注意事项</w:t>
      </w:r>
    </w:p>
    <w:p w14:paraId="494DBE4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1.看仪表：</w:t>
      </w:r>
      <w:r>
        <w:rPr>
          <w:rFonts w:hint="default" w:ascii="仿宋" w:hAnsi="仿宋" w:eastAsia="仿宋" w:cs="仿宋"/>
          <w:color w:val="auto"/>
          <w:kern w:val="2"/>
          <w:sz w:val="28"/>
          <w:szCs w:val="28"/>
          <w:lang w:val="en-US" w:eastAsia="zh-CN" w:bidi="ar"/>
        </w:rPr>
        <w:t>随时观察电压表、电流表、压力显示、速度显示、信号、保护显示，出现异常立即停车或紧急制动。</w:t>
      </w:r>
    </w:p>
    <w:p w14:paraId="60C925C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2.看深指：</w:t>
      </w:r>
      <w:r>
        <w:rPr>
          <w:rFonts w:hint="default" w:ascii="仿宋" w:hAnsi="仿宋" w:eastAsia="仿宋" w:cs="仿宋"/>
          <w:color w:val="auto"/>
          <w:kern w:val="2"/>
          <w:sz w:val="28"/>
          <w:szCs w:val="28"/>
          <w:lang w:val="en-US" w:eastAsia="zh-CN" w:bidi="ar"/>
        </w:rPr>
        <w:t>随时观察提升容器位置显示位置和移动速度，出现异常立即停车。</w:t>
      </w:r>
    </w:p>
    <w:p w14:paraId="69185FF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3.看绳况：</w:t>
      </w:r>
      <w:r>
        <w:rPr>
          <w:rFonts w:hint="default" w:ascii="仿宋" w:hAnsi="仿宋" w:eastAsia="仿宋" w:cs="仿宋"/>
          <w:color w:val="auto"/>
          <w:kern w:val="2"/>
          <w:sz w:val="28"/>
          <w:szCs w:val="28"/>
          <w:lang w:val="en-US" w:eastAsia="zh-CN" w:bidi="ar"/>
        </w:rPr>
        <w:t>随时观察钢丝绳有无滑动、异常跳动及排列情况，出现异常立即停车。</w:t>
      </w:r>
    </w:p>
    <w:p w14:paraId="12400B9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4.听信号：</w:t>
      </w:r>
      <w:r>
        <w:rPr>
          <w:rFonts w:hint="default" w:ascii="仿宋" w:hAnsi="仿宋" w:eastAsia="仿宋" w:cs="仿宋"/>
          <w:color w:val="auto"/>
          <w:kern w:val="2"/>
          <w:sz w:val="28"/>
          <w:szCs w:val="28"/>
          <w:lang w:val="en-US" w:eastAsia="zh-CN" w:bidi="ar"/>
        </w:rPr>
        <w:t>严格按信号指令操作。</w:t>
      </w:r>
    </w:p>
    <w:p w14:paraId="76975BA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5.听异响：</w:t>
      </w:r>
      <w:r>
        <w:rPr>
          <w:rFonts w:hint="default" w:ascii="仿宋" w:hAnsi="仿宋" w:eastAsia="仿宋" w:cs="仿宋"/>
          <w:color w:val="auto"/>
          <w:kern w:val="2"/>
          <w:sz w:val="28"/>
          <w:szCs w:val="28"/>
          <w:lang w:val="en-US" w:eastAsia="zh-CN" w:bidi="ar"/>
        </w:rPr>
        <w:t>设备出现严重异响或非正常震动立即停车。</w:t>
      </w:r>
    </w:p>
    <w:p w14:paraId="582EA93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6.嗅异味：</w:t>
      </w:r>
      <w:r>
        <w:rPr>
          <w:rFonts w:hint="default" w:ascii="仿宋" w:hAnsi="仿宋" w:eastAsia="仿宋" w:cs="仿宋"/>
          <w:color w:val="auto"/>
          <w:kern w:val="2"/>
          <w:sz w:val="28"/>
          <w:szCs w:val="28"/>
          <w:lang w:val="en-US" w:eastAsia="zh-CN" w:bidi="ar"/>
        </w:rPr>
        <w:t>闻到设备出现异常气味立即停车。</w:t>
      </w:r>
    </w:p>
    <w:p w14:paraId="5EDE6F6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7.禁闲谈：</w:t>
      </w:r>
      <w:r>
        <w:rPr>
          <w:rFonts w:hint="default" w:ascii="仿宋" w:hAnsi="仿宋" w:eastAsia="仿宋" w:cs="仿宋"/>
          <w:color w:val="auto"/>
          <w:kern w:val="2"/>
          <w:sz w:val="28"/>
          <w:szCs w:val="28"/>
          <w:lang w:val="en-US" w:eastAsia="zh-CN" w:bidi="ar"/>
        </w:rPr>
        <w:t>严禁闲谈和接打电话；禁止对监护司机的示警性喊话进行对答。</w:t>
      </w:r>
    </w:p>
    <w:p w14:paraId="38BB6F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8.握手柄：</w:t>
      </w:r>
      <w:r>
        <w:rPr>
          <w:rFonts w:hint="default" w:ascii="仿宋" w:hAnsi="仿宋" w:eastAsia="仿宋" w:cs="仿宋"/>
          <w:color w:val="auto"/>
          <w:kern w:val="2"/>
          <w:sz w:val="28"/>
          <w:szCs w:val="28"/>
          <w:lang w:val="en-US" w:eastAsia="zh-CN" w:bidi="ar"/>
        </w:rPr>
        <w:t>手动方式开车时，左右手不准离开工作闸及主令控制手柄，加减速均匀。</w:t>
      </w:r>
    </w:p>
    <w:p w14:paraId="439921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9.按急停：</w:t>
      </w:r>
      <w:r>
        <w:rPr>
          <w:rFonts w:hint="default" w:ascii="仿宋" w:hAnsi="仿宋" w:eastAsia="仿宋" w:cs="仿宋"/>
          <w:color w:val="auto"/>
          <w:kern w:val="2"/>
          <w:sz w:val="28"/>
          <w:szCs w:val="28"/>
          <w:lang w:val="en-US" w:eastAsia="zh-CN" w:bidi="ar"/>
        </w:rPr>
        <w:t>出现紧急情况或故障时按下急停按钮实施制动。</w:t>
      </w:r>
    </w:p>
    <w:p w14:paraId="4BF661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10.端坐姿：</w:t>
      </w:r>
      <w:r>
        <w:rPr>
          <w:rFonts w:hint="default" w:ascii="仿宋" w:hAnsi="仿宋" w:eastAsia="仿宋" w:cs="仿宋"/>
          <w:color w:val="auto"/>
          <w:kern w:val="2"/>
          <w:sz w:val="28"/>
          <w:szCs w:val="28"/>
          <w:lang w:val="en-US" w:eastAsia="zh-CN" w:bidi="ar"/>
        </w:rPr>
        <w:t>保持坐姿端正，双脚应平放地面，不得随意晃动。</w:t>
      </w:r>
    </w:p>
    <w:p w14:paraId="14F1F78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11.定位置：</w:t>
      </w:r>
      <w:r>
        <w:rPr>
          <w:rFonts w:hint="default" w:ascii="仿宋" w:hAnsi="仿宋" w:eastAsia="仿宋" w:cs="仿宋"/>
          <w:color w:val="auto"/>
          <w:kern w:val="2"/>
          <w:sz w:val="28"/>
          <w:szCs w:val="28"/>
          <w:lang w:val="en-US" w:eastAsia="zh-CN" w:bidi="ar"/>
        </w:rPr>
        <w:t>主司机严禁离开操作台，监护司机不得随意离开监护位置。</w:t>
      </w:r>
    </w:p>
    <w:p w14:paraId="65ED415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 xml:space="preserve">七、全部注意事项 </w:t>
      </w:r>
    </w:p>
    <w:p w14:paraId="2E3A8EEB">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1.正常开车时，开车方式选择开关打在正常位置；检修时，开车方式选择开关打在检修位置。</w:t>
      </w:r>
    </w:p>
    <w:p w14:paraId="6A024D1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2.出现故障或中途停车后，应立即通知维修工进行排除故障，故障排除后，方可进行提升。</w:t>
      </w:r>
    </w:p>
    <w:p w14:paraId="5C500919">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3.调速柜送电后，如有故障，按调速柜操作面板的复位键复位。</w:t>
      </w:r>
    </w:p>
    <w:p w14:paraId="591AF83E">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4.安全回路掉电后，按急停复位按钮，安全条件具备指示灯亮起后，将安全继电器启动按钮按下，安全继电器指示灯亮，可进入开车状态。</w:t>
      </w:r>
    </w:p>
    <w:p w14:paraId="28847A19">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5.主控台接收到正确的开车信号后，将在信号柜屏幕上显示打点次数，提升司机必须看清打点次数，并且信号指示灯亮起后，方可进行操作，信号不明不准开车。</w:t>
      </w:r>
    </w:p>
    <w:p w14:paraId="39C5BD3F">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6.提升机运行时，应仔细观察主控台参数及监控画面，注意听清打点信号。</w:t>
      </w:r>
    </w:p>
    <w:p w14:paraId="470D1D3D">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7.提升机司机应遵守以下安全守则：</w:t>
      </w:r>
    </w:p>
    <w:p w14:paraId="1FEE78BC">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①</w:t>
      </w:r>
      <w:r>
        <w:rPr>
          <w:rFonts w:hint="default" w:ascii="仿宋" w:hAnsi="仿宋" w:eastAsia="仿宋" w:cs="仿宋"/>
          <w:b w:val="0"/>
          <w:color w:val="auto"/>
          <w:kern w:val="2"/>
          <w:sz w:val="28"/>
          <w:szCs w:val="28"/>
          <w:lang w:val="en-US" w:eastAsia="zh-CN" w:bidi="ar"/>
        </w:rPr>
        <w:t>严格执行交接班制度，接班后应进行一次空载试车(连续作业除外)，并做好交接班记录。</w:t>
      </w:r>
    </w:p>
    <w:p w14:paraId="18C9BB7B">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②</w:t>
      </w:r>
      <w:r>
        <w:rPr>
          <w:rFonts w:hint="default" w:ascii="仿宋" w:hAnsi="仿宋" w:eastAsia="仿宋" w:cs="仿宋"/>
          <w:b w:val="0"/>
          <w:color w:val="auto"/>
          <w:kern w:val="2"/>
          <w:sz w:val="28"/>
          <w:szCs w:val="28"/>
          <w:lang w:val="en-US" w:eastAsia="zh-CN" w:bidi="ar"/>
        </w:rPr>
        <w:t>禁止超负荷运行(电流不超限)。</w:t>
      </w:r>
    </w:p>
    <w:p w14:paraId="4530B2F7">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③</w:t>
      </w:r>
      <w:r>
        <w:rPr>
          <w:rFonts w:hint="default" w:ascii="仿宋" w:hAnsi="仿宋" w:eastAsia="仿宋" w:cs="仿宋"/>
          <w:b w:val="0"/>
          <w:color w:val="auto"/>
          <w:kern w:val="2"/>
          <w:sz w:val="28"/>
          <w:szCs w:val="28"/>
          <w:lang w:val="en-US" w:eastAsia="zh-CN" w:bidi="ar"/>
        </w:rPr>
        <w:t>非紧急情况下，运行中不得使用急停按钮或脚踏急停。</w:t>
      </w:r>
    </w:p>
    <w:p w14:paraId="53F79B4D">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④</w:t>
      </w:r>
      <w:r>
        <w:rPr>
          <w:rFonts w:hint="default" w:ascii="仿宋" w:hAnsi="仿宋" w:eastAsia="仿宋" w:cs="仿宋"/>
          <w:b w:val="0"/>
          <w:color w:val="auto"/>
          <w:kern w:val="2"/>
          <w:sz w:val="28"/>
          <w:szCs w:val="28"/>
          <w:lang w:val="en-US" w:eastAsia="zh-CN" w:bidi="ar"/>
        </w:rPr>
        <w:t>不得擅自调整制动闸。</w:t>
      </w:r>
    </w:p>
    <w:p w14:paraId="01EDB5A2">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⑤</w:t>
      </w:r>
      <w:r>
        <w:rPr>
          <w:rFonts w:hint="default" w:ascii="仿宋" w:hAnsi="仿宋" w:eastAsia="仿宋" w:cs="仿宋"/>
          <w:b w:val="0"/>
          <w:color w:val="auto"/>
          <w:kern w:val="2"/>
          <w:sz w:val="28"/>
          <w:szCs w:val="28"/>
          <w:lang w:val="en-US" w:eastAsia="zh-CN" w:bidi="ar"/>
        </w:rPr>
        <w:t>不得随意变更设备整定值。</w:t>
      </w:r>
    </w:p>
    <w:p w14:paraId="7955B18C">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⑥</w:t>
      </w:r>
      <w:r>
        <w:rPr>
          <w:rFonts w:hint="default" w:ascii="仿宋" w:hAnsi="仿宋" w:eastAsia="仿宋" w:cs="仿宋"/>
          <w:b w:val="0"/>
          <w:color w:val="auto"/>
          <w:kern w:val="2"/>
          <w:sz w:val="28"/>
          <w:szCs w:val="28"/>
          <w:lang w:val="en-US" w:eastAsia="zh-CN" w:bidi="ar"/>
        </w:rPr>
        <w:t>检修后必须试车，并按规定进行提升机保护试验。</w:t>
      </w:r>
    </w:p>
    <w:p w14:paraId="647853FB">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⑦</w:t>
      </w:r>
      <w:r>
        <w:rPr>
          <w:rFonts w:hint="default" w:ascii="仿宋" w:hAnsi="仿宋" w:eastAsia="仿宋" w:cs="仿宋"/>
          <w:b w:val="0"/>
          <w:color w:val="auto"/>
          <w:kern w:val="2"/>
          <w:sz w:val="28"/>
          <w:szCs w:val="28"/>
          <w:lang w:val="en-US" w:eastAsia="zh-CN" w:bidi="ar"/>
        </w:rPr>
        <w:t>维修人员进入滚筒工作前,必须关闭油泵，断开液压站电源,锁住提升机滚简。工作完毕后，试车时应缓慢起动。</w:t>
      </w:r>
    </w:p>
    <w:p w14:paraId="484CEC20">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⑧</w:t>
      </w:r>
      <w:r>
        <w:rPr>
          <w:rFonts w:hint="default" w:ascii="仿宋" w:hAnsi="仿宋" w:eastAsia="仿宋" w:cs="仿宋"/>
          <w:b w:val="0"/>
          <w:color w:val="auto"/>
          <w:kern w:val="2"/>
          <w:sz w:val="28"/>
          <w:szCs w:val="28"/>
          <w:lang w:val="en-US" w:eastAsia="zh-CN" w:bidi="ar"/>
        </w:rPr>
        <w:t>停车期间司机离开操作位置时，必须将工作闸手把移至制动位置，主令控制器手把置于中间零位。</w:t>
      </w:r>
    </w:p>
    <w:p w14:paraId="5EFB7BD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8.司机应熟悉各种信号，操作时必须严格按照信号执行:</w:t>
      </w:r>
    </w:p>
    <w:p w14:paraId="0E59692F">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①</w:t>
      </w:r>
      <w:r>
        <w:rPr>
          <w:rFonts w:hint="default" w:ascii="仿宋" w:hAnsi="仿宋" w:eastAsia="仿宋" w:cs="仿宋"/>
          <w:b w:val="0"/>
          <w:color w:val="auto"/>
          <w:kern w:val="2"/>
          <w:sz w:val="28"/>
          <w:szCs w:val="28"/>
          <w:lang w:val="en-US" w:eastAsia="zh-CN" w:bidi="ar"/>
        </w:rPr>
        <w:t>当接收信号不清或有疑问时，应立即用电话与上井口信号工联系，重发信号，再进行操作。</w:t>
      </w:r>
    </w:p>
    <w:p w14:paraId="1B069135">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②</w:t>
      </w:r>
      <w:r>
        <w:rPr>
          <w:rFonts w:hint="default" w:ascii="仿宋" w:hAnsi="仿宋" w:eastAsia="仿宋" w:cs="仿宋"/>
          <w:b w:val="0"/>
          <w:color w:val="auto"/>
          <w:kern w:val="2"/>
          <w:sz w:val="28"/>
          <w:szCs w:val="28"/>
          <w:lang w:val="en-US" w:eastAsia="zh-CN" w:bidi="ar"/>
        </w:rPr>
        <w:t>接到信号因故未能执行时，应通知上井口信号工原信号作废，重发信号，再进行操作。</w:t>
      </w:r>
    </w:p>
    <w:p w14:paraId="1106A84A">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③</w:t>
      </w:r>
      <w:r>
        <w:rPr>
          <w:rFonts w:hint="default" w:ascii="仿宋" w:hAnsi="仿宋" w:eastAsia="仿宋" w:cs="仿宋"/>
          <w:b w:val="0"/>
          <w:color w:val="auto"/>
          <w:kern w:val="2"/>
          <w:sz w:val="28"/>
          <w:szCs w:val="28"/>
          <w:lang w:val="en-US" w:eastAsia="zh-CN" w:bidi="ar"/>
        </w:rPr>
        <w:t>因检修需要，操作提升机时应先通知各信号工，经信号工确认及检修负责人同意后，再经上井口信号工发点开车。</w:t>
      </w:r>
    </w:p>
    <w:p w14:paraId="1DDEE382">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9.提升机司机应遵守以下操作纪律:</w:t>
      </w:r>
    </w:p>
    <w:p w14:paraId="216DF6DD">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①</w:t>
      </w:r>
      <w:r>
        <w:rPr>
          <w:rFonts w:hint="default" w:ascii="仿宋" w:hAnsi="仿宋" w:eastAsia="仿宋" w:cs="仿宋"/>
          <w:b w:val="0"/>
          <w:color w:val="auto"/>
          <w:kern w:val="2"/>
          <w:sz w:val="28"/>
          <w:szCs w:val="28"/>
          <w:lang w:val="en-US" w:eastAsia="zh-CN" w:bidi="ar"/>
        </w:rPr>
        <w:t>司机操作时应精神集中，手不离手把，严禁与他人闲谈，开车时不得再接打电话，司机不允许连班顶岗。</w:t>
      </w:r>
    </w:p>
    <w:p w14:paraId="0B7618A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②</w:t>
      </w:r>
      <w:r>
        <w:rPr>
          <w:rFonts w:hint="default" w:ascii="仿宋" w:hAnsi="仿宋" w:eastAsia="仿宋" w:cs="仿宋"/>
          <w:b w:val="0"/>
          <w:color w:val="auto"/>
          <w:kern w:val="2"/>
          <w:sz w:val="28"/>
          <w:szCs w:val="28"/>
          <w:lang w:val="en-US" w:eastAsia="zh-CN" w:bidi="ar"/>
        </w:rPr>
        <w:t>操作期间，不得离开操作台及做其他与操作无关的事，操作台上不得放置与操作无关的物品，严禁放置水杯。</w:t>
      </w:r>
    </w:p>
    <w:p w14:paraId="728098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八、停车后确认</w:t>
      </w:r>
    </w:p>
    <w:p w14:paraId="6D06A4D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1.主令控制器、工作闸：主令控制器手柄至零位，工作闸手柄至制动位置。</w:t>
      </w:r>
    </w:p>
    <w:p w14:paraId="673D93E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2.提升容器位置指示：提升容器位置指示正确。</w:t>
      </w:r>
    </w:p>
    <w:p w14:paraId="7EF3F23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3.按钮、转换开关：按钮、转换开关位置正确。</w:t>
      </w:r>
    </w:p>
    <w:p w14:paraId="1542B9C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4.主控台仪表：仪表指示正常。</w:t>
      </w:r>
    </w:p>
    <w:p w14:paraId="5F9097B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5.安全回路：安全回路闭锁。</w:t>
      </w:r>
    </w:p>
    <w:p w14:paraId="6D2B446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 xml:space="preserve">6.冷却风机：提升机长时间停机时，断开冷却风机电源。 </w:t>
      </w:r>
    </w:p>
    <w:p w14:paraId="36DC792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7.液压系统：提升机长时间停机时，断开液压站电源。</w:t>
      </w:r>
    </w:p>
    <w:p w14:paraId="744391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8.装置电源：提升机长时间停机时，断开装置电源。</w:t>
      </w:r>
    </w:p>
    <w:p w14:paraId="1D2099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九、事故案例教育</w:t>
      </w:r>
    </w:p>
    <w:p w14:paraId="149C1F53">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（一）事故经过</w:t>
      </w:r>
    </w:p>
    <w:p w14:paraId="1F83F2A2">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2009年10月8日8:00，湖南省某矿运送人员上下井过程中，带动上升罐笼的滚筒上的调绳离合器脱离,造成一对罐笼相继坠入井底,并将钢丝绳全部拉断，造成26人遇难5人重伤。</w:t>
      </w:r>
    </w:p>
    <w:p w14:paraId="3B9110FF">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（二）事故原因</w:t>
      </w:r>
    </w:p>
    <w:p w14:paraId="0B5B3DD2">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1.提升机司机误操作。</w:t>
      </w:r>
    </w:p>
    <w:p w14:paraId="20C6E3F0">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2.把钩工把罐不严，罐笼超载（罐笼核定乘员24人，但事发时乘员27人)。</w:t>
      </w:r>
    </w:p>
    <w:p w14:paraId="2F8FC4D2">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（三）防范措施</w:t>
      </w:r>
    </w:p>
    <w:p w14:paraId="72205BE4">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1.加强对提升机司机和把钩工的业务培训力度。</w:t>
      </w:r>
    </w:p>
    <w:p w14:paraId="2E0B24DD">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2.严格执行提升机巡回检查制度。</w:t>
      </w:r>
    </w:p>
    <w:p w14:paraId="140FCCA5">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3.操作提升机时，必须做到一人操作，一人监护。</w:t>
      </w:r>
    </w:p>
    <w:p w14:paraId="56C2A56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十、常见三违</w:t>
      </w:r>
    </w:p>
    <w:p w14:paraId="3008C8D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（一）无证上岗或持假证上岗作业</w:t>
      </w:r>
      <w:r>
        <w:rPr>
          <w:rFonts w:hint="eastAsia" w:ascii="仿宋" w:hAnsi="仿宋" w:eastAsia="仿宋" w:cs="仿宋"/>
          <w:color w:val="auto"/>
          <w:kern w:val="2"/>
          <w:sz w:val="28"/>
          <w:szCs w:val="28"/>
          <w:lang w:val="en-US" w:eastAsia="zh-CN" w:bidi="ar"/>
        </w:rPr>
        <w:t>；</w:t>
      </w:r>
    </w:p>
    <w:p w14:paraId="5DA431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（二）对抵制或举报制止违章的人员进行打击报复</w:t>
      </w:r>
      <w:r>
        <w:rPr>
          <w:rFonts w:hint="eastAsia" w:ascii="仿宋" w:hAnsi="仿宋" w:eastAsia="仿宋" w:cs="仿宋"/>
          <w:color w:val="auto"/>
          <w:kern w:val="2"/>
          <w:sz w:val="28"/>
          <w:szCs w:val="28"/>
          <w:lang w:val="en-US" w:eastAsia="zh-CN" w:bidi="ar"/>
        </w:rPr>
        <w:t>；</w:t>
      </w:r>
    </w:p>
    <w:p w14:paraId="67F3DDE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（三）不服从管理，刁难、威胁、谩骂、殴打正常行使职责的安全管理人员</w:t>
      </w:r>
      <w:r>
        <w:rPr>
          <w:rFonts w:hint="eastAsia" w:ascii="仿宋" w:hAnsi="仿宋" w:eastAsia="仿宋" w:cs="仿宋"/>
          <w:color w:val="auto"/>
          <w:kern w:val="2"/>
          <w:sz w:val="28"/>
          <w:szCs w:val="28"/>
          <w:lang w:val="en-US" w:eastAsia="zh-CN" w:bidi="ar"/>
        </w:rPr>
        <w:t>；</w:t>
      </w:r>
    </w:p>
    <w:p w14:paraId="149A00AE">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（四）睡岗、躺岗、脱岗</w:t>
      </w:r>
      <w:r>
        <w:rPr>
          <w:rFonts w:hint="eastAsia" w:ascii="仿宋" w:hAnsi="仿宋" w:eastAsia="仿宋" w:cs="仿宋"/>
          <w:color w:val="auto"/>
          <w:kern w:val="2"/>
          <w:sz w:val="28"/>
          <w:szCs w:val="28"/>
          <w:lang w:val="en-US" w:eastAsia="zh-CN" w:bidi="ar"/>
        </w:rPr>
        <w:t>；</w:t>
      </w:r>
    </w:p>
    <w:p w14:paraId="662AC5E6">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（五）人员酒后上岗</w:t>
      </w:r>
      <w:r>
        <w:rPr>
          <w:rFonts w:hint="eastAsia" w:ascii="仿宋" w:hAnsi="仿宋" w:eastAsia="仿宋" w:cs="仿宋"/>
          <w:color w:val="auto"/>
          <w:kern w:val="2"/>
          <w:sz w:val="28"/>
          <w:szCs w:val="28"/>
          <w:lang w:val="en-US" w:eastAsia="zh-CN" w:bidi="ar"/>
        </w:rPr>
        <w:t>；</w:t>
      </w:r>
    </w:p>
    <w:p w14:paraId="271D4677">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（六）员工打架斗殴</w:t>
      </w:r>
      <w:r>
        <w:rPr>
          <w:rFonts w:hint="eastAsia" w:ascii="仿宋" w:hAnsi="仿宋" w:eastAsia="仿宋" w:cs="仿宋"/>
          <w:color w:val="auto"/>
          <w:kern w:val="2"/>
          <w:sz w:val="28"/>
          <w:szCs w:val="28"/>
          <w:lang w:val="en-US" w:eastAsia="zh-CN" w:bidi="ar"/>
        </w:rPr>
        <w:t>；</w:t>
      </w:r>
    </w:p>
    <w:p w14:paraId="2ED56D76">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（七）人为影响及破坏安全、监测、监控设施正常使用的</w:t>
      </w:r>
      <w:r>
        <w:rPr>
          <w:rFonts w:hint="eastAsia" w:ascii="仿宋" w:hAnsi="仿宋" w:eastAsia="仿宋" w:cs="仿宋"/>
          <w:color w:val="auto"/>
          <w:kern w:val="2"/>
          <w:sz w:val="28"/>
          <w:szCs w:val="28"/>
          <w:lang w:val="en-US" w:eastAsia="zh-CN" w:bidi="ar"/>
        </w:rPr>
        <w:t>；</w:t>
      </w:r>
    </w:p>
    <w:p w14:paraId="23B01584">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（八）不按规定操作信号</w:t>
      </w:r>
      <w:r>
        <w:rPr>
          <w:rFonts w:hint="eastAsia" w:ascii="仿宋" w:hAnsi="仿宋" w:eastAsia="仿宋" w:cs="仿宋"/>
          <w:color w:val="auto"/>
          <w:kern w:val="2"/>
          <w:sz w:val="28"/>
          <w:szCs w:val="28"/>
          <w:lang w:val="en-US" w:eastAsia="zh-CN" w:bidi="ar"/>
        </w:rPr>
        <w:t>；</w:t>
      </w:r>
    </w:p>
    <w:p w14:paraId="13DB77D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（九）地面严禁烟火区域或井口20米范围内吸烟、点火</w:t>
      </w:r>
      <w:r>
        <w:rPr>
          <w:rFonts w:hint="eastAsia" w:ascii="仿宋" w:hAnsi="仿宋" w:eastAsia="仿宋" w:cs="仿宋"/>
          <w:color w:val="auto"/>
          <w:kern w:val="2"/>
          <w:sz w:val="28"/>
          <w:szCs w:val="28"/>
          <w:lang w:val="en-US" w:eastAsia="zh-CN" w:bidi="ar"/>
        </w:rPr>
        <w:t>；</w:t>
      </w:r>
    </w:p>
    <w:p w14:paraId="1A049CA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（十）因操作不当损坏安全设施</w:t>
      </w:r>
      <w:r>
        <w:rPr>
          <w:rFonts w:hint="eastAsia" w:ascii="仿宋" w:hAnsi="仿宋" w:eastAsia="仿宋" w:cs="仿宋"/>
          <w:color w:val="auto"/>
          <w:kern w:val="2"/>
          <w:sz w:val="28"/>
          <w:szCs w:val="28"/>
          <w:lang w:val="en-US" w:eastAsia="zh-CN" w:bidi="ar"/>
        </w:rPr>
        <w:t>；</w:t>
      </w:r>
    </w:p>
    <w:p w14:paraId="3A52F4B1">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（十一）要害岗位携带手机上岗的。</w:t>
      </w:r>
    </w:p>
    <w:bookmarkEnd w:id="327"/>
    <w:bookmarkEnd w:id="328"/>
    <w:bookmarkEnd w:id="329"/>
    <w:bookmarkEnd w:id="330"/>
    <w:p w14:paraId="03F8251A">
      <w:pPr>
        <w:rPr>
          <w:rFonts w:hint="eastAsia" w:cs="Times New Roman"/>
          <w:color w:val="auto"/>
          <w:lang w:val="en-US" w:eastAsia="zh-CN"/>
        </w:rPr>
      </w:pPr>
      <w:bookmarkStart w:id="352" w:name="_Toc32365"/>
      <w:bookmarkStart w:id="353" w:name="_Toc10673"/>
      <w:bookmarkStart w:id="354" w:name="_Toc16516"/>
      <w:bookmarkStart w:id="355" w:name="_Toc15872"/>
      <w:bookmarkStart w:id="356" w:name="_Toc7857"/>
      <w:bookmarkStart w:id="357" w:name="_Toc28289"/>
      <w:bookmarkStart w:id="358" w:name="_Toc739"/>
      <w:bookmarkStart w:id="359" w:name="_Toc24477"/>
      <w:r>
        <w:rPr>
          <w:rFonts w:hint="eastAsia" w:cs="Times New Roman"/>
          <w:color w:val="auto"/>
          <w:lang w:val="en-US" w:eastAsia="zh-CN"/>
        </w:rPr>
        <w:br w:type="page"/>
      </w:r>
    </w:p>
    <w:p w14:paraId="2FE410A4">
      <w:pPr>
        <w:pStyle w:val="17"/>
        <w:bidi w:val="0"/>
        <w:outlineLvl w:val="1"/>
        <w:rPr>
          <w:rFonts w:hint="eastAsia" w:cs="Times New Roman"/>
          <w:color w:val="auto"/>
          <w:lang w:val="en-US" w:eastAsia="zh-CN"/>
        </w:rPr>
      </w:pPr>
      <w:bookmarkStart w:id="360" w:name="_Toc30097"/>
      <w:r>
        <w:rPr>
          <w:rFonts w:hint="eastAsia" w:cs="Times New Roman"/>
          <w:color w:val="auto"/>
          <w:lang w:val="en-US" w:eastAsia="zh-CN"/>
        </w:rPr>
        <w:t>机械维修工</w:t>
      </w:r>
      <w:bookmarkEnd w:id="352"/>
      <w:bookmarkEnd w:id="353"/>
      <w:bookmarkEnd w:id="354"/>
      <w:bookmarkEnd w:id="360"/>
    </w:p>
    <w:tbl>
      <w:tblPr>
        <w:tblStyle w:val="13"/>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9"/>
        <w:gridCol w:w="2137"/>
        <w:gridCol w:w="1368"/>
        <w:gridCol w:w="4306"/>
      </w:tblGrid>
      <w:tr w14:paraId="4A8496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9380" w:type="dxa"/>
            <w:gridSpan w:val="4"/>
          </w:tcPr>
          <w:p w14:paraId="0315A350">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val="0"/>
                <w:bCs w:val="0"/>
                <w:color w:val="auto"/>
                <w:kern w:val="0"/>
                <w:sz w:val="21"/>
                <w:szCs w:val="21"/>
                <w:lang w:val="en-US" w:eastAsia="zh-CN"/>
              </w:rPr>
              <w:t>机械</w:t>
            </w:r>
            <w:r>
              <w:rPr>
                <w:rFonts w:hint="eastAsia" w:ascii="仿宋" w:hAnsi="仿宋" w:eastAsia="仿宋" w:cs="仿宋"/>
                <w:b w:val="0"/>
                <w:bCs w:val="0"/>
                <w:color w:val="auto"/>
                <w:kern w:val="0"/>
                <w:sz w:val="21"/>
                <w:szCs w:val="21"/>
              </w:rPr>
              <w:t>维修工风险告知卡</w:t>
            </w:r>
          </w:p>
        </w:tc>
      </w:tr>
      <w:tr w14:paraId="24E137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1569" w:type="dxa"/>
            <w:vAlign w:val="center"/>
          </w:tcPr>
          <w:p w14:paraId="2B9AD17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54123AC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类型</w:t>
            </w:r>
          </w:p>
        </w:tc>
        <w:tc>
          <w:tcPr>
            <w:tcW w:w="2137" w:type="dxa"/>
            <w:vAlign w:val="center"/>
          </w:tcPr>
          <w:p w14:paraId="1F139FE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rPr>
              <w:t>机电、运输、物体打击、职业病危害</w:t>
            </w:r>
          </w:p>
        </w:tc>
        <w:tc>
          <w:tcPr>
            <w:tcW w:w="1368" w:type="dxa"/>
            <w:vAlign w:val="center"/>
          </w:tcPr>
          <w:p w14:paraId="430AC05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1425B9F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报告</w:t>
            </w:r>
          </w:p>
        </w:tc>
        <w:tc>
          <w:tcPr>
            <w:tcW w:w="4306" w:type="dxa"/>
            <w:vAlign w:val="center"/>
          </w:tcPr>
          <w:p w14:paraId="5BA549E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val="en-US" w:eastAsia="zh-CN"/>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工区值班：80</w:t>
            </w:r>
            <w:r>
              <w:rPr>
                <w:rFonts w:hint="eastAsia" w:ascii="仿宋" w:hAnsi="仿宋" w:eastAsia="仿宋" w:cs="仿宋"/>
                <w:color w:val="auto"/>
                <w:kern w:val="0"/>
                <w:sz w:val="21"/>
                <w:szCs w:val="21"/>
                <w:lang w:val="en-US" w:eastAsia="zh-CN"/>
              </w:rPr>
              <w:t>50473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6E74F3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3706" w:type="dxa"/>
            <w:gridSpan w:val="2"/>
            <w:vAlign w:val="center"/>
          </w:tcPr>
          <w:p w14:paraId="6A26187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主要危害因素</w:t>
            </w:r>
          </w:p>
        </w:tc>
        <w:tc>
          <w:tcPr>
            <w:tcW w:w="5674" w:type="dxa"/>
            <w:gridSpan w:val="2"/>
            <w:vAlign w:val="center"/>
          </w:tcPr>
          <w:p w14:paraId="4944C39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管控措施</w:t>
            </w:r>
          </w:p>
        </w:tc>
      </w:tr>
      <w:tr w14:paraId="3BE0C2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3706" w:type="dxa"/>
            <w:gridSpan w:val="2"/>
            <w:vAlign w:val="center"/>
          </w:tcPr>
          <w:p w14:paraId="28D728E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未持证上岗；不按照操作规程操作设备</w:t>
            </w:r>
            <w:r>
              <w:rPr>
                <w:rFonts w:hint="eastAsia" w:ascii="仿宋" w:hAnsi="仿宋" w:eastAsia="仿宋" w:cs="仿宋"/>
                <w:color w:val="auto"/>
                <w:kern w:val="0"/>
                <w:sz w:val="21"/>
                <w:szCs w:val="21"/>
                <w:lang w:eastAsia="zh-CN"/>
              </w:rPr>
              <w:t>。</w:t>
            </w:r>
          </w:p>
        </w:tc>
        <w:tc>
          <w:tcPr>
            <w:tcW w:w="5674" w:type="dxa"/>
            <w:gridSpan w:val="2"/>
            <w:vAlign w:val="center"/>
          </w:tcPr>
          <w:p w14:paraId="554F045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经培训合格后，持证上岗；严格按照操作规程操作设备</w:t>
            </w:r>
            <w:r>
              <w:rPr>
                <w:rFonts w:hint="eastAsia" w:ascii="仿宋" w:hAnsi="仿宋" w:eastAsia="仿宋" w:cs="仿宋"/>
                <w:color w:val="auto"/>
                <w:kern w:val="0"/>
                <w:sz w:val="21"/>
                <w:szCs w:val="21"/>
                <w:lang w:eastAsia="zh-CN"/>
              </w:rPr>
              <w:t>。</w:t>
            </w:r>
          </w:p>
        </w:tc>
      </w:tr>
      <w:tr w14:paraId="4E64B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3706" w:type="dxa"/>
            <w:gridSpan w:val="2"/>
            <w:vAlign w:val="center"/>
          </w:tcPr>
          <w:p w14:paraId="38F3CB8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吊点、吊具不合格，人员站位不当；出现漏油、漏气现象</w:t>
            </w:r>
            <w:r>
              <w:rPr>
                <w:rFonts w:hint="eastAsia" w:ascii="仿宋" w:hAnsi="仿宋" w:eastAsia="仿宋" w:cs="仿宋"/>
                <w:color w:val="auto"/>
                <w:kern w:val="0"/>
                <w:sz w:val="21"/>
                <w:szCs w:val="21"/>
                <w:lang w:eastAsia="zh-CN"/>
              </w:rPr>
              <w:t>。</w:t>
            </w:r>
          </w:p>
        </w:tc>
        <w:tc>
          <w:tcPr>
            <w:tcW w:w="5674" w:type="dxa"/>
            <w:gridSpan w:val="2"/>
            <w:vAlign w:val="center"/>
          </w:tcPr>
          <w:p w14:paraId="48A93C8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使用合格吊点和设施，捆绑牢靠，轻装轻放，严禁在设备下方和可能倾倒的方向走动；发生漏油、漏气现象，要立即停机检查，排除故障</w:t>
            </w:r>
            <w:r>
              <w:rPr>
                <w:rFonts w:hint="eastAsia" w:ascii="仿宋" w:hAnsi="仿宋" w:eastAsia="仿宋" w:cs="仿宋"/>
                <w:color w:val="auto"/>
                <w:kern w:val="0"/>
                <w:sz w:val="21"/>
                <w:szCs w:val="21"/>
                <w:lang w:eastAsia="zh-CN"/>
              </w:rPr>
              <w:t>。</w:t>
            </w:r>
          </w:p>
        </w:tc>
      </w:tr>
      <w:tr w14:paraId="15505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3706" w:type="dxa"/>
            <w:gridSpan w:val="2"/>
            <w:vAlign w:val="center"/>
          </w:tcPr>
          <w:p w14:paraId="627DCBF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作业时敲帮问顶不得当</w:t>
            </w:r>
          </w:p>
        </w:tc>
        <w:tc>
          <w:tcPr>
            <w:tcW w:w="5674" w:type="dxa"/>
            <w:gridSpan w:val="2"/>
            <w:vAlign w:val="center"/>
          </w:tcPr>
          <w:p w14:paraId="6CDC48F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lang w:val="en-US" w:eastAsia="zh-CN"/>
              </w:rPr>
              <w:t>3.按要求进行敲帮问顶。</w:t>
            </w:r>
          </w:p>
        </w:tc>
      </w:tr>
      <w:tr w14:paraId="29A4FB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3706" w:type="dxa"/>
            <w:gridSpan w:val="2"/>
            <w:vAlign w:val="center"/>
          </w:tcPr>
          <w:p w14:paraId="6F9C91E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人员靠近转动部位，护罩或遮拦等不完好</w:t>
            </w:r>
            <w:r>
              <w:rPr>
                <w:rFonts w:hint="eastAsia" w:ascii="仿宋" w:hAnsi="仿宋" w:eastAsia="仿宋" w:cs="仿宋"/>
                <w:color w:val="auto"/>
                <w:kern w:val="0"/>
                <w:sz w:val="21"/>
                <w:szCs w:val="21"/>
                <w:lang w:eastAsia="zh-CN"/>
              </w:rPr>
              <w:t>。</w:t>
            </w:r>
          </w:p>
        </w:tc>
        <w:tc>
          <w:tcPr>
            <w:tcW w:w="5674" w:type="dxa"/>
            <w:gridSpan w:val="2"/>
            <w:vAlign w:val="center"/>
          </w:tcPr>
          <w:p w14:paraId="3AC4368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保持护罩或遮拦等防护设施完好，运转时保持安全距离</w:t>
            </w:r>
            <w:r>
              <w:rPr>
                <w:rFonts w:hint="eastAsia" w:ascii="仿宋" w:hAnsi="仿宋" w:eastAsia="仿宋" w:cs="仿宋"/>
                <w:color w:val="auto"/>
                <w:kern w:val="0"/>
                <w:sz w:val="21"/>
                <w:szCs w:val="21"/>
                <w:lang w:eastAsia="zh-CN"/>
              </w:rPr>
              <w:t>。</w:t>
            </w:r>
          </w:p>
        </w:tc>
      </w:tr>
      <w:tr w14:paraId="5A4D4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9" w:hRule="atLeast"/>
          <w:jc w:val="center"/>
        </w:trPr>
        <w:tc>
          <w:tcPr>
            <w:tcW w:w="3706" w:type="dxa"/>
            <w:gridSpan w:val="2"/>
            <w:vAlign w:val="center"/>
          </w:tcPr>
          <w:p w14:paraId="1DDCDDD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带电的设备触电伤人</w:t>
            </w:r>
            <w:r>
              <w:rPr>
                <w:rFonts w:hint="eastAsia" w:ascii="仿宋" w:hAnsi="仿宋" w:eastAsia="仿宋" w:cs="仿宋"/>
                <w:color w:val="auto"/>
                <w:kern w:val="0"/>
                <w:sz w:val="21"/>
                <w:szCs w:val="21"/>
                <w:lang w:eastAsia="zh-CN"/>
              </w:rPr>
              <w:t>。</w:t>
            </w:r>
          </w:p>
        </w:tc>
        <w:tc>
          <w:tcPr>
            <w:tcW w:w="5674" w:type="dxa"/>
            <w:gridSpan w:val="2"/>
            <w:vAlign w:val="center"/>
          </w:tcPr>
          <w:p w14:paraId="0DC2FAC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与带电体保持安全距离，不擅自接触电气设备，坚持使用保护接地</w:t>
            </w:r>
            <w:r>
              <w:rPr>
                <w:rFonts w:hint="eastAsia" w:ascii="仿宋" w:hAnsi="仿宋" w:eastAsia="仿宋" w:cs="仿宋"/>
                <w:color w:val="auto"/>
                <w:kern w:val="0"/>
                <w:sz w:val="21"/>
                <w:szCs w:val="21"/>
                <w:lang w:eastAsia="zh-CN"/>
              </w:rPr>
              <w:t>。</w:t>
            </w:r>
          </w:p>
        </w:tc>
      </w:tr>
      <w:tr w14:paraId="14213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8" w:hRule="atLeast"/>
          <w:jc w:val="center"/>
        </w:trPr>
        <w:tc>
          <w:tcPr>
            <w:tcW w:w="1569" w:type="dxa"/>
            <w:vAlign w:val="center"/>
          </w:tcPr>
          <w:p w14:paraId="352A9434">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6420B324">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11" w:type="dxa"/>
            <w:gridSpan w:val="3"/>
            <w:vAlign w:val="center"/>
          </w:tcPr>
          <w:p w14:paraId="173BC9D0">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54197DFF">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480B1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63" w:hRule="atLeast"/>
          <w:jc w:val="center"/>
        </w:trPr>
        <w:tc>
          <w:tcPr>
            <w:tcW w:w="1569" w:type="dxa"/>
            <w:vAlign w:val="center"/>
          </w:tcPr>
          <w:p w14:paraId="16AE046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7481DE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44BA3C1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措施</w:t>
            </w:r>
          </w:p>
        </w:tc>
        <w:tc>
          <w:tcPr>
            <w:tcW w:w="7811" w:type="dxa"/>
            <w:gridSpan w:val="3"/>
            <w:vAlign w:val="center"/>
          </w:tcPr>
          <w:p w14:paraId="6DD1E25F">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出现紧急情况时，应立即停止工作，采取安全处理后，方可继续施工。</w:t>
            </w:r>
          </w:p>
          <w:p w14:paraId="601DDADA">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突发事故时，现场人员应立即采取有效措施安全避险，并及时向矿调度室汇报灾情，通知现场带班人员和班组长。听从安排，积极开展现场急救、互救工作，有序撤离。</w:t>
            </w:r>
          </w:p>
          <w:p w14:paraId="0EA0DFDC">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撤退前应断开与救灾无关的电源，告知矿调度避灾行走路线与目的地。</w:t>
            </w:r>
          </w:p>
          <w:p w14:paraId="018DD45C">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.熟悉全矿井巷道布置情况，牢记避灾路线</w:t>
            </w:r>
            <w:r>
              <w:rPr>
                <w:rFonts w:hint="eastAsia" w:ascii="仿宋" w:hAnsi="仿宋" w:eastAsia="仿宋" w:cs="仿宋"/>
                <w:color w:val="auto"/>
                <w:kern w:val="0"/>
                <w:sz w:val="21"/>
                <w:szCs w:val="21"/>
                <w:lang w:eastAsia="zh-CN"/>
              </w:rPr>
              <w:t>。</w:t>
            </w:r>
          </w:p>
        </w:tc>
      </w:tr>
    </w:tbl>
    <w:p w14:paraId="34FA7A44">
      <w:pPr>
        <w:pStyle w:val="4"/>
        <w:pageBreakBefore w:val="0"/>
        <w:kinsoku/>
        <w:wordWrap/>
        <w:overflowPunct/>
        <w:topLinePunct w:val="0"/>
        <w:autoSpaceDE/>
        <w:autoSpaceDN/>
        <w:bidi w:val="0"/>
        <w:adjustRightInd/>
        <w:snapToGrid/>
        <w:spacing w:line="240" w:lineRule="auto"/>
        <w:ind w:left="0" w:leftChars="0" w:firstLine="0" w:firstLineChars="0"/>
        <w:outlineLvl w:val="9"/>
        <w:rPr>
          <w:rFonts w:hint="eastAsia" w:ascii="仿宋" w:hAnsi="仿宋" w:eastAsia="仿宋" w:cs="仿宋"/>
          <w:color w:val="auto"/>
          <w:sz w:val="21"/>
          <w:szCs w:val="21"/>
        </w:rPr>
      </w:pPr>
    </w:p>
    <w:tbl>
      <w:tblPr>
        <w:tblStyle w:val="13"/>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26"/>
        <w:gridCol w:w="3126"/>
        <w:gridCol w:w="3128"/>
      </w:tblGrid>
      <w:tr w14:paraId="11DB4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8" w:hRule="atLeast"/>
          <w:jc w:val="center"/>
        </w:trPr>
        <w:tc>
          <w:tcPr>
            <w:tcW w:w="9380" w:type="dxa"/>
            <w:gridSpan w:val="3"/>
            <w:vAlign w:val="top"/>
          </w:tcPr>
          <w:p w14:paraId="4C874434">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lang w:val="en-US" w:eastAsia="zh-CN"/>
              </w:rPr>
              <w:t>机械</w:t>
            </w:r>
            <w:r>
              <w:rPr>
                <w:rFonts w:hint="eastAsia" w:ascii="仿宋" w:hAnsi="仿宋" w:eastAsia="仿宋" w:cs="仿宋"/>
                <w:b/>
                <w:bCs/>
                <w:color w:val="auto"/>
                <w:kern w:val="0"/>
                <w:sz w:val="21"/>
                <w:szCs w:val="21"/>
              </w:rPr>
              <w:t>维修工安全提示卡</w:t>
            </w:r>
          </w:p>
        </w:tc>
      </w:tr>
      <w:tr w14:paraId="13938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3126" w:type="dxa"/>
            <w:vAlign w:val="center"/>
          </w:tcPr>
          <w:p w14:paraId="71FE0F49">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操作前确认</w:t>
            </w:r>
          </w:p>
        </w:tc>
        <w:tc>
          <w:tcPr>
            <w:tcW w:w="3126" w:type="dxa"/>
            <w:vAlign w:val="center"/>
          </w:tcPr>
          <w:p w14:paraId="03F69116">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操作过程注意事项</w:t>
            </w:r>
          </w:p>
        </w:tc>
        <w:tc>
          <w:tcPr>
            <w:tcW w:w="3128" w:type="dxa"/>
            <w:vAlign w:val="center"/>
          </w:tcPr>
          <w:p w14:paraId="3BDE033A">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操作后确认</w:t>
            </w:r>
          </w:p>
        </w:tc>
      </w:tr>
      <w:tr w14:paraId="2C3AC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3126" w:type="dxa"/>
            <w:vAlign w:val="center"/>
          </w:tcPr>
          <w:p w14:paraId="054674E6">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val="0"/>
                <w:bCs w:val="0"/>
                <w:color w:val="auto"/>
                <w:kern w:val="0"/>
                <w:sz w:val="21"/>
                <w:szCs w:val="21"/>
              </w:rPr>
              <w:t>防护用品</w:t>
            </w:r>
          </w:p>
        </w:tc>
        <w:tc>
          <w:tcPr>
            <w:tcW w:w="3126" w:type="dxa"/>
            <w:vAlign w:val="center"/>
          </w:tcPr>
          <w:p w14:paraId="2C0E980E">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both"/>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操作带电设备，先断电并安排专人监护</w:t>
            </w:r>
          </w:p>
        </w:tc>
        <w:tc>
          <w:tcPr>
            <w:tcW w:w="3128" w:type="dxa"/>
            <w:vAlign w:val="center"/>
          </w:tcPr>
          <w:p w14:paraId="0A4FEA2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rPr>
              <w:t>★零部件、连接</w:t>
            </w:r>
          </w:p>
        </w:tc>
      </w:tr>
      <w:tr w14:paraId="6B4404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5" w:hRule="atLeast"/>
          <w:jc w:val="center"/>
        </w:trPr>
        <w:tc>
          <w:tcPr>
            <w:tcW w:w="3126" w:type="dxa"/>
            <w:vAlign w:val="center"/>
          </w:tcPr>
          <w:p w14:paraId="6E23116B">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val="0"/>
                <w:bCs w:val="0"/>
                <w:color w:val="auto"/>
                <w:kern w:val="0"/>
                <w:sz w:val="21"/>
                <w:szCs w:val="21"/>
              </w:rPr>
              <w:t>顶帮（井上作业无此项）</w:t>
            </w:r>
          </w:p>
        </w:tc>
        <w:tc>
          <w:tcPr>
            <w:tcW w:w="3126" w:type="dxa"/>
            <w:vAlign w:val="center"/>
          </w:tcPr>
          <w:p w14:paraId="1C253DE7">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both"/>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吊装作业前必须检查吊点及吊具。</w:t>
            </w:r>
          </w:p>
        </w:tc>
        <w:tc>
          <w:tcPr>
            <w:tcW w:w="3128" w:type="dxa"/>
            <w:vAlign w:val="center"/>
          </w:tcPr>
          <w:p w14:paraId="2CE29F2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rPr>
              <w:t>工具、材料</w:t>
            </w:r>
          </w:p>
        </w:tc>
      </w:tr>
      <w:tr w14:paraId="5C475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3126" w:type="dxa"/>
            <w:vAlign w:val="center"/>
          </w:tcPr>
          <w:p w14:paraId="44623E85">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val="0"/>
                <w:bCs w:val="0"/>
                <w:color w:val="auto"/>
                <w:kern w:val="0"/>
                <w:sz w:val="21"/>
                <w:szCs w:val="21"/>
              </w:rPr>
              <w:t>工具、材料</w:t>
            </w:r>
          </w:p>
        </w:tc>
        <w:tc>
          <w:tcPr>
            <w:tcW w:w="3126" w:type="dxa"/>
            <w:vAlign w:val="center"/>
          </w:tcPr>
          <w:p w14:paraId="315657D1">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切断金属物体必须戴防护镜。</w:t>
            </w:r>
          </w:p>
        </w:tc>
        <w:tc>
          <w:tcPr>
            <w:tcW w:w="3128" w:type="dxa"/>
            <w:vAlign w:val="center"/>
          </w:tcPr>
          <w:p w14:paraId="7B0DAA3E">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现场标准化</w:t>
            </w:r>
          </w:p>
        </w:tc>
      </w:tr>
      <w:tr w14:paraId="76CF57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3126" w:type="dxa"/>
            <w:vAlign w:val="center"/>
          </w:tcPr>
          <w:p w14:paraId="3C6D9341">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val="0"/>
                <w:bCs w:val="0"/>
                <w:color w:val="auto"/>
                <w:kern w:val="0"/>
                <w:sz w:val="21"/>
                <w:szCs w:val="21"/>
              </w:rPr>
              <w:t>★站位</w:t>
            </w:r>
          </w:p>
        </w:tc>
        <w:tc>
          <w:tcPr>
            <w:tcW w:w="3126" w:type="dxa"/>
            <w:vAlign w:val="center"/>
          </w:tcPr>
          <w:p w14:paraId="78717542">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sz w:val="21"/>
                <w:szCs w:val="21"/>
                <w:vertAlign w:val="baseline"/>
              </w:rPr>
            </w:pPr>
          </w:p>
        </w:tc>
        <w:tc>
          <w:tcPr>
            <w:tcW w:w="3128" w:type="dxa"/>
            <w:vAlign w:val="center"/>
          </w:tcPr>
          <w:p w14:paraId="33CB7F92">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sz w:val="21"/>
                <w:szCs w:val="21"/>
                <w:vertAlign w:val="baseline"/>
              </w:rPr>
            </w:pPr>
          </w:p>
        </w:tc>
      </w:tr>
      <w:tr w14:paraId="1EC216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2" w:hRule="atLeast"/>
          <w:jc w:val="center"/>
        </w:trPr>
        <w:tc>
          <w:tcPr>
            <w:tcW w:w="9380" w:type="dxa"/>
            <w:gridSpan w:val="3"/>
            <w:vAlign w:val="top"/>
          </w:tcPr>
          <w:p w14:paraId="6EBA0898">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outlineLvl w:val="9"/>
              <w:rPr>
                <w:rFonts w:hint="eastAsia" w:ascii="仿宋" w:hAnsi="仿宋" w:eastAsia="仿宋" w:cs="仿宋"/>
                <w:color w:val="auto"/>
                <w:sz w:val="21"/>
                <w:szCs w:val="21"/>
                <w:vertAlign w:val="baseline"/>
              </w:rPr>
            </w:pPr>
            <w:r>
              <w:rPr>
                <w:rFonts w:hint="eastAsia" w:ascii="仿宋" w:hAnsi="仿宋" w:eastAsia="仿宋" w:cs="仿宋"/>
                <w:b w:val="0"/>
                <w:bCs w:val="0"/>
                <w:color w:val="auto"/>
                <w:kern w:val="0"/>
                <w:sz w:val="21"/>
                <w:szCs w:val="21"/>
              </w:rPr>
              <w:t>注：第一次按</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前内容逐项检查并确认，存在问题整改后再确认；中间再次操作只检查带“★”部分；</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全部结束后按操作后内容逐项检查并确认。</w:t>
            </w:r>
          </w:p>
        </w:tc>
      </w:tr>
    </w:tbl>
    <w:tbl>
      <w:tblPr>
        <w:tblStyle w:val="12"/>
        <w:tblpPr w:leftFromText="180" w:rightFromText="180" w:vertAnchor="text" w:horzAnchor="page" w:tblpXSpec="center" w:tblpY="573"/>
        <w:tblOverlap w:val="never"/>
        <w:tblW w:w="9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00"/>
      </w:tblGrid>
      <w:tr w14:paraId="1E9B91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6985D72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机械维修</w:t>
            </w:r>
            <w:r>
              <w:rPr>
                <w:rFonts w:hint="eastAsia" w:ascii="仿宋" w:hAnsi="仿宋" w:eastAsia="仿宋" w:cs="仿宋"/>
                <w:b w:val="0"/>
                <w:bCs w:val="0"/>
                <w:color w:val="auto"/>
                <w:kern w:val="0"/>
                <w:sz w:val="21"/>
                <w:szCs w:val="21"/>
              </w:rPr>
              <w:t>单元检查表</w:t>
            </w:r>
          </w:p>
        </w:tc>
      </w:tr>
      <w:tr w14:paraId="46837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4D6EF07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 xml:space="preserve">  </w:t>
            </w:r>
            <w:r>
              <w:rPr>
                <w:rFonts w:hint="default" w:ascii="仿宋" w:hAnsi="仿宋" w:eastAsia="仿宋" w:cs="仿宋"/>
                <w:b w:val="0"/>
                <w:bCs w:val="0"/>
                <w:color w:val="auto"/>
                <w:kern w:val="0"/>
                <w:sz w:val="21"/>
                <w:szCs w:val="21"/>
                <w:lang w:eastAsia="zh-CN"/>
              </w:rPr>
              <w:t>1.</w:t>
            </w:r>
            <w:r>
              <w:rPr>
                <w:rFonts w:hint="eastAsia" w:ascii="仿宋" w:hAnsi="仿宋" w:eastAsia="仿宋" w:cs="仿宋"/>
                <w:b w:val="0"/>
                <w:bCs w:val="0"/>
                <w:color w:val="auto"/>
                <w:kern w:val="0"/>
                <w:sz w:val="21"/>
                <w:szCs w:val="21"/>
                <w:lang w:val="en-US" w:eastAsia="zh-CN"/>
              </w:rPr>
              <w:t>检查管路是否完好</w:t>
            </w:r>
          </w:p>
        </w:tc>
      </w:tr>
      <w:tr w14:paraId="774D70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12D534F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2.</w:t>
            </w:r>
            <w:r>
              <w:rPr>
                <w:rFonts w:hint="eastAsia" w:ascii="仿宋" w:hAnsi="仿宋" w:eastAsia="仿宋" w:cs="仿宋"/>
                <w:b w:val="0"/>
                <w:bCs w:val="0"/>
                <w:color w:val="auto"/>
                <w:kern w:val="0"/>
                <w:sz w:val="21"/>
                <w:szCs w:val="21"/>
                <w:lang w:val="en-US" w:eastAsia="zh-CN"/>
              </w:rPr>
              <w:t>检查上一级</w:t>
            </w:r>
            <w:r>
              <w:rPr>
                <w:rFonts w:hint="default" w:ascii="仿宋" w:hAnsi="仿宋" w:eastAsia="仿宋" w:cs="仿宋"/>
                <w:b w:val="0"/>
                <w:bCs w:val="0"/>
                <w:color w:val="auto"/>
                <w:kern w:val="0"/>
                <w:sz w:val="21"/>
                <w:szCs w:val="21"/>
                <w:lang w:eastAsia="zh-CN"/>
              </w:rPr>
              <w:t>闸阀</w:t>
            </w:r>
            <w:r>
              <w:rPr>
                <w:rFonts w:hint="eastAsia" w:ascii="仿宋" w:hAnsi="仿宋" w:eastAsia="仿宋" w:cs="仿宋"/>
                <w:b w:val="0"/>
                <w:bCs w:val="0"/>
                <w:color w:val="auto"/>
                <w:kern w:val="0"/>
                <w:sz w:val="21"/>
                <w:szCs w:val="21"/>
                <w:lang w:val="en-US" w:eastAsia="zh-CN"/>
              </w:rPr>
              <w:t>是否关闭</w:t>
            </w:r>
          </w:p>
        </w:tc>
      </w:tr>
      <w:tr w14:paraId="13B268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08ABBF3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3.</w:t>
            </w:r>
            <w:r>
              <w:rPr>
                <w:rFonts w:hint="eastAsia" w:ascii="仿宋" w:hAnsi="仿宋" w:eastAsia="仿宋" w:cs="仿宋"/>
                <w:b w:val="0"/>
                <w:bCs w:val="0"/>
                <w:color w:val="auto"/>
                <w:kern w:val="0"/>
                <w:sz w:val="21"/>
                <w:szCs w:val="21"/>
                <w:lang w:val="en-US" w:eastAsia="zh-CN"/>
              </w:rPr>
              <w:t>检查</w:t>
            </w:r>
            <w:r>
              <w:rPr>
                <w:rFonts w:hint="default" w:ascii="仿宋" w:hAnsi="仿宋" w:eastAsia="仿宋" w:cs="仿宋"/>
                <w:b w:val="0"/>
                <w:bCs w:val="0"/>
                <w:color w:val="auto"/>
                <w:kern w:val="0"/>
                <w:sz w:val="21"/>
                <w:szCs w:val="21"/>
                <w:lang w:eastAsia="zh-CN"/>
              </w:rPr>
              <w:t>管路</w:t>
            </w:r>
            <w:r>
              <w:rPr>
                <w:rFonts w:hint="eastAsia" w:ascii="仿宋" w:hAnsi="仿宋" w:eastAsia="仿宋" w:cs="仿宋"/>
                <w:b w:val="0"/>
                <w:bCs w:val="0"/>
                <w:color w:val="auto"/>
                <w:kern w:val="0"/>
                <w:sz w:val="21"/>
                <w:szCs w:val="21"/>
                <w:lang w:val="en-US" w:eastAsia="zh-CN"/>
              </w:rPr>
              <w:t>是否带压</w:t>
            </w:r>
          </w:p>
        </w:tc>
      </w:tr>
      <w:tr w14:paraId="7E7B7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4BAD500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4.</w:t>
            </w:r>
            <w:r>
              <w:rPr>
                <w:rFonts w:hint="eastAsia" w:ascii="仿宋" w:hAnsi="仿宋" w:eastAsia="仿宋" w:cs="仿宋"/>
                <w:b w:val="0"/>
                <w:bCs w:val="0"/>
                <w:color w:val="auto"/>
                <w:kern w:val="0"/>
                <w:sz w:val="21"/>
                <w:szCs w:val="21"/>
                <w:lang w:val="en-US" w:eastAsia="zh-CN"/>
              </w:rPr>
              <w:t>检查工器具及材料</w:t>
            </w:r>
          </w:p>
        </w:tc>
      </w:tr>
      <w:tr w14:paraId="3305A3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03BF935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5.</w:t>
            </w:r>
            <w:r>
              <w:rPr>
                <w:rFonts w:hint="eastAsia" w:ascii="仿宋" w:hAnsi="仿宋" w:eastAsia="仿宋" w:cs="仿宋"/>
                <w:b w:val="0"/>
                <w:bCs w:val="0"/>
                <w:color w:val="auto"/>
                <w:kern w:val="0"/>
                <w:sz w:val="21"/>
                <w:szCs w:val="21"/>
                <w:lang w:val="en-US" w:eastAsia="zh-CN"/>
              </w:rPr>
              <w:t>检查防护用品佩戴齐全</w:t>
            </w:r>
          </w:p>
        </w:tc>
      </w:tr>
      <w:tr w14:paraId="05ED6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52FC9CE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6.</w:t>
            </w:r>
            <w:r>
              <w:rPr>
                <w:rFonts w:hint="eastAsia" w:ascii="仿宋" w:hAnsi="仿宋" w:eastAsia="仿宋" w:cs="仿宋"/>
                <w:b w:val="0"/>
                <w:bCs w:val="0"/>
                <w:color w:val="auto"/>
                <w:kern w:val="0"/>
                <w:sz w:val="21"/>
                <w:szCs w:val="21"/>
                <w:lang w:val="en-US" w:eastAsia="zh-CN"/>
              </w:rPr>
              <w:t>检查</w:t>
            </w:r>
            <w:r>
              <w:rPr>
                <w:rFonts w:hint="default" w:ascii="仿宋" w:hAnsi="仿宋" w:eastAsia="仿宋" w:cs="仿宋"/>
                <w:b w:val="0"/>
                <w:bCs w:val="0"/>
                <w:color w:val="auto"/>
                <w:kern w:val="0"/>
                <w:sz w:val="21"/>
                <w:szCs w:val="21"/>
                <w:lang w:eastAsia="zh-CN"/>
              </w:rPr>
              <w:t>管路</w:t>
            </w:r>
            <w:r>
              <w:rPr>
                <w:rFonts w:hint="eastAsia" w:ascii="仿宋" w:hAnsi="仿宋" w:eastAsia="仿宋" w:cs="仿宋"/>
                <w:b w:val="0"/>
                <w:bCs w:val="0"/>
                <w:color w:val="auto"/>
                <w:kern w:val="0"/>
                <w:sz w:val="21"/>
                <w:szCs w:val="21"/>
                <w:lang w:val="en-US" w:eastAsia="zh-CN"/>
              </w:rPr>
              <w:t>维修质量</w:t>
            </w:r>
          </w:p>
        </w:tc>
      </w:tr>
      <w:tr w14:paraId="43B6D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64A1CBE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7.</w:t>
            </w:r>
            <w:r>
              <w:rPr>
                <w:rFonts w:hint="eastAsia" w:ascii="仿宋" w:hAnsi="仿宋" w:eastAsia="仿宋" w:cs="仿宋"/>
                <w:b w:val="0"/>
                <w:bCs w:val="0"/>
                <w:color w:val="auto"/>
                <w:kern w:val="0"/>
                <w:sz w:val="21"/>
                <w:szCs w:val="21"/>
                <w:lang w:val="en-US" w:eastAsia="zh-CN"/>
              </w:rPr>
              <w:t>检查</w:t>
            </w:r>
            <w:r>
              <w:rPr>
                <w:rFonts w:hint="default" w:ascii="仿宋" w:hAnsi="仿宋" w:eastAsia="仿宋" w:cs="仿宋"/>
                <w:b w:val="0"/>
                <w:bCs w:val="0"/>
                <w:color w:val="auto"/>
                <w:kern w:val="0"/>
                <w:sz w:val="21"/>
                <w:szCs w:val="21"/>
                <w:lang w:eastAsia="zh-CN"/>
              </w:rPr>
              <w:t>闸阀</w:t>
            </w:r>
            <w:r>
              <w:rPr>
                <w:rFonts w:hint="eastAsia" w:ascii="仿宋" w:hAnsi="仿宋" w:eastAsia="仿宋" w:cs="仿宋"/>
                <w:b w:val="0"/>
                <w:bCs w:val="0"/>
                <w:color w:val="auto"/>
                <w:kern w:val="0"/>
                <w:sz w:val="21"/>
                <w:szCs w:val="21"/>
                <w:lang w:val="en-US" w:eastAsia="zh-CN"/>
              </w:rPr>
              <w:t>是否打开</w:t>
            </w:r>
          </w:p>
        </w:tc>
      </w:tr>
      <w:tr w14:paraId="3BD6AF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14:paraId="7336B33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8.</w:t>
            </w:r>
            <w:r>
              <w:rPr>
                <w:rFonts w:hint="eastAsia" w:ascii="仿宋" w:hAnsi="仿宋" w:eastAsia="仿宋" w:cs="仿宋"/>
                <w:b w:val="0"/>
                <w:bCs w:val="0"/>
                <w:color w:val="auto"/>
                <w:kern w:val="0"/>
                <w:sz w:val="21"/>
                <w:szCs w:val="21"/>
                <w:lang w:val="en-US" w:eastAsia="zh-CN"/>
              </w:rPr>
              <w:t>检查现场标准化</w:t>
            </w:r>
          </w:p>
        </w:tc>
      </w:tr>
      <w:tr w14:paraId="552C8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jc w:val="center"/>
        </w:trPr>
        <w:tc>
          <w:tcPr>
            <w:tcW w:w="9400" w:type="dxa"/>
            <w:vAlign w:val="center"/>
          </w:tcPr>
          <w:p w14:paraId="6C4726C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rPr>
              <w:t>注：</w:t>
            </w:r>
            <w:r>
              <w:rPr>
                <w:rFonts w:hint="eastAsia" w:ascii="仿宋" w:hAnsi="仿宋" w:eastAsia="仿宋" w:cs="仿宋"/>
                <w:b w:val="0"/>
                <w:bCs w:val="0"/>
                <w:color w:val="auto"/>
                <w:kern w:val="0"/>
                <w:sz w:val="21"/>
                <w:szCs w:val="21"/>
              </w:rPr>
              <w:t>患有高血压、心脏病、听力障碍等疾病的人，不得从事</w:t>
            </w:r>
            <w:r>
              <w:rPr>
                <w:rFonts w:hint="eastAsia" w:ascii="仿宋" w:hAnsi="仿宋" w:eastAsia="仿宋" w:cs="仿宋"/>
                <w:b w:val="0"/>
                <w:bCs w:val="0"/>
                <w:color w:val="auto"/>
                <w:kern w:val="0"/>
                <w:sz w:val="21"/>
                <w:szCs w:val="21"/>
                <w:lang w:val="en-US" w:eastAsia="zh-CN"/>
              </w:rPr>
              <w:t>机械维修</w:t>
            </w:r>
            <w:r>
              <w:rPr>
                <w:rFonts w:hint="eastAsia" w:ascii="仿宋" w:hAnsi="仿宋" w:eastAsia="仿宋" w:cs="仿宋"/>
                <w:b w:val="0"/>
                <w:bCs w:val="0"/>
                <w:color w:val="auto"/>
                <w:kern w:val="0"/>
                <w:sz w:val="21"/>
                <w:szCs w:val="21"/>
              </w:rPr>
              <w:t>作业。</w:t>
            </w:r>
          </w:p>
          <w:p w14:paraId="7E45C60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rPr>
              <w:t>从事</w:t>
            </w:r>
            <w:r>
              <w:rPr>
                <w:rFonts w:hint="eastAsia" w:ascii="仿宋" w:hAnsi="仿宋" w:eastAsia="仿宋" w:cs="仿宋"/>
                <w:b w:val="0"/>
                <w:bCs w:val="0"/>
                <w:color w:val="auto"/>
                <w:kern w:val="0"/>
                <w:sz w:val="21"/>
                <w:szCs w:val="21"/>
                <w:lang w:val="en-US" w:eastAsia="zh-CN"/>
              </w:rPr>
              <w:t>机械维修</w:t>
            </w:r>
            <w:r>
              <w:rPr>
                <w:rFonts w:hint="eastAsia" w:ascii="仿宋" w:hAnsi="仿宋" w:eastAsia="仿宋" w:cs="仿宋"/>
                <w:b w:val="0"/>
                <w:bCs w:val="0"/>
                <w:color w:val="auto"/>
                <w:kern w:val="0"/>
                <w:sz w:val="21"/>
                <w:szCs w:val="21"/>
              </w:rPr>
              <w:t>作业人员，经过安全技术培训和考试合格，取得</w:t>
            </w:r>
            <w:r>
              <w:rPr>
                <w:rFonts w:hint="eastAsia" w:ascii="仿宋" w:hAnsi="仿宋" w:eastAsia="仿宋" w:cs="仿宋"/>
                <w:b w:val="0"/>
                <w:bCs w:val="0"/>
                <w:color w:val="auto"/>
                <w:kern w:val="0"/>
                <w:sz w:val="21"/>
                <w:szCs w:val="21"/>
                <w:lang w:val="en-US" w:eastAsia="zh-CN"/>
              </w:rPr>
              <w:t>资格证书</w:t>
            </w:r>
            <w:r>
              <w:rPr>
                <w:rFonts w:hint="eastAsia" w:ascii="仿宋" w:hAnsi="仿宋" w:eastAsia="仿宋" w:cs="仿宋"/>
                <w:b w:val="0"/>
                <w:bCs w:val="0"/>
                <w:color w:val="auto"/>
                <w:kern w:val="0"/>
                <w:sz w:val="21"/>
                <w:szCs w:val="21"/>
              </w:rPr>
              <w:t>，方可进行上岗作业。</w:t>
            </w:r>
          </w:p>
        </w:tc>
      </w:tr>
    </w:tbl>
    <w:p w14:paraId="7D74E52B">
      <w:pPr>
        <w:pStyle w:val="4"/>
        <w:pageBreakBefore w:val="0"/>
        <w:kinsoku/>
        <w:wordWrap/>
        <w:overflowPunct/>
        <w:topLinePunct w:val="0"/>
        <w:autoSpaceDE/>
        <w:autoSpaceDN/>
        <w:bidi w:val="0"/>
        <w:adjustRightInd/>
        <w:snapToGrid/>
        <w:ind w:left="0" w:leftChars="0" w:firstLine="0" w:firstLineChars="0"/>
        <w:outlineLvl w:val="9"/>
        <w:rPr>
          <w:rFonts w:hint="eastAsia"/>
          <w:color w:val="auto"/>
          <w:lang w:val="en-US" w:eastAsia="zh-CN"/>
        </w:rPr>
      </w:pPr>
    </w:p>
    <w:tbl>
      <w:tblPr>
        <w:tblStyle w:val="12"/>
        <w:tblW w:w="9380" w:type="dxa"/>
        <w:jc w:val="center"/>
        <w:tblLayout w:type="fixed"/>
        <w:tblCellMar>
          <w:top w:w="0" w:type="dxa"/>
          <w:left w:w="108" w:type="dxa"/>
          <w:bottom w:w="0" w:type="dxa"/>
          <w:right w:w="108" w:type="dxa"/>
        </w:tblCellMar>
      </w:tblPr>
      <w:tblGrid>
        <w:gridCol w:w="679"/>
        <w:gridCol w:w="1617"/>
        <w:gridCol w:w="7084"/>
      </w:tblGrid>
      <w:tr w14:paraId="7B6E3BB2">
        <w:tblPrEx>
          <w:tblCellMar>
            <w:top w:w="0" w:type="dxa"/>
            <w:left w:w="108" w:type="dxa"/>
            <w:bottom w:w="0" w:type="dxa"/>
            <w:right w:w="108" w:type="dxa"/>
          </w:tblCellMar>
        </w:tblPrEx>
        <w:trPr>
          <w:trHeight w:val="778" w:hRule="atLeast"/>
          <w:jc w:val="center"/>
        </w:trPr>
        <w:tc>
          <w:tcPr>
            <w:tcW w:w="9380" w:type="dxa"/>
            <w:gridSpan w:val="3"/>
            <w:tcBorders>
              <w:top w:val="single" w:color="auto" w:sz="4" w:space="0"/>
              <w:left w:val="single" w:color="auto" w:sz="4" w:space="0"/>
              <w:bottom w:val="single" w:color="auto" w:sz="4" w:space="0"/>
              <w:right w:val="single" w:color="auto" w:sz="4" w:space="0"/>
            </w:tcBorders>
            <w:vAlign w:val="center"/>
          </w:tcPr>
          <w:p w14:paraId="120E5D4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val="en-US" w:eastAsia="zh-CN"/>
              </w:rPr>
              <w:t>机械维修工操作过程注意事项</w:t>
            </w:r>
          </w:p>
        </w:tc>
      </w:tr>
      <w:tr w14:paraId="63436067">
        <w:tblPrEx>
          <w:tblCellMar>
            <w:top w:w="0" w:type="dxa"/>
            <w:left w:w="108" w:type="dxa"/>
            <w:bottom w:w="0" w:type="dxa"/>
            <w:right w:w="108" w:type="dxa"/>
          </w:tblCellMar>
        </w:tblPrEx>
        <w:trPr>
          <w:trHeight w:val="714" w:hRule="atLeast"/>
          <w:jc w:val="center"/>
        </w:trPr>
        <w:tc>
          <w:tcPr>
            <w:tcW w:w="679" w:type="dxa"/>
            <w:tcBorders>
              <w:top w:val="nil"/>
              <w:left w:val="single" w:color="auto" w:sz="4" w:space="0"/>
              <w:bottom w:val="single" w:color="auto" w:sz="4" w:space="0"/>
              <w:right w:val="single" w:color="auto" w:sz="4" w:space="0"/>
            </w:tcBorders>
            <w:vAlign w:val="center"/>
          </w:tcPr>
          <w:p w14:paraId="4251DF9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617" w:type="dxa"/>
            <w:tcBorders>
              <w:top w:val="nil"/>
              <w:left w:val="nil"/>
              <w:bottom w:val="single" w:color="auto" w:sz="4" w:space="0"/>
              <w:right w:val="single" w:color="auto" w:sz="4" w:space="0"/>
            </w:tcBorders>
            <w:vAlign w:val="center"/>
          </w:tcPr>
          <w:p w14:paraId="36140F7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7084" w:type="dxa"/>
            <w:tcBorders>
              <w:top w:val="nil"/>
              <w:left w:val="nil"/>
              <w:bottom w:val="single" w:color="auto" w:sz="4" w:space="0"/>
              <w:right w:val="single" w:color="auto" w:sz="4" w:space="0"/>
            </w:tcBorders>
            <w:vAlign w:val="center"/>
          </w:tcPr>
          <w:p w14:paraId="093AD73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14:paraId="224AD82B">
        <w:tblPrEx>
          <w:tblCellMar>
            <w:top w:w="0" w:type="dxa"/>
            <w:left w:w="108" w:type="dxa"/>
            <w:bottom w:w="0" w:type="dxa"/>
            <w:right w:w="108" w:type="dxa"/>
          </w:tblCellMar>
        </w:tblPrEx>
        <w:trPr>
          <w:trHeight w:val="427" w:hRule="atLeast"/>
          <w:jc w:val="center"/>
        </w:trPr>
        <w:tc>
          <w:tcPr>
            <w:tcW w:w="679" w:type="dxa"/>
            <w:tcBorders>
              <w:top w:val="nil"/>
              <w:left w:val="single" w:color="auto" w:sz="4" w:space="0"/>
              <w:bottom w:val="single" w:color="000000" w:sz="4" w:space="0"/>
              <w:right w:val="single" w:color="auto" w:sz="4" w:space="0"/>
            </w:tcBorders>
            <w:vAlign w:val="center"/>
          </w:tcPr>
          <w:p w14:paraId="71C07DB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p>
        </w:tc>
        <w:tc>
          <w:tcPr>
            <w:tcW w:w="1617" w:type="dxa"/>
            <w:tcBorders>
              <w:top w:val="nil"/>
              <w:left w:val="nil"/>
              <w:bottom w:val="single" w:color="auto" w:sz="4" w:space="0"/>
              <w:right w:val="single" w:color="auto" w:sz="4" w:space="0"/>
            </w:tcBorders>
            <w:vAlign w:val="center"/>
          </w:tcPr>
          <w:p w14:paraId="05B150A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7084" w:type="dxa"/>
            <w:tcBorders>
              <w:top w:val="nil"/>
              <w:left w:val="nil"/>
              <w:bottom w:val="single" w:color="auto" w:sz="4" w:space="0"/>
              <w:right w:val="single" w:color="auto" w:sz="4" w:space="0"/>
            </w:tcBorders>
            <w:vAlign w:val="center"/>
          </w:tcPr>
          <w:p w14:paraId="7A3354C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sz w:val="21"/>
                <w:szCs w:val="21"/>
                <w:highlight w:val="none"/>
                <w:u w:val="none"/>
                <w:lang w:val="en-US"/>
              </w:rPr>
              <w:t>作业前排查周围环境并严格执行敲帮问顶制度。</w:t>
            </w:r>
          </w:p>
        </w:tc>
      </w:tr>
      <w:tr w14:paraId="629B0486">
        <w:tblPrEx>
          <w:tblCellMar>
            <w:top w:w="0" w:type="dxa"/>
            <w:left w:w="108" w:type="dxa"/>
            <w:bottom w:w="0" w:type="dxa"/>
            <w:right w:w="108" w:type="dxa"/>
          </w:tblCellMar>
        </w:tblPrEx>
        <w:trPr>
          <w:trHeight w:val="695" w:hRule="atLeast"/>
          <w:jc w:val="center"/>
        </w:trPr>
        <w:tc>
          <w:tcPr>
            <w:tcW w:w="679" w:type="dxa"/>
            <w:tcBorders>
              <w:top w:val="nil"/>
              <w:left w:val="single" w:color="auto" w:sz="4" w:space="0"/>
              <w:bottom w:val="single" w:color="000000" w:sz="4" w:space="0"/>
              <w:right w:val="single" w:color="auto" w:sz="4" w:space="0"/>
            </w:tcBorders>
            <w:vAlign w:val="center"/>
          </w:tcPr>
          <w:p w14:paraId="475A798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2</w:t>
            </w:r>
          </w:p>
        </w:tc>
        <w:tc>
          <w:tcPr>
            <w:tcW w:w="1617" w:type="dxa"/>
            <w:tcBorders>
              <w:top w:val="nil"/>
              <w:left w:val="nil"/>
              <w:bottom w:val="single" w:color="auto" w:sz="4" w:space="0"/>
              <w:right w:val="single" w:color="auto" w:sz="4" w:space="0"/>
            </w:tcBorders>
            <w:vAlign w:val="center"/>
          </w:tcPr>
          <w:p w14:paraId="2D1B3BA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佩戴防护用具</w:t>
            </w:r>
          </w:p>
        </w:tc>
        <w:tc>
          <w:tcPr>
            <w:tcW w:w="7084" w:type="dxa"/>
            <w:tcBorders>
              <w:top w:val="nil"/>
              <w:left w:val="nil"/>
              <w:bottom w:val="single" w:color="auto" w:sz="4" w:space="0"/>
              <w:right w:val="single" w:color="auto" w:sz="4" w:space="0"/>
            </w:tcBorders>
            <w:vAlign w:val="center"/>
          </w:tcPr>
          <w:p w14:paraId="5F20F57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作业前</w:t>
            </w:r>
            <w:r>
              <w:rPr>
                <w:rFonts w:hint="eastAsia" w:ascii="仿宋" w:hAnsi="仿宋" w:eastAsia="仿宋" w:cs="仿宋"/>
                <w:i w:val="0"/>
                <w:iCs w:val="0"/>
                <w:color w:val="auto"/>
                <w:sz w:val="21"/>
                <w:szCs w:val="21"/>
                <w:highlight w:val="none"/>
                <w:u w:val="none"/>
              </w:rPr>
              <w:t>必须按照要求佩戴好个人防护用具。</w:t>
            </w:r>
          </w:p>
        </w:tc>
      </w:tr>
      <w:tr w14:paraId="27574CC6">
        <w:tblPrEx>
          <w:tblCellMar>
            <w:top w:w="0" w:type="dxa"/>
            <w:left w:w="108" w:type="dxa"/>
            <w:bottom w:w="0" w:type="dxa"/>
            <w:right w:w="108" w:type="dxa"/>
          </w:tblCellMar>
        </w:tblPrEx>
        <w:trPr>
          <w:trHeight w:val="427" w:hRule="atLeast"/>
          <w:jc w:val="center"/>
        </w:trPr>
        <w:tc>
          <w:tcPr>
            <w:tcW w:w="679" w:type="dxa"/>
            <w:tcBorders>
              <w:top w:val="nil"/>
              <w:left w:val="single" w:color="auto" w:sz="4" w:space="0"/>
              <w:bottom w:val="single" w:color="000000" w:sz="4" w:space="0"/>
              <w:right w:val="single" w:color="auto" w:sz="4" w:space="0"/>
            </w:tcBorders>
            <w:vAlign w:val="center"/>
          </w:tcPr>
          <w:p w14:paraId="651C38D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3</w:t>
            </w:r>
          </w:p>
        </w:tc>
        <w:tc>
          <w:tcPr>
            <w:tcW w:w="1617" w:type="dxa"/>
            <w:tcBorders>
              <w:top w:val="nil"/>
              <w:left w:val="nil"/>
              <w:bottom w:val="single" w:color="auto" w:sz="4" w:space="0"/>
              <w:right w:val="single" w:color="auto" w:sz="4" w:space="0"/>
            </w:tcBorders>
            <w:vAlign w:val="center"/>
          </w:tcPr>
          <w:p w14:paraId="5538381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sz w:val="21"/>
                <w:szCs w:val="21"/>
                <w:lang w:val="en-US" w:eastAsia="zh-CN"/>
              </w:rPr>
              <w:t>停阀门</w:t>
            </w:r>
          </w:p>
        </w:tc>
        <w:tc>
          <w:tcPr>
            <w:tcW w:w="7084" w:type="dxa"/>
            <w:tcBorders>
              <w:top w:val="nil"/>
              <w:left w:val="nil"/>
              <w:bottom w:val="single" w:color="auto" w:sz="4" w:space="0"/>
              <w:right w:val="single" w:color="auto" w:sz="4" w:space="0"/>
            </w:tcBorders>
            <w:vAlign w:val="center"/>
          </w:tcPr>
          <w:p w14:paraId="25C4111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作业前检查确认需停阀门。</w:t>
            </w:r>
          </w:p>
        </w:tc>
      </w:tr>
      <w:tr w14:paraId="234FD6A2">
        <w:tblPrEx>
          <w:tblCellMar>
            <w:top w:w="0" w:type="dxa"/>
            <w:left w:w="108" w:type="dxa"/>
            <w:bottom w:w="0" w:type="dxa"/>
            <w:right w:w="108" w:type="dxa"/>
          </w:tblCellMar>
        </w:tblPrEx>
        <w:trPr>
          <w:trHeight w:val="427" w:hRule="atLeast"/>
          <w:jc w:val="center"/>
        </w:trPr>
        <w:tc>
          <w:tcPr>
            <w:tcW w:w="679" w:type="dxa"/>
            <w:tcBorders>
              <w:top w:val="nil"/>
              <w:left w:val="single" w:color="auto" w:sz="4" w:space="0"/>
              <w:bottom w:val="single" w:color="000000" w:sz="4" w:space="0"/>
              <w:right w:val="single" w:color="auto" w:sz="4" w:space="0"/>
            </w:tcBorders>
            <w:vAlign w:val="center"/>
          </w:tcPr>
          <w:p w14:paraId="25BAE62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p>
        </w:tc>
        <w:tc>
          <w:tcPr>
            <w:tcW w:w="1617" w:type="dxa"/>
            <w:tcBorders>
              <w:top w:val="nil"/>
              <w:left w:val="nil"/>
              <w:bottom w:val="single" w:color="auto" w:sz="4" w:space="0"/>
              <w:right w:val="single" w:color="auto" w:sz="4" w:space="0"/>
            </w:tcBorders>
            <w:vAlign w:val="center"/>
          </w:tcPr>
          <w:p w14:paraId="20EF9FB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eastAsia="zh-CN"/>
              </w:rPr>
            </w:pPr>
            <w:r>
              <w:rPr>
                <w:rFonts w:hint="eastAsia" w:ascii="仿宋" w:hAnsi="仿宋" w:eastAsia="仿宋" w:cs="仿宋"/>
                <w:color w:val="auto"/>
                <w:sz w:val="21"/>
                <w:szCs w:val="21"/>
                <w:lang w:val="en-US" w:eastAsia="zh-CN"/>
              </w:rPr>
              <w:t>安装管路</w:t>
            </w:r>
          </w:p>
        </w:tc>
        <w:tc>
          <w:tcPr>
            <w:tcW w:w="7084" w:type="dxa"/>
            <w:tcBorders>
              <w:top w:val="nil"/>
              <w:left w:val="nil"/>
              <w:bottom w:val="single" w:color="auto" w:sz="4" w:space="0"/>
              <w:right w:val="single" w:color="auto" w:sz="4" w:space="0"/>
            </w:tcBorders>
            <w:vAlign w:val="center"/>
          </w:tcPr>
          <w:p w14:paraId="3A73F2B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sz w:val="21"/>
                <w:szCs w:val="21"/>
                <w:lang w:val="en-US" w:eastAsia="zh-CN"/>
              </w:rPr>
              <w:t>管路敷设要平直，螺栓确认紧固。</w:t>
            </w:r>
            <w:r>
              <w:rPr>
                <w:rFonts w:hint="eastAsia" w:ascii="仿宋" w:hAnsi="仿宋" w:eastAsia="仿宋" w:cs="仿宋"/>
                <w:color w:val="auto"/>
                <w:sz w:val="21"/>
                <w:szCs w:val="21"/>
              </w:rPr>
              <w:t xml:space="preserve"> </w:t>
            </w:r>
          </w:p>
        </w:tc>
      </w:tr>
      <w:tr w14:paraId="7DCCF567">
        <w:tblPrEx>
          <w:tblCellMar>
            <w:top w:w="0" w:type="dxa"/>
            <w:left w:w="108" w:type="dxa"/>
            <w:bottom w:w="0" w:type="dxa"/>
            <w:right w:w="108" w:type="dxa"/>
          </w:tblCellMar>
        </w:tblPrEx>
        <w:trPr>
          <w:trHeight w:val="427" w:hRule="atLeast"/>
          <w:jc w:val="center"/>
        </w:trPr>
        <w:tc>
          <w:tcPr>
            <w:tcW w:w="679" w:type="dxa"/>
            <w:tcBorders>
              <w:top w:val="nil"/>
              <w:left w:val="single" w:color="auto" w:sz="4" w:space="0"/>
              <w:bottom w:val="single" w:color="auto" w:sz="4" w:space="0"/>
              <w:right w:val="single" w:color="auto" w:sz="4" w:space="0"/>
            </w:tcBorders>
            <w:vAlign w:val="center"/>
          </w:tcPr>
          <w:p w14:paraId="1277E99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5</w:t>
            </w:r>
          </w:p>
        </w:tc>
        <w:tc>
          <w:tcPr>
            <w:tcW w:w="1617" w:type="dxa"/>
            <w:tcBorders>
              <w:top w:val="nil"/>
              <w:left w:val="nil"/>
              <w:bottom w:val="single" w:color="auto" w:sz="4" w:space="0"/>
              <w:right w:val="single" w:color="auto" w:sz="4" w:space="0"/>
            </w:tcBorders>
            <w:vAlign w:val="center"/>
          </w:tcPr>
          <w:p w14:paraId="3768686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val="en-US" w:eastAsia="zh-CN"/>
              </w:rPr>
              <w:t>送阀门</w:t>
            </w:r>
          </w:p>
        </w:tc>
        <w:tc>
          <w:tcPr>
            <w:tcW w:w="7084" w:type="dxa"/>
            <w:tcBorders>
              <w:top w:val="nil"/>
              <w:left w:val="nil"/>
              <w:bottom w:val="single" w:color="auto" w:sz="4" w:space="0"/>
              <w:right w:val="single" w:color="auto" w:sz="4" w:space="0"/>
            </w:tcBorders>
            <w:vAlign w:val="center"/>
          </w:tcPr>
          <w:p w14:paraId="26D80FC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施工完毕阀门开启要缓慢。</w:t>
            </w:r>
          </w:p>
        </w:tc>
      </w:tr>
      <w:tr w14:paraId="55AB0FEF">
        <w:tblPrEx>
          <w:tblCellMar>
            <w:top w:w="0" w:type="dxa"/>
            <w:left w:w="108" w:type="dxa"/>
            <w:bottom w:w="0" w:type="dxa"/>
            <w:right w:w="108" w:type="dxa"/>
          </w:tblCellMar>
        </w:tblPrEx>
        <w:trPr>
          <w:trHeight w:val="707" w:hRule="atLeast"/>
          <w:jc w:val="center"/>
        </w:trPr>
        <w:tc>
          <w:tcPr>
            <w:tcW w:w="679" w:type="dxa"/>
            <w:tcBorders>
              <w:top w:val="nil"/>
              <w:left w:val="single" w:color="auto" w:sz="4" w:space="0"/>
              <w:bottom w:val="single" w:color="auto" w:sz="4" w:space="0"/>
              <w:right w:val="single" w:color="auto" w:sz="4" w:space="0"/>
            </w:tcBorders>
            <w:vAlign w:val="center"/>
          </w:tcPr>
          <w:p w14:paraId="4F1FE4D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6</w:t>
            </w:r>
          </w:p>
        </w:tc>
        <w:tc>
          <w:tcPr>
            <w:tcW w:w="1617" w:type="dxa"/>
            <w:tcBorders>
              <w:top w:val="nil"/>
              <w:left w:val="nil"/>
              <w:bottom w:val="single" w:color="auto" w:sz="4" w:space="0"/>
              <w:right w:val="single" w:color="auto" w:sz="4" w:space="0"/>
            </w:tcBorders>
            <w:vAlign w:val="center"/>
          </w:tcPr>
          <w:p w14:paraId="2080DA5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收尾工作</w:t>
            </w:r>
          </w:p>
        </w:tc>
        <w:tc>
          <w:tcPr>
            <w:tcW w:w="7084" w:type="dxa"/>
            <w:tcBorders>
              <w:top w:val="nil"/>
              <w:left w:val="nil"/>
              <w:bottom w:val="single" w:color="auto" w:sz="4" w:space="0"/>
              <w:right w:val="single" w:color="auto" w:sz="4" w:space="0"/>
            </w:tcBorders>
            <w:vAlign w:val="center"/>
          </w:tcPr>
          <w:p w14:paraId="25E4375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color w:val="auto"/>
                <w:sz w:val="21"/>
                <w:szCs w:val="21"/>
              </w:rPr>
            </w:pPr>
            <w:r>
              <w:rPr>
                <w:rFonts w:hint="eastAsia" w:ascii="仿宋" w:hAnsi="仿宋" w:eastAsia="仿宋" w:cs="仿宋"/>
                <w:i w:val="0"/>
                <w:iCs w:val="0"/>
                <w:color w:val="auto"/>
                <w:sz w:val="21"/>
                <w:szCs w:val="21"/>
                <w:highlight w:val="none"/>
                <w:u w:val="none"/>
                <w:lang w:val="en-US" w:eastAsia="zh-CN"/>
              </w:rPr>
              <w:t>清理现场卫生，检查管路有无泄漏。</w:t>
            </w:r>
          </w:p>
        </w:tc>
      </w:tr>
    </w:tbl>
    <w:p w14:paraId="73C33974">
      <w:pPr>
        <w:pageBreakBefore w:val="0"/>
        <w:kinsoku/>
        <w:wordWrap/>
        <w:overflowPunct/>
        <w:topLinePunct w:val="0"/>
        <w:autoSpaceDE/>
        <w:autoSpaceDN/>
        <w:bidi w:val="0"/>
        <w:adjustRightInd/>
        <w:snapToGrid/>
        <w:spacing w:line="240" w:lineRule="auto"/>
        <w:ind w:left="0" w:leftChars="0" w:firstLine="0" w:firstLineChars="0"/>
        <w:outlineLvl w:val="9"/>
        <w:rPr>
          <w:rFonts w:hint="default" w:ascii="仿宋" w:hAnsi="仿宋" w:eastAsia="仿宋" w:cs="仿宋"/>
          <w:b/>
          <w:color w:val="auto"/>
          <w:sz w:val="28"/>
          <w:szCs w:val="28"/>
          <w:lang w:eastAsia="zh-CN"/>
        </w:rPr>
      </w:pPr>
      <w:r>
        <w:rPr>
          <w:rFonts w:hint="default" w:ascii="仿宋" w:hAnsi="仿宋" w:eastAsia="仿宋" w:cs="仿宋"/>
          <w:b/>
          <w:color w:val="auto"/>
          <w:sz w:val="21"/>
          <w:szCs w:val="21"/>
          <w:lang w:eastAsia="zh-CN"/>
        </w:rPr>
        <w:t xml:space="preserve">   </w:t>
      </w:r>
      <w:r>
        <w:rPr>
          <w:rFonts w:hint="default" w:ascii="仿宋" w:hAnsi="仿宋" w:eastAsia="仿宋" w:cs="仿宋"/>
          <w:b/>
          <w:color w:val="auto"/>
          <w:sz w:val="28"/>
          <w:szCs w:val="28"/>
          <w:lang w:eastAsia="zh-CN"/>
        </w:rPr>
        <w:t xml:space="preserve"> </w:t>
      </w:r>
    </w:p>
    <w:p w14:paraId="0948CACE">
      <w:pPr>
        <w:pageBreakBefore w:val="0"/>
        <w:kinsoku/>
        <w:wordWrap/>
        <w:overflowPunct/>
        <w:topLinePunct w:val="0"/>
        <w:autoSpaceDE/>
        <w:autoSpaceDN/>
        <w:bidi w:val="0"/>
        <w:adjustRightInd/>
        <w:snapToGrid/>
        <w:spacing w:line="240" w:lineRule="auto"/>
        <w:ind w:left="0" w:leftChars="0" w:firstLine="0" w:firstLineChars="0"/>
        <w:outlineLvl w:val="9"/>
        <w:rPr>
          <w:rFonts w:hint="default" w:ascii="仿宋" w:hAnsi="仿宋" w:eastAsia="仿宋" w:cs="仿宋"/>
          <w:b/>
          <w:color w:val="auto"/>
          <w:sz w:val="28"/>
          <w:szCs w:val="28"/>
          <w:lang w:eastAsia="zh-CN"/>
        </w:rPr>
      </w:pPr>
    </w:p>
    <w:p w14:paraId="1E762171">
      <w:pPr>
        <w:pStyle w:val="2"/>
        <w:pageBreakBefore w:val="0"/>
        <w:kinsoku/>
        <w:wordWrap/>
        <w:overflowPunct/>
        <w:topLinePunct w:val="0"/>
        <w:autoSpaceDE/>
        <w:autoSpaceDN/>
        <w:bidi w:val="0"/>
        <w:adjustRightInd/>
        <w:snapToGrid/>
        <w:outlineLvl w:val="9"/>
        <w:rPr>
          <w:rFonts w:hint="default"/>
          <w:color w:val="auto"/>
          <w:lang w:eastAsia="zh-CN"/>
        </w:rPr>
      </w:pPr>
    </w:p>
    <w:p w14:paraId="30454DFD">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val="en-US" w:eastAsia="zh-CN"/>
        </w:rPr>
        <w:t>一、</w:t>
      </w:r>
      <w:r>
        <w:rPr>
          <w:rFonts w:hint="eastAsia" w:ascii="仿宋" w:hAnsi="仿宋" w:eastAsia="仿宋" w:cs="仿宋"/>
          <w:b/>
          <w:color w:val="auto"/>
          <w:sz w:val="28"/>
          <w:szCs w:val="28"/>
        </w:rPr>
        <w:t>一般规定</w:t>
      </w:r>
    </w:p>
    <w:p w14:paraId="3B98747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严格遵守安全生产规章制度和操作规程，服从管理</w:t>
      </w:r>
      <w:r>
        <w:rPr>
          <w:rFonts w:hint="eastAsia" w:ascii="仿宋" w:hAnsi="仿宋" w:eastAsia="仿宋" w:cs="仿宋"/>
          <w:color w:val="auto"/>
          <w:sz w:val="28"/>
          <w:szCs w:val="28"/>
          <w:lang w:eastAsia="zh-CN"/>
        </w:rPr>
        <w:t>。</w:t>
      </w:r>
    </w:p>
    <w:p w14:paraId="16D5B490">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积极参加安全学习及</w:t>
      </w:r>
      <w:r>
        <w:rPr>
          <w:rFonts w:hint="eastAsia" w:ascii="仿宋" w:hAnsi="仿宋" w:eastAsia="仿宋" w:cs="仿宋"/>
          <w:color w:val="auto"/>
          <w:sz w:val="28"/>
          <w:szCs w:val="28"/>
          <w:lang w:eastAsia="zh-CN"/>
        </w:rPr>
        <w:t>相关</w:t>
      </w:r>
      <w:r>
        <w:rPr>
          <w:rFonts w:hint="eastAsia" w:ascii="仿宋" w:hAnsi="仿宋" w:eastAsia="仿宋" w:cs="仿宋"/>
          <w:color w:val="auto"/>
          <w:sz w:val="28"/>
          <w:szCs w:val="28"/>
        </w:rPr>
        <w:t>培训,掌握本职工作所需的安全生产知识，提高安全生产技能,必须经培训取得相应资格证书</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方可上岗。</w:t>
      </w:r>
    </w:p>
    <w:p w14:paraId="7B47797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（三）正确佩戴和使用劳动防护用品。</w:t>
      </w:r>
    </w:p>
    <w:p w14:paraId="17AB4332">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（四）认真开展岗前、岗中安全隐患排查，确保本岗位作业区域内相关机械设备、环境等保持安全状况。</w:t>
      </w:r>
    </w:p>
    <w:p w14:paraId="03557566">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熟悉</w:t>
      </w:r>
      <w:r>
        <w:rPr>
          <w:rFonts w:hint="eastAsia" w:ascii="仿宋" w:hAnsi="仿宋" w:eastAsia="仿宋" w:cs="仿宋"/>
          <w:color w:val="auto"/>
          <w:sz w:val="28"/>
          <w:szCs w:val="28"/>
          <w:lang w:val="en-US" w:eastAsia="zh-CN"/>
        </w:rPr>
        <w:t>井下管路布置及闸阀位置。</w:t>
      </w:r>
    </w:p>
    <w:p w14:paraId="062D2F23">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认真做好本职工作，工作时间不准无故脱岗，不</w:t>
      </w:r>
      <w:r>
        <w:rPr>
          <w:rFonts w:hint="eastAsia" w:ascii="仿宋" w:hAnsi="仿宋" w:eastAsia="仿宋" w:cs="仿宋"/>
          <w:color w:val="auto"/>
          <w:sz w:val="28"/>
          <w:szCs w:val="28"/>
          <w:lang w:eastAsia="zh-CN"/>
        </w:rPr>
        <w:t>做</w:t>
      </w:r>
      <w:r>
        <w:rPr>
          <w:rFonts w:hint="eastAsia" w:ascii="仿宋" w:hAnsi="仿宋" w:eastAsia="仿宋" w:cs="仿宋"/>
          <w:color w:val="auto"/>
          <w:sz w:val="28"/>
          <w:szCs w:val="28"/>
        </w:rPr>
        <w:t>与本职工作无关的事情。</w:t>
      </w:r>
    </w:p>
    <w:p w14:paraId="5B96D327">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搞好</w:t>
      </w:r>
      <w:r>
        <w:rPr>
          <w:rFonts w:hint="eastAsia" w:ascii="仿宋" w:hAnsi="仿宋" w:eastAsia="仿宋" w:cs="仿宋"/>
          <w:color w:val="auto"/>
          <w:sz w:val="28"/>
          <w:szCs w:val="28"/>
          <w:lang w:val="en-US" w:eastAsia="zh-CN"/>
        </w:rPr>
        <w:t>班组内业资料及所分管卫生区</w:t>
      </w:r>
      <w:r>
        <w:rPr>
          <w:rFonts w:hint="eastAsia" w:ascii="仿宋" w:hAnsi="仿宋" w:eastAsia="仿宋" w:cs="仿宋"/>
          <w:color w:val="auto"/>
          <w:sz w:val="28"/>
          <w:szCs w:val="28"/>
        </w:rPr>
        <w:t>卫生，保持清洁</w:t>
      </w:r>
      <w:r>
        <w:rPr>
          <w:rFonts w:hint="eastAsia" w:ascii="仿宋" w:hAnsi="仿宋" w:eastAsia="仿宋" w:cs="仿宋"/>
          <w:color w:val="auto"/>
          <w:sz w:val="28"/>
          <w:szCs w:val="28"/>
          <w:lang w:eastAsia="zh-CN"/>
        </w:rPr>
        <w:t>干净</w:t>
      </w:r>
      <w:r>
        <w:rPr>
          <w:rFonts w:hint="eastAsia" w:ascii="仿宋" w:hAnsi="仿宋" w:eastAsia="仿宋" w:cs="仿宋"/>
          <w:color w:val="auto"/>
          <w:sz w:val="28"/>
          <w:szCs w:val="28"/>
        </w:rPr>
        <w:t>。</w:t>
      </w:r>
    </w:p>
    <w:p w14:paraId="1ACD6AE2">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（八）发生安全生产事故后，事故现场有关人员应当立即报告本单位负责人；发现事故隐患或者其他不安全因素，应当立即向现场安全管理人员或者本单位负责人报告。</w:t>
      </w:r>
    </w:p>
    <w:p w14:paraId="4B222228">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（九）有权对单位安全生产工作中存在的问题提出批评、检举、控告，有权拒绝违章指挥和强令冒险作业。</w:t>
      </w:r>
    </w:p>
    <w:p w14:paraId="592AAD06">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（十）熟悉本岗位的安全生产风险和应急处置措施，发现直接危及人身安全的紧急情况时,有权停止作业或者在采取可能的应急措施后,撤离作业现场。</w:t>
      </w:r>
    </w:p>
    <w:p w14:paraId="6EB749E9">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lang w:eastAsia="zh-CN"/>
        </w:rPr>
        <w:t>熟练掌握应急逃生知识，提高互救自救能力。</w:t>
      </w:r>
    </w:p>
    <w:p w14:paraId="09021759">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b w:val="0"/>
          <w:bCs/>
          <w:color w:val="auto"/>
          <w:sz w:val="28"/>
          <w:szCs w:val="28"/>
          <w:lang w:val="en-US" w:eastAsia="zh-CN"/>
        </w:rPr>
      </w:pPr>
      <w:r>
        <w:rPr>
          <w:rFonts w:hint="eastAsia" w:ascii="仿宋" w:hAnsi="仿宋" w:eastAsia="仿宋" w:cs="仿宋"/>
          <w:b w:val="0"/>
          <w:bCs/>
          <w:color w:val="auto"/>
          <w:sz w:val="28"/>
          <w:szCs w:val="28"/>
          <w:lang w:val="en-US" w:eastAsia="zh-CN"/>
        </w:rPr>
        <w:t>2.</w:t>
      </w:r>
      <w:r>
        <w:rPr>
          <w:rFonts w:hint="eastAsia" w:ascii="仿宋" w:hAnsi="仿宋" w:eastAsia="仿宋" w:cs="仿宋"/>
          <w:b w:val="0"/>
          <w:bCs/>
          <w:color w:val="auto"/>
          <w:sz w:val="28"/>
          <w:szCs w:val="28"/>
        </w:rPr>
        <w:t>入井、乘罐注意事项</w:t>
      </w:r>
      <w:r>
        <w:rPr>
          <w:rFonts w:hint="eastAsia" w:ascii="仿宋" w:hAnsi="仿宋" w:eastAsia="仿宋" w:cs="仿宋"/>
          <w:b w:val="0"/>
          <w:bCs/>
          <w:color w:val="auto"/>
          <w:sz w:val="28"/>
          <w:szCs w:val="28"/>
          <w:lang w:eastAsia="zh-CN"/>
        </w:rPr>
        <w:t>：</w:t>
      </w:r>
    </w:p>
    <w:p w14:paraId="32706104">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入井人员严禁携带烟草或点火用品，严禁穿化纤衣服，入井前严禁喝酒。</w:t>
      </w:r>
    </w:p>
    <w:p w14:paraId="7F2DD124">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入井人员必须戴安全帽，随身携</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自救器和矿灯。</w:t>
      </w:r>
    </w:p>
    <w:p w14:paraId="36E47451">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严格执行入井前</w:t>
      </w:r>
      <w:r>
        <w:rPr>
          <w:rFonts w:hint="eastAsia" w:ascii="仿宋" w:hAnsi="仿宋" w:eastAsia="仿宋" w:cs="仿宋"/>
          <w:color w:val="auto"/>
          <w:sz w:val="28"/>
          <w:szCs w:val="28"/>
          <w:lang w:val="en-US" w:eastAsia="zh-CN"/>
        </w:rPr>
        <w:t>检身</w:t>
      </w:r>
      <w:r>
        <w:rPr>
          <w:rFonts w:hint="eastAsia" w:ascii="仿宋" w:hAnsi="仿宋" w:eastAsia="仿宋" w:cs="仿宋"/>
          <w:color w:val="auto"/>
          <w:sz w:val="28"/>
          <w:szCs w:val="28"/>
        </w:rPr>
        <w:t>制度。</w:t>
      </w:r>
    </w:p>
    <w:p w14:paraId="54EA6AEE">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（四）携带利刃工具要做好防护。</w:t>
      </w:r>
    </w:p>
    <w:p w14:paraId="4F3E19A3">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乘坐罐笼按顺序上下，不可拥挤和打闹；罐笼运行中，不要把头和手脚伸到罐外；不准向井筒</w:t>
      </w:r>
      <w:r>
        <w:rPr>
          <w:rFonts w:hint="eastAsia" w:ascii="仿宋" w:hAnsi="仿宋" w:eastAsia="仿宋" w:cs="仿宋"/>
          <w:color w:val="auto"/>
          <w:sz w:val="28"/>
          <w:szCs w:val="28"/>
          <w:lang w:val="en-US" w:eastAsia="zh-CN"/>
        </w:rPr>
        <w:t>内</w:t>
      </w:r>
      <w:r>
        <w:rPr>
          <w:rFonts w:hint="eastAsia" w:ascii="仿宋" w:hAnsi="仿宋" w:eastAsia="仿宋" w:cs="仿宋"/>
          <w:color w:val="auto"/>
          <w:sz w:val="28"/>
          <w:szCs w:val="28"/>
        </w:rPr>
        <w:t>扔</w:t>
      </w:r>
      <w:r>
        <w:rPr>
          <w:rFonts w:hint="eastAsia" w:ascii="仿宋" w:hAnsi="仿宋" w:eastAsia="仿宋" w:cs="仿宋"/>
          <w:color w:val="auto"/>
          <w:sz w:val="28"/>
          <w:szCs w:val="28"/>
          <w:lang w:val="en-US" w:eastAsia="zh-CN"/>
        </w:rPr>
        <w:t>杂物</w:t>
      </w:r>
      <w:r>
        <w:rPr>
          <w:rFonts w:hint="eastAsia" w:ascii="仿宋" w:hAnsi="仿宋" w:eastAsia="仿宋" w:cs="仿宋"/>
          <w:color w:val="auto"/>
          <w:sz w:val="28"/>
          <w:szCs w:val="28"/>
        </w:rPr>
        <w:t>。</w:t>
      </w:r>
    </w:p>
    <w:p w14:paraId="4323CB3A">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b w:val="0"/>
          <w:bCs/>
          <w:color w:val="auto"/>
          <w:sz w:val="28"/>
          <w:szCs w:val="28"/>
          <w:lang w:eastAsia="zh-CN"/>
        </w:rPr>
      </w:pPr>
      <w:r>
        <w:rPr>
          <w:rFonts w:hint="eastAsia" w:ascii="仿宋" w:hAnsi="仿宋" w:eastAsia="仿宋" w:cs="仿宋"/>
          <w:b w:val="0"/>
          <w:bCs/>
          <w:color w:val="auto"/>
          <w:sz w:val="28"/>
          <w:szCs w:val="28"/>
          <w:lang w:val="en-US" w:eastAsia="zh-CN"/>
        </w:rPr>
        <w:t>3.</w:t>
      </w:r>
      <w:r>
        <w:rPr>
          <w:rFonts w:hint="eastAsia" w:ascii="仿宋" w:hAnsi="仿宋" w:eastAsia="仿宋" w:cs="仿宋"/>
          <w:b w:val="0"/>
          <w:bCs/>
          <w:color w:val="auto"/>
          <w:sz w:val="28"/>
          <w:szCs w:val="28"/>
        </w:rPr>
        <w:t>井下行走、乘坐架空乘人装置注意事项</w:t>
      </w:r>
      <w:r>
        <w:rPr>
          <w:rFonts w:hint="eastAsia" w:ascii="仿宋" w:hAnsi="仿宋" w:eastAsia="仿宋" w:cs="仿宋"/>
          <w:b w:val="0"/>
          <w:bCs/>
          <w:color w:val="auto"/>
          <w:sz w:val="28"/>
          <w:szCs w:val="28"/>
          <w:lang w:eastAsia="zh-CN"/>
        </w:rPr>
        <w:t>：</w:t>
      </w:r>
    </w:p>
    <w:p w14:paraId="59D44145">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井下运输大巷，行人必须靠人行道右侧行走，严禁在轨道中间行走。</w:t>
      </w:r>
    </w:p>
    <w:p w14:paraId="7B462C45">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行人跨越轨道或有车辆经过的道路时，首先观察车辆</w:t>
      </w:r>
      <w:r>
        <w:rPr>
          <w:rFonts w:hint="eastAsia" w:ascii="仿宋" w:hAnsi="仿宋" w:eastAsia="仿宋" w:cs="仿宋"/>
          <w:color w:val="auto"/>
          <w:sz w:val="28"/>
          <w:szCs w:val="28"/>
          <w:lang w:val="en-US" w:eastAsia="zh-CN"/>
        </w:rPr>
        <w:t>状</w:t>
      </w:r>
      <w:r>
        <w:rPr>
          <w:rFonts w:hint="eastAsia" w:ascii="仿宋" w:hAnsi="仿宋" w:eastAsia="仿宋" w:cs="仿宋"/>
          <w:color w:val="auto"/>
          <w:sz w:val="28"/>
          <w:szCs w:val="28"/>
        </w:rPr>
        <w:t>况 ，确认安全后再通过。</w:t>
      </w:r>
    </w:p>
    <w:p w14:paraId="6CCDB7FB">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斜巷提升时，人员必须立即进入躲避硐。</w:t>
      </w:r>
    </w:p>
    <w:p w14:paraId="082E613E">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要及时关闭风门，严禁同时打开两道风门。</w:t>
      </w:r>
    </w:p>
    <w:p w14:paraId="04552732">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严禁跨越皮带和乘坐皮带，跨越皮带要走人行过桥；严禁在刮板输送机上行走。</w:t>
      </w:r>
    </w:p>
    <w:p w14:paraId="744ADCB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严禁扒车、跳车和坐矿车，当车辆经过时，人员要及时躲避。</w:t>
      </w:r>
    </w:p>
    <w:p w14:paraId="10FD04A8">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乘坐架空乘人装置时必须在规定候车区域等候，按顺序乘坐。</w:t>
      </w:r>
    </w:p>
    <w:p w14:paraId="60EB41D2">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乘坐架空乘人装置时，严禁左右摇摆，触摸绳轮、钢丝绳；不得触及临近的任何物体，做到稳上、稳下</w:t>
      </w:r>
      <w:r>
        <w:rPr>
          <w:rFonts w:hint="eastAsia" w:ascii="仿宋" w:hAnsi="仿宋" w:eastAsia="仿宋" w:cs="仿宋"/>
          <w:color w:val="auto"/>
          <w:sz w:val="28"/>
          <w:szCs w:val="28"/>
          <w:lang w:eastAsia="zh-CN"/>
        </w:rPr>
        <w:t>。</w:t>
      </w:r>
    </w:p>
    <w:p w14:paraId="62B4CE16">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乘坐架空乘人装置时，严禁携带</w:t>
      </w:r>
      <w:r>
        <w:rPr>
          <w:rFonts w:hint="eastAsia" w:ascii="仿宋" w:hAnsi="仿宋" w:eastAsia="仿宋" w:cs="仿宋"/>
          <w:color w:val="auto"/>
          <w:sz w:val="28"/>
          <w:szCs w:val="28"/>
          <w:lang w:val="en-US" w:eastAsia="zh-CN"/>
        </w:rPr>
        <w:t>未包扎的利刃工具</w:t>
      </w:r>
      <w:r>
        <w:rPr>
          <w:rFonts w:hint="eastAsia" w:ascii="仿宋" w:hAnsi="仿宋" w:eastAsia="仿宋" w:cs="仿宋"/>
          <w:color w:val="auto"/>
          <w:sz w:val="28"/>
          <w:szCs w:val="28"/>
        </w:rPr>
        <w:t>。</w:t>
      </w:r>
    </w:p>
    <w:p w14:paraId="1F01EC5A">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（十）切断金属物体必须戴防护镜。</w:t>
      </w:r>
    </w:p>
    <w:p w14:paraId="487E1B2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lang w:val="en-US" w:eastAsia="zh-CN"/>
        </w:rPr>
        <w:t>二</w:t>
      </w:r>
      <w:r>
        <w:rPr>
          <w:rFonts w:hint="eastAsia" w:ascii="仿宋" w:hAnsi="仿宋" w:eastAsia="仿宋" w:cs="仿宋"/>
          <w:b/>
          <w:bCs w:val="0"/>
          <w:color w:val="auto"/>
          <w:sz w:val="28"/>
          <w:szCs w:val="28"/>
          <w:highlight w:val="none"/>
        </w:rPr>
        <w:t>、薄弱人物排查治理办法</w:t>
      </w:r>
    </w:p>
    <w:p w14:paraId="1826E7F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4DEAEF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7BDE90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4296E0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2D5AA8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6B2D13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0BC0A7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1DF48E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72425F4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5D7E34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0B1DE5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643F86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7BF9FC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7D6A84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198F00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3B4392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15248C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293D459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481596F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410A44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68D2D0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414F011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398AC5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4603C72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28E576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4CAB21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3210FD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65B4F1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4E2F81D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589C1B3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471410E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38F00E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1FEC88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00DF35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6834F4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36D75E2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015AB6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3E6E8B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7F79D5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6DF2DD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6FD776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7E61AB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6321B1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25AF6B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019B17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w:t>
      </w:r>
      <w:r>
        <w:rPr>
          <w:rFonts w:hint="default"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lang w:eastAsia="zh-CN"/>
        </w:rPr>
        <w:t>尽量避免让其承担单项工程和零星工程。</w:t>
      </w:r>
    </w:p>
    <w:p w14:paraId="2B8534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635DBB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2D29B915">
      <w:pPr>
        <w:keepNext w:val="0"/>
        <w:keepLines w:val="0"/>
        <w:pageBreakBefore w:val="0"/>
        <w:widowControl w:val="0"/>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bCs/>
          <w:color w:val="auto"/>
          <w:sz w:val="28"/>
          <w:szCs w:val="28"/>
        </w:rPr>
      </w:pPr>
      <w:r>
        <w:rPr>
          <w:rFonts w:hint="eastAsia" w:ascii="仿宋" w:hAnsi="仿宋" w:eastAsia="仿宋" w:cs="仿宋"/>
          <w:b/>
          <w:bCs/>
          <w:color w:val="auto"/>
          <w:sz w:val="28"/>
          <w:szCs w:val="28"/>
          <w:lang w:val="en-US" w:eastAsia="zh-CN"/>
        </w:rPr>
        <w:t>三</w:t>
      </w:r>
      <w:r>
        <w:rPr>
          <w:rFonts w:hint="eastAsia" w:ascii="仿宋" w:hAnsi="仿宋" w:eastAsia="仿宋" w:cs="仿宋"/>
          <w:b/>
          <w:bCs/>
          <w:color w:val="auto"/>
          <w:sz w:val="28"/>
          <w:szCs w:val="28"/>
        </w:rPr>
        <w:t>、安全风险辨识与管控措施</w:t>
      </w:r>
      <w:r>
        <w:rPr>
          <w:rFonts w:hint="default" w:ascii="仿宋" w:hAnsi="仿宋" w:eastAsia="仿宋" w:cs="仿宋"/>
          <w:b/>
          <w:bCs/>
          <w:color w:val="auto"/>
          <w:sz w:val="28"/>
          <w:szCs w:val="28"/>
        </w:rPr>
        <w:t>（需要继续补充)!</w:t>
      </w:r>
    </w:p>
    <w:p w14:paraId="6A7FA23A">
      <w:pPr>
        <w:keepNext w:val="0"/>
        <w:keepLines w:val="0"/>
        <w:pageBreakBefore w:val="0"/>
        <w:widowControl w:val="0"/>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bCs/>
          <w:color w:val="auto"/>
          <w:sz w:val="28"/>
          <w:szCs w:val="28"/>
        </w:rPr>
      </w:pPr>
      <w:r>
        <w:rPr>
          <w:rFonts w:hint="default" w:ascii="仿宋" w:hAnsi="仿宋" w:eastAsia="仿宋" w:cs="仿宋"/>
          <w:b/>
          <w:bCs/>
          <w:color w:val="auto"/>
          <w:sz w:val="28"/>
          <w:szCs w:val="28"/>
        </w:rPr>
        <w:t>（一）通用部分</w:t>
      </w:r>
    </w:p>
    <w:p w14:paraId="4EC981A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风险描述：防护用品不完好，不按规定佩</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，存在人员受伤的风险。</w:t>
      </w:r>
    </w:p>
    <w:p w14:paraId="4649951B">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好安全防护用品。</w:t>
      </w:r>
    </w:p>
    <w:p w14:paraId="09167862">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风险描述：施工现场顶板破碎，存在漏顶片帮伤人的风险。</w:t>
      </w:r>
    </w:p>
    <w:p w14:paraId="655636DE">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管控措施：加强顶板排查管理，使用长把工具及时找掉危岩活矸。</w:t>
      </w:r>
    </w:p>
    <w:p w14:paraId="28CDF6C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3.</w:t>
      </w:r>
      <w:r>
        <w:rPr>
          <w:rFonts w:hint="default" w:ascii="仿宋" w:hAnsi="仿宋" w:eastAsia="仿宋" w:cs="仿宋"/>
          <w:color w:val="auto"/>
          <w:sz w:val="28"/>
          <w:szCs w:val="28"/>
          <w:lang w:val="en-US" w:eastAsia="zh-CN"/>
        </w:rPr>
        <w:t>风险描述：电话不畅通，发生事故不能及时汇报，存在事故扩大的风险。</w:t>
      </w:r>
    </w:p>
    <w:p w14:paraId="1B8E2C54">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val="en-US" w:eastAsia="zh-CN"/>
        </w:rPr>
        <w:t>管控措施：</w:t>
      </w:r>
      <w:r>
        <w:rPr>
          <w:rFonts w:hint="default" w:ascii="仿宋" w:hAnsi="仿宋" w:eastAsia="仿宋" w:cs="仿宋"/>
          <w:color w:val="auto"/>
          <w:sz w:val="28"/>
          <w:szCs w:val="28"/>
          <w:lang w:eastAsia="zh-CN"/>
        </w:rPr>
        <w:t>维修人员下井时，必须携带电话，并保持电话畅通，</w:t>
      </w:r>
      <w:r>
        <w:rPr>
          <w:rFonts w:hint="default" w:ascii="仿宋" w:hAnsi="仿宋" w:eastAsia="仿宋" w:cs="仿宋"/>
          <w:color w:val="auto"/>
          <w:sz w:val="28"/>
          <w:szCs w:val="28"/>
          <w:lang w:val="en-US" w:eastAsia="zh-CN"/>
        </w:rPr>
        <w:t>每班对电话进行检查，发现电话不畅通或损坏的，及时告知维护人员，确保电话畅通完好，电话不畅通严禁操作。</w:t>
      </w:r>
    </w:p>
    <w:p w14:paraId="7C7BA342">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outlineLvl w:val="9"/>
        <w:rPr>
          <w:rFonts w:hint="default" w:ascii="仿宋" w:hAnsi="仿宋" w:eastAsia="仿宋" w:cs="仿宋"/>
          <w:b/>
          <w:bCs/>
          <w:color w:val="auto"/>
          <w:sz w:val="28"/>
          <w:szCs w:val="28"/>
        </w:rPr>
      </w:pPr>
      <w:r>
        <w:rPr>
          <w:rFonts w:hint="eastAsia" w:ascii="仿宋" w:hAnsi="仿宋" w:eastAsia="仿宋" w:cs="仿宋"/>
          <w:b/>
          <w:bCs/>
          <w:color w:val="auto"/>
          <w:sz w:val="28"/>
          <w:szCs w:val="28"/>
          <w:lang w:eastAsia="zh-CN"/>
        </w:rPr>
        <w:t>（二）</w:t>
      </w:r>
      <w:r>
        <w:rPr>
          <w:rFonts w:hint="default" w:ascii="仿宋" w:hAnsi="仿宋" w:eastAsia="仿宋" w:cs="仿宋"/>
          <w:b/>
          <w:bCs/>
          <w:color w:val="auto"/>
          <w:sz w:val="28"/>
          <w:szCs w:val="28"/>
        </w:rPr>
        <w:t>专用部分</w:t>
      </w:r>
    </w:p>
    <w:p w14:paraId="6933FC0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操作前：</w:t>
      </w:r>
    </w:p>
    <w:p w14:paraId="0CD3E9B2">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携带利刃工具未采取防护措施，</w:t>
      </w:r>
      <w:r>
        <w:rPr>
          <w:rFonts w:hint="eastAsia" w:ascii="仿宋" w:hAnsi="仿宋" w:eastAsia="仿宋" w:cs="仿宋"/>
          <w:color w:val="auto"/>
          <w:sz w:val="28"/>
          <w:szCs w:val="28"/>
        </w:rPr>
        <w:t>存在人员受伤的风险。</w:t>
      </w:r>
    </w:p>
    <w:p w14:paraId="5A3CADC1">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携带利刃工具必须做好防护措施。</w:t>
      </w:r>
    </w:p>
    <w:p w14:paraId="0A839713">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②</w:t>
      </w:r>
      <w:r>
        <w:rPr>
          <w:rFonts w:hint="eastAsia" w:ascii="仿宋" w:hAnsi="仿宋" w:eastAsia="仿宋" w:cs="仿宋"/>
          <w:color w:val="auto"/>
          <w:sz w:val="28"/>
          <w:szCs w:val="28"/>
        </w:rPr>
        <w:t>风险描述：工具材料不齐全完好，存在设备检修不到位或人员伤亡的风险。</w:t>
      </w:r>
    </w:p>
    <w:p w14:paraId="2F67F7EF">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管控措施：操作前，工具材料准备齐全完好。</w:t>
      </w:r>
    </w:p>
    <w:p w14:paraId="2B75C974">
      <w:pPr>
        <w:keepNext w:val="0"/>
        <w:keepLines w:val="0"/>
        <w:pageBreakBefore w:val="0"/>
        <w:widowControl w:val="0"/>
        <w:kinsoku/>
        <w:wordWrap/>
        <w:overflowPunct/>
        <w:topLinePunct w:val="0"/>
        <w:autoSpaceDE/>
        <w:autoSpaceDN/>
        <w:bidi w:val="0"/>
        <w:adjustRightInd/>
        <w:snapToGrid/>
        <w:spacing w:line="500" w:lineRule="exact"/>
        <w:ind w:firstLine="420" w:firstLineChars="200"/>
        <w:outlineLvl w:val="9"/>
        <w:rPr>
          <w:rFonts w:hint="eastAsia" w:ascii="仿宋" w:hAnsi="仿宋" w:eastAsia="仿宋" w:cs="仿宋"/>
          <w:color w:val="auto"/>
          <w:sz w:val="28"/>
          <w:szCs w:val="28"/>
        </w:rPr>
      </w:pPr>
      <w:r>
        <w:rPr>
          <w:rFonts w:hint="default" w:ascii="仿宋" w:hAnsi="仿宋" w:eastAsia="仿宋" w:cs="仿宋"/>
          <w:color w:val="auto"/>
          <w:sz w:val="21"/>
          <w:szCs w:val="21"/>
          <w:lang w:eastAsia="zh-CN"/>
        </w:rPr>
        <w:t xml:space="preserve"> </w:t>
      </w:r>
      <w:r>
        <w:rPr>
          <w:rFonts w:hint="default" w:ascii="仿宋" w:hAnsi="仿宋" w:eastAsia="仿宋" w:cs="仿宋"/>
          <w:color w:val="auto"/>
          <w:sz w:val="28"/>
          <w:szCs w:val="28"/>
          <w:lang w:eastAsia="zh-CN"/>
        </w:rPr>
        <w:t>③</w:t>
      </w:r>
      <w:r>
        <w:rPr>
          <w:rFonts w:hint="eastAsia" w:ascii="仿宋" w:hAnsi="仿宋" w:eastAsia="仿宋" w:cs="仿宋"/>
          <w:color w:val="auto"/>
          <w:sz w:val="28"/>
          <w:szCs w:val="28"/>
        </w:rPr>
        <w:t>风险描述：检修地点人员站位不正确，存在设备碰伤人员的风险。</w:t>
      </w:r>
    </w:p>
    <w:p w14:paraId="755E010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管控措施：检修前规范站位，重物下方及可能倾向方向严禁有人。</w:t>
      </w:r>
    </w:p>
    <w:p w14:paraId="183334C8">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35329800">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风险描述：吊装作业时，人员站位不当或工具不完好导致受伤。</w:t>
      </w:r>
    </w:p>
    <w:p w14:paraId="22D7571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14:paraId="03C4AE52">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②</w:t>
      </w:r>
      <w:r>
        <w:rPr>
          <w:rFonts w:hint="eastAsia" w:ascii="仿宋" w:hAnsi="仿宋" w:eastAsia="仿宋" w:cs="仿宋"/>
          <w:color w:val="auto"/>
          <w:sz w:val="28"/>
          <w:szCs w:val="28"/>
        </w:rPr>
        <w:t>风险描述：人员靠近转动部位，护罩或遮拦等不完好，存在转动部位伤人的风险。</w:t>
      </w:r>
    </w:p>
    <w:p w14:paraId="40DCCB31">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14:paraId="40FE94A5">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③</w:t>
      </w:r>
      <w:r>
        <w:rPr>
          <w:rFonts w:hint="eastAsia" w:ascii="仿宋" w:hAnsi="仿宋" w:eastAsia="仿宋" w:cs="仿宋"/>
          <w:color w:val="auto"/>
          <w:sz w:val="28"/>
          <w:szCs w:val="28"/>
          <w:lang w:val="en-US" w:eastAsia="zh-CN"/>
        </w:rPr>
        <w:t>风险描述：切断金属物体时，人员未做好防护。必须戴防护镜。</w:t>
      </w:r>
    </w:p>
    <w:p w14:paraId="2A8A410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切断金属物体时，施工人员必须戴防护镜。</w:t>
      </w:r>
    </w:p>
    <w:p w14:paraId="450D892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3.操作后</w:t>
      </w:r>
    </w:p>
    <w:p w14:paraId="75DC2F4C">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风险描述：设备检修不到位，零部件缺失、连接部位不完好等，设备带病运行，存在设备损坏的风险。</w:t>
      </w:r>
    </w:p>
    <w:p w14:paraId="61B8B9C2">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14:paraId="5B8031B4">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风险描述：检修完成后工具材料未能及时清</w:t>
      </w:r>
      <w:r>
        <w:rPr>
          <w:rFonts w:hint="eastAsia" w:ascii="仿宋" w:hAnsi="仿宋" w:eastAsia="仿宋" w:cs="仿宋"/>
          <w:color w:val="auto"/>
          <w:sz w:val="28"/>
          <w:szCs w:val="28"/>
          <w:lang w:val="en-US" w:eastAsia="zh-CN"/>
        </w:rPr>
        <w:t>点</w:t>
      </w:r>
      <w:r>
        <w:rPr>
          <w:rFonts w:hint="eastAsia" w:ascii="仿宋" w:hAnsi="仿宋" w:eastAsia="仿宋" w:cs="仿宋"/>
          <w:color w:val="auto"/>
          <w:sz w:val="28"/>
          <w:szCs w:val="28"/>
        </w:rPr>
        <w:t>，检修工具材料遗留在设备内，存在设备损坏的风险。</w:t>
      </w:r>
    </w:p>
    <w:p w14:paraId="02370539">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14:paraId="7590A24C">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风险描述：检修完成后</w:t>
      </w:r>
      <w:r>
        <w:rPr>
          <w:rFonts w:hint="eastAsia" w:ascii="仿宋" w:hAnsi="仿宋" w:eastAsia="仿宋" w:cs="仿宋"/>
          <w:color w:val="auto"/>
          <w:sz w:val="28"/>
          <w:szCs w:val="28"/>
          <w:lang w:val="en-US" w:eastAsia="zh-CN"/>
        </w:rPr>
        <w:t>现场不达标，检修人员存在摔伤</w:t>
      </w:r>
      <w:r>
        <w:rPr>
          <w:rFonts w:hint="eastAsia" w:ascii="仿宋" w:hAnsi="仿宋" w:eastAsia="仿宋" w:cs="仿宋"/>
          <w:color w:val="auto"/>
          <w:sz w:val="28"/>
          <w:szCs w:val="28"/>
        </w:rPr>
        <w:t>的风险。</w:t>
      </w:r>
    </w:p>
    <w:p w14:paraId="3C3BA1EB">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w:t>
      </w:r>
      <w:r>
        <w:rPr>
          <w:rFonts w:hint="eastAsia" w:ascii="仿宋" w:hAnsi="仿宋" w:eastAsia="仿宋" w:cs="仿宋"/>
          <w:color w:val="auto"/>
          <w:sz w:val="28"/>
          <w:szCs w:val="28"/>
          <w:lang w:val="en-US" w:eastAsia="zh-CN"/>
        </w:rPr>
        <w:t>施工现场标准化达标</w:t>
      </w:r>
      <w:r>
        <w:rPr>
          <w:rFonts w:hint="eastAsia" w:ascii="仿宋" w:hAnsi="仿宋" w:eastAsia="仿宋" w:cs="仿宋"/>
          <w:color w:val="auto"/>
          <w:sz w:val="28"/>
          <w:szCs w:val="28"/>
        </w:rPr>
        <w:t>。</w:t>
      </w:r>
    </w:p>
    <w:p w14:paraId="63BA4FDA">
      <w:pPr>
        <w:keepNext w:val="0"/>
        <w:keepLines w:val="0"/>
        <w:pageBreakBefore w:val="0"/>
        <w:widowControl w:val="0"/>
        <w:kinsoku/>
        <w:wordWrap/>
        <w:overflowPunct/>
        <w:topLinePunct w:val="0"/>
        <w:autoSpaceDE/>
        <w:autoSpaceDN/>
        <w:bidi w:val="0"/>
        <w:adjustRightInd/>
        <w:snapToGrid/>
        <w:spacing w:line="500" w:lineRule="exact"/>
        <w:ind w:firstLine="422" w:firstLineChars="200"/>
        <w:outlineLvl w:val="9"/>
        <w:rPr>
          <w:rFonts w:hint="default" w:ascii="仿宋" w:hAnsi="仿宋" w:eastAsia="仿宋" w:cs="仿宋"/>
          <w:b/>
          <w:bCs/>
          <w:color w:val="auto"/>
          <w:sz w:val="28"/>
          <w:szCs w:val="28"/>
        </w:rPr>
      </w:pPr>
      <w:r>
        <w:rPr>
          <w:rFonts w:hint="default" w:ascii="仿宋" w:hAnsi="仿宋" w:eastAsia="仿宋" w:cs="仿宋"/>
          <w:b/>
          <w:bCs/>
          <w:color w:val="auto"/>
          <w:sz w:val="21"/>
          <w:szCs w:val="21"/>
          <w:lang w:eastAsia="zh-CN"/>
        </w:rPr>
        <w:t xml:space="preserve"> </w:t>
      </w:r>
      <w:r>
        <w:rPr>
          <w:rFonts w:hint="default" w:ascii="仿宋" w:hAnsi="仿宋" w:eastAsia="仿宋" w:cs="仿宋"/>
          <w:b/>
          <w:bCs/>
          <w:color w:val="auto"/>
          <w:sz w:val="28"/>
          <w:szCs w:val="28"/>
          <w:lang w:eastAsia="zh-CN"/>
        </w:rPr>
        <w:t>四、</w:t>
      </w:r>
      <w:r>
        <w:rPr>
          <w:rFonts w:hint="default" w:ascii="仿宋" w:hAnsi="仿宋" w:eastAsia="仿宋" w:cs="仿宋"/>
          <w:b/>
          <w:bCs/>
          <w:color w:val="auto"/>
          <w:sz w:val="28"/>
          <w:szCs w:val="28"/>
        </w:rPr>
        <w:t>（一）施工前检查</w:t>
      </w:r>
    </w:p>
    <w:p w14:paraId="776CE29F">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顶帮：顶帮支护完好</w:t>
      </w:r>
      <w:r>
        <w:rPr>
          <w:rFonts w:hint="default" w:ascii="仿宋" w:hAnsi="仿宋" w:eastAsia="仿宋" w:cs="仿宋"/>
          <w:color w:val="auto"/>
          <w:sz w:val="28"/>
          <w:szCs w:val="28"/>
        </w:rPr>
        <w:tab/>
      </w:r>
      <w:r>
        <w:rPr>
          <w:rFonts w:hint="eastAsia" w:ascii="仿宋" w:hAnsi="仿宋" w:eastAsia="仿宋" w:cs="仿宋"/>
          <w:color w:val="auto"/>
          <w:sz w:val="28"/>
          <w:szCs w:val="28"/>
        </w:rPr>
        <w:t>。</w:t>
      </w:r>
    </w:p>
    <w:p w14:paraId="621C3489">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2.</w:t>
      </w:r>
      <w:r>
        <w:rPr>
          <w:rFonts w:hint="eastAsia" w:ascii="仿宋" w:hAnsi="仿宋" w:eastAsia="仿宋" w:cs="仿宋"/>
          <w:color w:val="auto"/>
          <w:sz w:val="28"/>
          <w:szCs w:val="28"/>
        </w:rPr>
        <w:t>防护用品：防护用品齐全完好。</w:t>
      </w:r>
    </w:p>
    <w:p w14:paraId="68D36B01">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3.</w:t>
      </w:r>
      <w:r>
        <w:rPr>
          <w:rFonts w:hint="eastAsia" w:ascii="仿宋" w:hAnsi="仿宋" w:eastAsia="仿宋" w:cs="仿宋"/>
          <w:color w:val="auto"/>
          <w:sz w:val="28"/>
          <w:szCs w:val="28"/>
        </w:rPr>
        <w:t>工具、材料：工具、材料齐全完好</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利刃工已做好防护。</w:t>
      </w:r>
    </w:p>
    <w:p w14:paraId="6B93CF95">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监护人：监护人到位。</w:t>
      </w:r>
    </w:p>
    <w:p w14:paraId="1CAA05A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5.</w:t>
      </w:r>
      <w:r>
        <w:rPr>
          <w:rFonts w:hint="eastAsia" w:ascii="仿宋" w:hAnsi="仿宋" w:eastAsia="仿宋" w:cs="仿宋"/>
          <w:color w:val="auto"/>
          <w:sz w:val="28"/>
          <w:szCs w:val="28"/>
        </w:rPr>
        <w:t>站位：人员站位正确，退路畅通。</w:t>
      </w:r>
    </w:p>
    <w:p w14:paraId="00103636">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2"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b/>
          <w:bCs/>
          <w:color w:val="auto"/>
          <w:kern w:val="2"/>
          <w:sz w:val="28"/>
          <w:szCs w:val="28"/>
          <w:lang w:eastAsia="zh-CN" w:bidi="ar-SA"/>
        </w:rPr>
        <w:t>（二）单元表确认</w:t>
      </w:r>
    </w:p>
    <w:p w14:paraId="4FE8BC58">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1.检查管路：检查管路是否完好，存在泄露现象。</w:t>
      </w:r>
    </w:p>
    <w:p w14:paraId="3DA8F63C">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42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1"/>
          <w:szCs w:val="21"/>
          <w:lang w:eastAsia="zh-CN" w:bidi="ar-SA"/>
        </w:rPr>
        <w:t xml:space="preserve"> </w:t>
      </w:r>
      <w:r>
        <w:rPr>
          <w:rFonts w:hint="default" w:ascii="仿宋" w:hAnsi="仿宋" w:eastAsia="仿宋" w:cs="仿宋"/>
          <w:color w:val="auto"/>
          <w:kern w:val="2"/>
          <w:sz w:val="28"/>
          <w:szCs w:val="28"/>
          <w:lang w:eastAsia="zh-CN" w:bidi="ar-SA"/>
        </w:rPr>
        <w:t>2.检查上一级闸阀：检查上一级阀门是否关闭。</w:t>
      </w:r>
    </w:p>
    <w:p w14:paraId="73F660A9">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3.检查管路压力：检查设备内是否带压。</w:t>
      </w:r>
    </w:p>
    <w:p w14:paraId="0B4F3EDC">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4.检查工器具及材料：检查工器具、材料是否齐全。</w:t>
      </w:r>
    </w:p>
    <w:p w14:paraId="30257F22">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5.检查防护用品：防护用品是否佩戴齐全。</w:t>
      </w:r>
    </w:p>
    <w:p w14:paraId="1772C923">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6.检查设备维修质量：设备维修后完好。</w:t>
      </w:r>
    </w:p>
    <w:p w14:paraId="1A865C30">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7.检查上一级闸阀：检查上一级闸阀是否打开。</w:t>
      </w:r>
    </w:p>
    <w:p w14:paraId="2A9C5370">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8.检查现场标准化：检查现场标准化达标。</w:t>
      </w:r>
    </w:p>
    <w:p w14:paraId="2A6DD32A">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2" w:firstLineChars="200"/>
        <w:outlineLvl w:val="9"/>
        <w:rPr>
          <w:rFonts w:hint="default" w:ascii="仿宋" w:hAnsi="仿宋" w:eastAsia="仿宋" w:cs="仿宋"/>
          <w:b/>
          <w:color w:val="auto"/>
          <w:sz w:val="28"/>
          <w:szCs w:val="28"/>
          <w:lang w:eastAsia="zh-CN"/>
        </w:rPr>
      </w:pPr>
      <w:r>
        <w:rPr>
          <w:rFonts w:hint="default" w:ascii="仿宋" w:hAnsi="仿宋" w:eastAsia="仿宋" w:cs="仿宋"/>
          <w:b/>
          <w:color w:val="auto"/>
          <w:sz w:val="28"/>
          <w:szCs w:val="28"/>
          <w:lang w:eastAsia="zh-CN"/>
        </w:rPr>
        <w:t>五、机械维修工正规操作</w:t>
      </w:r>
    </w:p>
    <w:p w14:paraId="7B698D04">
      <w:pPr>
        <w:keepNext w:val="0"/>
        <w:keepLines w:val="0"/>
        <w:pageBreakBefore w:val="0"/>
        <w:widowControl w:val="0"/>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bCs/>
          <w:color w:val="auto"/>
          <w:sz w:val="28"/>
          <w:szCs w:val="28"/>
          <w:lang w:eastAsia="zh-CN"/>
        </w:rPr>
      </w:pPr>
      <w:r>
        <w:rPr>
          <w:rFonts w:hint="default" w:ascii="仿宋" w:hAnsi="仿宋" w:eastAsia="仿宋" w:cs="仿宋"/>
          <w:b/>
          <w:bCs/>
          <w:color w:val="auto"/>
          <w:sz w:val="28"/>
          <w:szCs w:val="28"/>
          <w:lang w:val="en-US" w:eastAsia="zh-CN"/>
        </w:rPr>
        <w:t>（一）</w:t>
      </w:r>
      <w:r>
        <w:rPr>
          <w:rFonts w:hint="default" w:ascii="仿宋" w:hAnsi="仿宋" w:eastAsia="仿宋" w:cs="仿宋"/>
          <w:b/>
          <w:bCs/>
          <w:color w:val="auto"/>
          <w:sz w:val="28"/>
          <w:szCs w:val="28"/>
          <w:lang w:eastAsia="zh-CN"/>
        </w:rPr>
        <w:t>机械维修工操作</w:t>
      </w:r>
      <w:r>
        <w:rPr>
          <w:rFonts w:hint="default" w:ascii="仿宋" w:hAnsi="仿宋" w:eastAsia="仿宋" w:cs="仿宋"/>
          <w:b/>
          <w:bCs/>
          <w:color w:val="auto"/>
          <w:sz w:val="28"/>
          <w:szCs w:val="28"/>
          <w:lang w:val="en-US" w:eastAsia="zh-CN"/>
        </w:rPr>
        <w:t>顺序：</w:t>
      </w:r>
    </w:p>
    <w:p w14:paraId="7A1F642E">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更换管路确认</w:t>
      </w:r>
      <w:r>
        <w:rPr>
          <w:rFonts w:hint="default"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停上级闸阀</w:t>
      </w:r>
      <w:r>
        <w:rPr>
          <w:rFonts w:hint="default"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拆卸管路</w:t>
      </w:r>
      <w:r>
        <w:rPr>
          <w:rFonts w:hint="default"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安装管路</w:t>
      </w:r>
      <w:r>
        <w:rPr>
          <w:rFonts w:hint="default"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开启上级闸阀</w:t>
      </w:r>
      <w:r>
        <w:rPr>
          <w:rFonts w:hint="eastAsia" w:ascii="仿宋" w:hAnsi="仿宋" w:eastAsia="仿宋" w:cs="仿宋"/>
          <w:color w:val="auto"/>
          <w:sz w:val="28"/>
          <w:szCs w:val="28"/>
          <w:lang w:eastAsia="zh-CN"/>
        </w:rPr>
        <w:t>。</w:t>
      </w:r>
    </w:p>
    <w:p w14:paraId="100276C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val="en-US" w:eastAsia="zh-CN"/>
        </w:rPr>
        <w:t>（二）</w:t>
      </w:r>
      <w:r>
        <w:rPr>
          <w:rFonts w:hint="default" w:ascii="仿宋" w:hAnsi="仿宋" w:eastAsia="仿宋" w:cs="仿宋"/>
          <w:color w:val="auto"/>
          <w:sz w:val="28"/>
          <w:szCs w:val="28"/>
          <w:lang w:eastAsia="zh-CN"/>
        </w:rPr>
        <w:t>机械维修工</w:t>
      </w:r>
      <w:r>
        <w:rPr>
          <w:rFonts w:hint="default" w:ascii="仿宋" w:hAnsi="仿宋" w:eastAsia="仿宋" w:cs="仿宋"/>
          <w:color w:val="auto"/>
          <w:sz w:val="28"/>
          <w:szCs w:val="28"/>
          <w:lang w:val="en-US" w:eastAsia="zh-CN"/>
        </w:rPr>
        <w:t>正规操作：</w:t>
      </w:r>
    </w:p>
    <w:p w14:paraId="0FD4F2D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val="en-US" w:eastAsia="zh-CN"/>
        </w:rPr>
        <w:t>1.</w:t>
      </w:r>
      <w:r>
        <w:rPr>
          <w:rFonts w:hint="default" w:ascii="仿宋" w:hAnsi="仿宋" w:eastAsia="仿宋" w:cs="仿宋"/>
          <w:color w:val="auto"/>
          <w:sz w:val="28"/>
          <w:szCs w:val="28"/>
          <w:lang w:eastAsia="zh-CN"/>
        </w:rPr>
        <w:t>更换管路确认</w:t>
      </w:r>
      <w:r>
        <w:rPr>
          <w:rFonts w:hint="default" w:ascii="仿宋" w:hAnsi="仿宋" w:eastAsia="仿宋" w:cs="仿宋"/>
          <w:color w:val="auto"/>
          <w:sz w:val="28"/>
          <w:szCs w:val="28"/>
          <w:lang w:val="en-US" w:eastAsia="zh-CN"/>
        </w:rPr>
        <w:t>：</w:t>
      </w:r>
    </w:p>
    <w:p w14:paraId="29729BF0">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确认管路位置、核实尺寸</w:t>
      </w:r>
      <w:r>
        <w:rPr>
          <w:rFonts w:hint="default" w:ascii="仿宋" w:hAnsi="仿宋" w:eastAsia="仿宋" w:cs="仿宋"/>
          <w:color w:val="auto"/>
          <w:sz w:val="28"/>
          <w:szCs w:val="28"/>
          <w:lang w:val="en-US" w:eastAsia="zh-CN"/>
        </w:rPr>
        <w:t>。</w:t>
      </w:r>
    </w:p>
    <w:p w14:paraId="41C3E671">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val="en-US" w:eastAsia="zh-CN"/>
        </w:rPr>
        <w:t>2.</w:t>
      </w:r>
      <w:r>
        <w:rPr>
          <w:rFonts w:hint="default" w:ascii="仿宋" w:hAnsi="仿宋" w:eastAsia="仿宋" w:cs="仿宋"/>
          <w:color w:val="auto"/>
          <w:sz w:val="28"/>
          <w:szCs w:val="28"/>
          <w:lang w:eastAsia="zh-CN"/>
        </w:rPr>
        <w:t>停上级闸阀</w:t>
      </w:r>
      <w:r>
        <w:rPr>
          <w:rFonts w:hint="default" w:ascii="仿宋" w:hAnsi="仿宋" w:eastAsia="仿宋" w:cs="仿宋"/>
          <w:color w:val="auto"/>
          <w:sz w:val="28"/>
          <w:szCs w:val="28"/>
          <w:lang w:val="en-US" w:eastAsia="zh-CN"/>
        </w:rPr>
        <w:t>：</w:t>
      </w:r>
    </w:p>
    <w:p w14:paraId="7E24D5FE">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将管路上级闸阀关闭。</w:t>
      </w:r>
      <w:r>
        <w:rPr>
          <w:rFonts w:hint="default" w:ascii="仿宋" w:hAnsi="仿宋" w:eastAsia="仿宋" w:cs="仿宋"/>
          <w:color w:val="auto"/>
          <w:sz w:val="28"/>
          <w:szCs w:val="28"/>
          <w:lang w:val="en-US" w:eastAsia="zh-CN"/>
        </w:rPr>
        <w:t>3.开眼：</w:t>
      </w:r>
    </w:p>
    <w:p w14:paraId="2760CFAA">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拆卸管路：</w:t>
      </w:r>
    </w:p>
    <w:p w14:paraId="363608B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需更换管路拆卸，达标。</w:t>
      </w:r>
    </w:p>
    <w:p w14:paraId="3A7ACCA6">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4.安装管路</w:t>
      </w:r>
      <w:r>
        <w:rPr>
          <w:rFonts w:hint="default" w:ascii="仿宋" w:hAnsi="仿宋" w:eastAsia="仿宋" w:cs="仿宋"/>
          <w:color w:val="auto"/>
          <w:sz w:val="28"/>
          <w:szCs w:val="28"/>
          <w:lang w:val="en-US" w:eastAsia="zh-CN"/>
        </w:rPr>
        <w:t>：</w:t>
      </w:r>
    </w:p>
    <w:p w14:paraId="4D64F611">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将新管路安装到位，保证平直，无泄漏。</w:t>
      </w:r>
    </w:p>
    <w:p w14:paraId="193F5015">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5.开启上级闸阀：</w:t>
      </w:r>
    </w:p>
    <w:p w14:paraId="4EDDFA2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缓慢开启上级闸阀。</w:t>
      </w:r>
    </w:p>
    <w:p w14:paraId="7231757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lang w:val="en-US" w:eastAsia="zh-CN"/>
        </w:rPr>
      </w:pPr>
      <w:r>
        <w:rPr>
          <w:rFonts w:hint="default" w:ascii="仿宋" w:hAnsi="仿宋" w:eastAsia="仿宋" w:cs="仿宋"/>
          <w:b/>
          <w:color w:val="auto"/>
          <w:sz w:val="28"/>
          <w:szCs w:val="28"/>
          <w:lang w:eastAsia="zh-CN"/>
        </w:rPr>
        <w:t>六、机械维修工</w:t>
      </w:r>
      <w:r>
        <w:rPr>
          <w:rFonts w:hint="eastAsia" w:ascii="仿宋" w:hAnsi="仿宋" w:eastAsia="仿宋" w:cs="仿宋"/>
          <w:b/>
          <w:color w:val="auto"/>
          <w:sz w:val="28"/>
          <w:szCs w:val="28"/>
          <w:lang w:val="en-US" w:eastAsia="zh-CN"/>
        </w:rPr>
        <w:t>操作</w:t>
      </w:r>
      <w:r>
        <w:rPr>
          <w:rFonts w:hint="default" w:ascii="仿宋" w:hAnsi="仿宋" w:eastAsia="仿宋" w:cs="仿宋"/>
          <w:b/>
          <w:color w:val="auto"/>
          <w:sz w:val="28"/>
          <w:szCs w:val="28"/>
          <w:lang w:eastAsia="zh-CN"/>
        </w:rPr>
        <w:t>过程</w:t>
      </w:r>
      <w:r>
        <w:rPr>
          <w:rFonts w:hint="eastAsia" w:ascii="仿宋" w:hAnsi="仿宋" w:eastAsia="仿宋" w:cs="仿宋"/>
          <w:b/>
          <w:color w:val="auto"/>
          <w:sz w:val="28"/>
          <w:szCs w:val="28"/>
          <w:lang w:val="en-US" w:eastAsia="zh-CN"/>
        </w:rPr>
        <w:t>中</w:t>
      </w:r>
      <w:r>
        <w:rPr>
          <w:rFonts w:hint="default" w:ascii="仿宋" w:hAnsi="仿宋" w:eastAsia="仿宋" w:cs="仿宋"/>
          <w:b/>
          <w:color w:val="auto"/>
          <w:sz w:val="28"/>
          <w:szCs w:val="28"/>
          <w:lang w:eastAsia="zh-CN"/>
        </w:rPr>
        <w:t>的</w:t>
      </w:r>
      <w:r>
        <w:rPr>
          <w:rFonts w:hint="eastAsia" w:ascii="仿宋" w:hAnsi="仿宋" w:eastAsia="仿宋" w:cs="仿宋"/>
          <w:b/>
          <w:color w:val="auto"/>
          <w:sz w:val="28"/>
          <w:szCs w:val="28"/>
          <w:lang w:val="en-US" w:eastAsia="zh-CN"/>
        </w:rPr>
        <w:t>注意事项</w:t>
      </w:r>
    </w:p>
    <w:p w14:paraId="441FF09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color w:val="auto"/>
          <w:sz w:val="28"/>
          <w:szCs w:val="28"/>
        </w:rPr>
      </w:pPr>
      <w:r>
        <w:rPr>
          <w:rFonts w:hint="default" w:ascii="仿宋" w:hAnsi="仿宋" w:eastAsia="仿宋" w:cs="仿宋"/>
          <w:b/>
          <w:bCs/>
          <w:color w:val="auto"/>
          <w:sz w:val="28"/>
          <w:szCs w:val="28"/>
        </w:rPr>
        <w:t>1.搬运：</w:t>
      </w:r>
      <w:r>
        <w:rPr>
          <w:rFonts w:hint="default" w:ascii="仿宋" w:hAnsi="仿宋" w:eastAsia="仿宋" w:cs="仿宋"/>
          <w:color w:val="auto"/>
          <w:sz w:val="28"/>
          <w:szCs w:val="28"/>
        </w:rPr>
        <w:t>防碰伤、摔伤。</w:t>
      </w:r>
    </w:p>
    <w:p w14:paraId="3116C5A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color w:val="auto"/>
          <w:sz w:val="28"/>
          <w:szCs w:val="28"/>
        </w:rPr>
      </w:pPr>
      <w:r>
        <w:rPr>
          <w:rFonts w:hint="default" w:ascii="仿宋" w:hAnsi="仿宋" w:eastAsia="仿宋" w:cs="仿宋"/>
          <w:b/>
          <w:bCs/>
          <w:color w:val="auto"/>
          <w:sz w:val="28"/>
          <w:szCs w:val="28"/>
        </w:rPr>
        <w:t>2.闸阀关闭：</w:t>
      </w:r>
      <w:r>
        <w:rPr>
          <w:rFonts w:hint="default" w:ascii="仿宋" w:hAnsi="仿宋" w:eastAsia="仿宋" w:cs="仿宋"/>
          <w:color w:val="auto"/>
          <w:sz w:val="28"/>
          <w:szCs w:val="28"/>
        </w:rPr>
        <w:t>确认需更换管路上级闸阀。</w:t>
      </w:r>
    </w:p>
    <w:p w14:paraId="145038DE">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color w:val="auto"/>
          <w:sz w:val="28"/>
          <w:szCs w:val="28"/>
        </w:rPr>
      </w:pPr>
      <w:r>
        <w:rPr>
          <w:rFonts w:hint="default" w:ascii="仿宋" w:hAnsi="仿宋" w:eastAsia="仿宋" w:cs="仿宋"/>
          <w:b/>
          <w:bCs/>
          <w:color w:val="auto"/>
          <w:sz w:val="28"/>
          <w:szCs w:val="28"/>
        </w:rPr>
        <w:t>3.卸压:</w:t>
      </w:r>
      <w:r>
        <w:rPr>
          <w:rFonts w:hint="default" w:ascii="仿宋" w:hAnsi="仿宋" w:eastAsia="仿宋" w:cs="仿宋"/>
          <w:color w:val="auto"/>
          <w:sz w:val="28"/>
          <w:szCs w:val="28"/>
        </w:rPr>
        <w:t>管路内无压力。</w:t>
      </w:r>
    </w:p>
    <w:p w14:paraId="7247A095">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color w:val="auto"/>
          <w:sz w:val="28"/>
          <w:szCs w:val="28"/>
        </w:rPr>
      </w:pPr>
      <w:r>
        <w:rPr>
          <w:rFonts w:hint="default" w:ascii="仿宋" w:hAnsi="仿宋" w:eastAsia="仿宋" w:cs="仿宋"/>
          <w:b/>
          <w:bCs/>
          <w:color w:val="auto"/>
          <w:sz w:val="28"/>
          <w:szCs w:val="28"/>
        </w:rPr>
        <w:t>4.安装：</w:t>
      </w:r>
      <w:r>
        <w:rPr>
          <w:rFonts w:hint="default" w:ascii="仿宋" w:hAnsi="仿宋" w:eastAsia="仿宋" w:cs="仿宋"/>
          <w:color w:val="auto"/>
          <w:sz w:val="28"/>
          <w:szCs w:val="28"/>
        </w:rPr>
        <w:t>防挤伤、碰伤。</w:t>
      </w:r>
    </w:p>
    <w:p w14:paraId="2444287F">
      <w:pPr>
        <w:keepNext w:val="0"/>
        <w:keepLines w:val="0"/>
        <w:pageBreakBefore w:val="0"/>
        <w:widowControl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lang w:eastAsia="zh-CN"/>
        </w:rPr>
      </w:pPr>
      <w:r>
        <w:rPr>
          <w:rFonts w:hint="default" w:ascii="仿宋" w:hAnsi="仿宋" w:eastAsia="仿宋" w:cs="仿宋"/>
          <w:b/>
          <w:color w:val="auto"/>
          <w:sz w:val="28"/>
          <w:szCs w:val="28"/>
          <w:lang w:eastAsia="zh-CN"/>
        </w:rPr>
        <w:t>七、</w:t>
      </w:r>
      <w:r>
        <w:rPr>
          <w:rFonts w:hint="eastAsia" w:ascii="仿宋" w:hAnsi="仿宋" w:eastAsia="仿宋" w:cs="仿宋"/>
          <w:b/>
          <w:color w:val="auto"/>
          <w:sz w:val="28"/>
          <w:szCs w:val="28"/>
          <w:lang w:eastAsia="zh-CN"/>
        </w:rPr>
        <w:t>作业后确认</w:t>
      </w:r>
    </w:p>
    <w:p w14:paraId="4F80CD86">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零部件连接：各零部件齐全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紧固</w:t>
      </w:r>
      <w:r>
        <w:rPr>
          <w:rFonts w:hint="eastAsia" w:ascii="仿宋" w:hAnsi="仿宋" w:eastAsia="仿宋" w:cs="仿宋"/>
          <w:color w:val="auto"/>
          <w:sz w:val="28"/>
          <w:szCs w:val="28"/>
        </w:rPr>
        <w:t>。</w:t>
      </w:r>
    </w:p>
    <w:p w14:paraId="3461358E">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工具、材料：工具已清点，无缺漏；材料</w:t>
      </w:r>
      <w:r>
        <w:rPr>
          <w:rFonts w:hint="eastAsia" w:ascii="仿宋" w:hAnsi="仿宋" w:eastAsia="仿宋" w:cs="仿宋"/>
          <w:color w:val="auto"/>
          <w:sz w:val="28"/>
          <w:szCs w:val="28"/>
          <w:lang w:val="en-US" w:eastAsia="zh-CN"/>
        </w:rPr>
        <w:t>及施工现场</w:t>
      </w:r>
      <w:r>
        <w:rPr>
          <w:rFonts w:hint="eastAsia" w:ascii="仿宋" w:hAnsi="仿宋" w:eastAsia="仿宋" w:cs="仿宋"/>
          <w:color w:val="auto"/>
          <w:sz w:val="28"/>
          <w:szCs w:val="28"/>
        </w:rPr>
        <w:t>已清理。</w:t>
      </w:r>
    </w:p>
    <w:p w14:paraId="1387B8A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color w:val="auto"/>
          <w:sz w:val="28"/>
          <w:szCs w:val="28"/>
          <w:lang w:eastAsia="zh-CN"/>
        </w:rPr>
      </w:pPr>
      <w:r>
        <w:rPr>
          <w:rFonts w:hint="default" w:ascii="仿宋" w:hAnsi="仿宋" w:eastAsia="仿宋" w:cs="仿宋"/>
          <w:b/>
          <w:color w:val="auto"/>
          <w:sz w:val="28"/>
          <w:szCs w:val="28"/>
          <w:lang w:eastAsia="zh-CN"/>
        </w:rPr>
        <w:t>八、全部注意事项</w:t>
      </w:r>
    </w:p>
    <w:p w14:paraId="4B7A686D">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14:paraId="38257201">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斜巷作业：斜巷作业时，上部车场各出口处，应设警示标志，倾角大于15°时，下方不得有人同时作业。</w:t>
      </w:r>
    </w:p>
    <w:p w14:paraId="6E98B40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3.</w:t>
      </w:r>
      <w:r>
        <w:rPr>
          <w:rFonts w:hint="eastAsia" w:ascii="仿宋" w:hAnsi="仿宋" w:eastAsia="仿宋" w:cs="仿宋"/>
          <w:color w:val="auto"/>
          <w:sz w:val="28"/>
          <w:szCs w:val="28"/>
        </w:rPr>
        <w:t>站位：时刻保证正确站位，远离运转部位及机车运行线路，确保退路畅通，注意顶帮支护安全。</w:t>
      </w:r>
    </w:p>
    <w:p w14:paraId="6F102B8D">
      <w:pPr>
        <w:pStyle w:val="18"/>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施工：切断金属物件时，必须做好防护。</w:t>
      </w:r>
    </w:p>
    <w:p w14:paraId="6E6D45CF">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lang w:val="en-US" w:eastAsia="zh-CN"/>
        </w:rPr>
      </w:pPr>
      <w:r>
        <w:rPr>
          <w:rFonts w:hint="default" w:ascii="仿宋" w:hAnsi="仿宋" w:eastAsia="仿宋" w:cs="仿宋"/>
          <w:b/>
          <w:color w:val="auto"/>
          <w:sz w:val="28"/>
          <w:szCs w:val="28"/>
          <w:lang w:eastAsia="zh-CN"/>
        </w:rPr>
        <w:t>九、</w:t>
      </w:r>
      <w:r>
        <w:rPr>
          <w:rFonts w:hint="eastAsia" w:ascii="仿宋" w:hAnsi="仿宋" w:eastAsia="仿宋" w:cs="仿宋"/>
          <w:b/>
          <w:color w:val="auto"/>
          <w:sz w:val="28"/>
          <w:szCs w:val="28"/>
          <w:lang w:val="en-US" w:eastAsia="zh-CN"/>
        </w:rPr>
        <w:t>事故案例</w:t>
      </w:r>
    </w:p>
    <w:p w14:paraId="4B6A1D4A">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rPr>
        <w:t xml:space="preserve">事故经过：2009年7月2日早班约12：55分，运输工区电机车司机在副井空车线把开关车及其他物料连接后，开车送往集中片，当班班长发现后追赶，在东大巷集中石门处追上机车，当即安排司机把开关车顶入2#仓北道，其他物料车顶入集中石门，然后再把开关车拉出。13：10分，在从2#仓北道拉开关车的过程中将集中牛鼻子处的供水管路挂断，至16：00处理好供水管路，恢复生产，影响生产时间2小时50分钟。 </w:t>
      </w:r>
    </w:p>
    <w:p w14:paraId="4E3A8719">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原因分析：</w:t>
      </w:r>
    </w:p>
    <w:p w14:paraId="37F734A6">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运输工区整体系统管理秩序差，精细管理程度较低，沟通联系不到位，工作不研究、不分析</w:t>
      </w:r>
      <w:r>
        <w:rPr>
          <w:rFonts w:hint="eastAsia" w:ascii="仿宋" w:hAnsi="仿宋" w:eastAsia="仿宋" w:cs="仿宋"/>
          <w:color w:val="auto"/>
          <w:sz w:val="28"/>
          <w:szCs w:val="28"/>
          <w:lang w:eastAsia="zh-CN"/>
        </w:rPr>
        <w:t>。</w:t>
      </w:r>
    </w:p>
    <w:p w14:paraId="74066EA5">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电机车司机综合素质低，责任心差，工作粗枝大略，存在着“四躁”现象。</w:t>
      </w:r>
    </w:p>
    <w:p w14:paraId="16010063">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default" w:ascii="仿宋" w:hAnsi="仿宋" w:eastAsia="仿宋" w:cs="仿宋"/>
          <w:color w:val="auto"/>
          <w:sz w:val="28"/>
          <w:szCs w:val="28"/>
          <w:lang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 xml:space="preserve">专业管理不到位，对此项工作重视程度不够，督导不力。也是事故发生的一个原因。 </w:t>
      </w:r>
    </w:p>
    <w:p w14:paraId="52C7753A">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防范措施：</w:t>
      </w:r>
    </w:p>
    <w:p w14:paraId="3C5189C2">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运输工区要严把特殊材料、设备下井关</w:t>
      </w:r>
      <w:r>
        <w:rPr>
          <w:rFonts w:hint="eastAsia" w:ascii="仿宋" w:hAnsi="仿宋" w:eastAsia="仿宋" w:cs="仿宋"/>
          <w:color w:val="auto"/>
          <w:sz w:val="28"/>
          <w:szCs w:val="28"/>
          <w:lang w:eastAsia="zh-CN"/>
        </w:rPr>
        <w:t>。</w:t>
      </w:r>
    </w:p>
    <w:p w14:paraId="526E7F34">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着力加强员工教育培训，提高员工素质。加强交接班期间的管理。</w:t>
      </w:r>
    </w:p>
    <w:p w14:paraId="7C9B6BB8">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bCs/>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运输工区立即开展一次打击“四躁”活动，深刻剖析工作过程中存在的“四躁”现象。</w:t>
      </w:r>
    </w:p>
    <w:p w14:paraId="375C377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default" w:ascii="仿宋" w:hAnsi="仿宋" w:eastAsia="仿宋" w:cs="仿宋"/>
          <w:b/>
          <w:color w:val="auto"/>
          <w:sz w:val="28"/>
          <w:szCs w:val="28"/>
        </w:rPr>
        <w:t>十、</w:t>
      </w:r>
      <w:r>
        <w:rPr>
          <w:rFonts w:hint="eastAsia" w:ascii="仿宋" w:hAnsi="仿宋" w:eastAsia="仿宋" w:cs="仿宋"/>
          <w:b/>
          <w:color w:val="auto"/>
          <w:sz w:val="28"/>
          <w:szCs w:val="28"/>
        </w:rPr>
        <w:t>常见三违</w:t>
      </w:r>
    </w:p>
    <w:p w14:paraId="237C5ED3">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sz w:val="28"/>
          <w:szCs w:val="28"/>
        </w:rPr>
        <w:t>（一）</w:t>
      </w:r>
      <w:r>
        <w:rPr>
          <w:rFonts w:hint="eastAsia" w:ascii="仿宋" w:hAnsi="仿宋" w:eastAsia="仿宋" w:cs="仿宋"/>
          <w:color w:val="auto"/>
          <w:sz w:val="28"/>
          <w:szCs w:val="28"/>
        </w:rPr>
        <w:t>安排未通过规程、措施学习考试、签字的职工上岗作业</w:t>
      </w:r>
      <w:r>
        <w:rPr>
          <w:rFonts w:hint="eastAsia" w:ascii="仿宋" w:hAnsi="仿宋" w:eastAsia="仿宋" w:cs="仿宋"/>
          <w:color w:val="auto"/>
          <w:sz w:val="28"/>
          <w:szCs w:val="28"/>
          <w:lang w:eastAsia="zh-CN"/>
        </w:rPr>
        <w:t>；</w:t>
      </w:r>
    </w:p>
    <w:p w14:paraId="7E23F85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sz w:val="28"/>
          <w:szCs w:val="28"/>
        </w:rPr>
        <w:t>（二）</w:t>
      </w:r>
      <w:r>
        <w:rPr>
          <w:rFonts w:hint="eastAsia" w:ascii="仿宋" w:hAnsi="仿宋" w:eastAsia="仿宋" w:cs="仿宋"/>
          <w:color w:val="auto"/>
          <w:sz w:val="28"/>
          <w:szCs w:val="28"/>
        </w:rPr>
        <w:t>对抵制或举报制止违章的人员进行打击报复</w:t>
      </w:r>
      <w:r>
        <w:rPr>
          <w:rFonts w:hint="eastAsia" w:ascii="仿宋" w:hAnsi="仿宋" w:eastAsia="仿宋" w:cs="仿宋"/>
          <w:color w:val="auto"/>
          <w:sz w:val="28"/>
          <w:szCs w:val="28"/>
          <w:lang w:eastAsia="zh-CN"/>
        </w:rPr>
        <w:t>；</w:t>
      </w:r>
    </w:p>
    <w:p w14:paraId="407F9CE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sz w:val="28"/>
          <w:szCs w:val="28"/>
        </w:rPr>
        <w:t>（三）</w:t>
      </w:r>
      <w:r>
        <w:rPr>
          <w:rFonts w:hint="eastAsia" w:ascii="仿宋" w:hAnsi="仿宋" w:eastAsia="仿宋" w:cs="仿宋"/>
          <w:color w:val="auto"/>
          <w:sz w:val="28"/>
          <w:szCs w:val="28"/>
        </w:rPr>
        <w:t>现场存在事故隐患尚未处理，强令工人冒险作业</w:t>
      </w:r>
      <w:r>
        <w:rPr>
          <w:rFonts w:hint="eastAsia" w:ascii="仿宋" w:hAnsi="仿宋" w:eastAsia="仿宋" w:cs="仿宋"/>
          <w:color w:val="auto"/>
          <w:sz w:val="28"/>
          <w:szCs w:val="28"/>
          <w:lang w:eastAsia="zh-CN"/>
        </w:rPr>
        <w:t>；</w:t>
      </w:r>
    </w:p>
    <w:p w14:paraId="2BF14D0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（四）</w:t>
      </w:r>
      <w:r>
        <w:rPr>
          <w:rFonts w:hint="eastAsia" w:ascii="仿宋" w:hAnsi="仿宋" w:eastAsia="仿宋" w:cs="仿宋"/>
          <w:color w:val="auto"/>
          <w:sz w:val="28"/>
          <w:szCs w:val="28"/>
        </w:rPr>
        <w:t>携带烟草和点火物品（手机），穿化纤衣服入井或入井前饮酒的；</w:t>
      </w:r>
    </w:p>
    <w:p w14:paraId="1E52C7B2">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（五）</w:t>
      </w:r>
      <w:r>
        <w:rPr>
          <w:rFonts w:hint="eastAsia" w:ascii="仿宋" w:hAnsi="仿宋" w:eastAsia="仿宋" w:cs="仿宋"/>
          <w:color w:val="auto"/>
          <w:sz w:val="28"/>
          <w:szCs w:val="28"/>
        </w:rPr>
        <w:t>无证上岗、证件过期的；</w:t>
      </w:r>
    </w:p>
    <w:p w14:paraId="65FD0473">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（六）</w:t>
      </w:r>
      <w:r>
        <w:rPr>
          <w:rFonts w:hint="eastAsia" w:ascii="仿宋" w:hAnsi="仿宋" w:eastAsia="仿宋" w:cs="仿宋"/>
          <w:color w:val="auto"/>
          <w:sz w:val="28"/>
          <w:szCs w:val="28"/>
        </w:rPr>
        <w:t>违反“行车不行人，行人不行车”制度的；</w:t>
      </w:r>
    </w:p>
    <w:p w14:paraId="71F81C7D">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（七）</w:t>
      </w:r>
      <w:r>
        <w:rPr>
          <w:rFonts w:hint="eastAsia" w:ascii="仿宋" w:hAnsi="仿宋" w:eastAsia="仿宋" w:cs="仿宋"/>
          <w:color w:val="auto"/>
          <w:sz w:val="28"/>
          <w:szCs w:val="28"/>
        </w:rPr>
        <w:t>人力推车放飞车或在坡度大于7‰的巷道内人力推车的；</w:t>
      </w:r>
    </w:p>
    <w:p w14:paraId="0A8BAA75">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因违章作业或现场存在隐患被悬挂“停止作业”牌而继续作业或私自摘掉“停止作业”牌的；</w:t>
      </w:r>
    </w:p>
    <w:p w14:paraId="18D9B89C">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九</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井下打架斗殴的；</w:t>
      </w:r>
    </w:p>
    <w:p w14:paraId="0D8372F1">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对“三违”处罚无理取闹或辱骂安监员、管理人员的；</w:t>
      </w:r>
    </w:p>
    <w:p w14:paraId="47C4D934">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十一</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起吊或拉移重物时，在重物下方或可能倒向的位置工作或逗留的；</w:t>
      </w:r>
    </w:p>
    <w:p w14:paraId="3CA0B6E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私自打开栅栏、密闭或擅自进入栅栏区、无风区及带有警示标志危险区的；</w:t>
      </w:r>
    </w:p>
    <w:p w14:paraId="72B2239F">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跨越运行的皮带不走过桥的；</w:t>
      </w:r>
    </w:p>
    <w:p w14:paraId="7EC57E88">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带压拆卸风水管路的；</w:t>
      </w:r>
    </w:p>
    <w:p w14:paraId="3C6F8E70">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乘罐或行走期间起哄，人为造成人员拥挤的；</w:t>
      </w:r>
    </w:p>
    <w:p w14:paraId="4ABBD1DA">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不按规定路线行走的；</w:t>
      </w:r>
    </w:p>
    <w:p w14:paraId="529B89D6">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斜巷运输巷道片盘口、上、下车场蹲坐、逗留的；</w:t>
      </w:r>
    </w:p>
    <w:p w14:paraId="2C3788AE">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不按规定乘坐架空乘人装置的；</w:t>
      </w:r>
    </w:p>
    <w:p w14:paraId="28D8E978">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十九</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过风门未及时关闭的；</w:t>
      </w:r>
    </w:p>
    <w:p w14:paraId="7E41DDD5">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风水管不正常使用U型卡的；</w:t>
      </w:r>
    </w:p>
    <w:p w14:paraId="3A384645">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二十一</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未按规定携带瓦斯便携仪的；</w:t>
      </w:r>
    </w:p>
    <w:p w14:paraId="379224B7">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各类回头轮、起吊钩头无防脱闭锁或闭锁失效、不完好的；</w:t>
      </w:r>
    </w:p>
    <w:p w14:paraId="05AD831F">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物料存放固定不牢的；</w:t>
      </w:r>
    </w:p>
    <w:p w14:paraId="64B1285A">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携带非防爆电子产品入井的；</w:t>
      </w:r>
    </w:p>
    <w:p w14:paraId="67FE5CDD">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违反安装“六不准”要求的（①绳道内不准有人；②回头轮三角区内不准有人；③起吊重物时，重物下方及周围不准有人；④运输时，车的两侧及下方不准有人；⑤弯道内侧不准有人；⑥过变坡点时，绞车不准有余绳）；</w:t>
      </w:r>
    </w:p>
    <w:p w14:paraId="4A8E764F">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吊装（卸）时，被吊装（卸）物上方、下方或周围附近以及受外力运动的方向上有人的；</w:t>
      </w:r>
    </w:p>
    <w:p w14:paraId="6DF5A28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其他违反《煤矿安全规程》、《操作规程》及《作业规程》等有关规定的。</w:t>
      </w:r>
    </w:p>
    <w:p w14:paraId="6EF4CCE2">
      <w:pPr>
        <w:rPr>
          <w:rFonts w:hint="eastAsia" w:cs="Times New Roman"/>
          <w:color w:val="auto"/>
          <w:lang w:val="en-US" w:eastAsia="zh-CN"/>
        </w:rPr>
      </w:pPr>
      <w:bookmarkStart w:id="361" w:name="_Toc9167"/>
      <w:bookmarkStart w:id="362" w:name="_Toc16929"/>
      <w:bookmarkStart w:id="363" w:name="_Toc31075"/>
      <w:r>
        <w:rPr>
          <w:rFonts w:hint="eastAsia" w:cs="Times New Roman"/>
          <w:color w:val="auto"/>
          <w:lang w:val="en-US" w:eastAsia="zh-CN"/>
        </w:rPr>
        <w:br w:type="page"/>
      </w:r>
    </w:p>
    <w:p w14:paraId="37AF8B57">
      <w:pPr>
        <w:pStyle w:val="17"/>
        <w:bidi w:val="0"/>
        <w:outlineLvl w:val="1"/>
        <w:rPr>
          <w:rFonts w:hint="eastAsia" w:cs="Times New Roman"/>
          <w:color w:val="auto"/>
          <w:lang w:val="en-US" w:eastAsia="zh-CN"/>
        </w:rPr>
      </w:pPr>
      <w:bookmarkStart w:id="364" w:name="_Toc5261"/>
      <w:r>
        <w:rPr>
          <w:rFonts w:hint="eastAsia" w:cs="Times New Roman"/>
          <w:color w:val="auto"/>
          <w:lang w:val="en-US" w:eastAsia="zh-CN"/>
        </w:rPr>
        <w:t>水泵工</w:t>
      </w:r>
      <w:bookmarkEnd w:id="361"/>
      <w:bookmarkEnd w:id="362"/>
      <w:bookmarkEnd w:id="363"/>
      <w:bookmarkEnd w:id="364"/>
    </w:p>
    <w:tbl>
      <w:tblPr>
        <w:tblStyle w:val="12"/>
        <w:tblW w:w="9268" w:type="dxa"/>
        <w:jc w:val="center"/>
        <w:tblLayout w:type="fixed"/>
        <w:tblCellMar>
          <w:top w:w="0" w:type="dxa"/>
          <w:left w:w="108" w:type="dxa"/>
          <w:bottom w:w="0" w:type="dxa"/>
          <w:right w:w="108" w:type="dxa"/>
        </w:tblCellMar>
      </w:tblPr>
      <w:tblGrid>
        <w:gridCol w:w="1520"/>
        <w:gridCol w:w="1934"/>
        <w:gridCol w:w="1560"/>
        <w:gridCol w:w="4254"/>
      </w:tblGrid>
      <w:tr w14:paraId="1C3FE7B1">
        <w:tblPrEx>
          <w:tblCellMar>
            <w:top w:w="0" w:type="dxa"/>
            <w:left w:w="108" w:type="dxa"/>
            <w:bottom w:w="0" w:type="dxa"/>
            <w:right w:w="108" w:type="dxa"/>
          </w:tblCellMar>
        </w:tblPrEx>
        <w:trPr>
          <w:trHeight w:val="641" w:hRule="atLeast"/>
          <w:jc w:val="center"/>
        </w:trPr>
        <w:tc>
          <w:tcPr>
            <w:tcW w:w="9268" w:type="dxa"/>
            <w:gridSpan w:val="4"/>
            <w:tcBorders>
              <w:top w:val="single" w:color="auto" w:sz="4" w:space="0"/>
              <w:left w:val="single" w:color="auto" w:sz="4" w:space="0"/>
              <w:bottom w:val="single" w:color="auto" w:sz="4" w:space="0"/>
              <w:right w:val="single" w:color="auto" w:sz="4" w:space="0"/>
            </w:tcBorders>
            <w:vAlign w:val="center"/>
          </w:tcPr>
          <w:p w14:paraId="2433A66E">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kern w:val="0"/>
                <w:sz w:val="21"/>
                <w:szCs w:val="21"/>
              </w:rPr>
            </w:pPr>
            <w:r>
              <w:rPr>
                <w:rFonts w:hint="eastAsia" w:ascii="仿宋" w:hAnsi="仿宋" w:eastAsia="仿宋" w:cs="仿宋"/>
                <w:b w:val="0"/>
                <w:bCs w:val="0"/>
                <w:color w:val="auto"/>
                <w:kern w:val="0"/>
                <w:sz w:val="21"/>
                <w:szCs w:val="21"/>
                <w:lang w:val="en-US" w:eastAsia="zh-CN"/>
              </w:rPr>
              <w:t>水泵工</w:t>
            </w:r>
            <w:r>
              <w:rPr>
                <w:rFonts w:hint="eastAsia" w:ascii="仿宋" w:hAnsi="仿宋" w:eastAsia="仿宋" w:cs="仿宋"/>
                <w:b w:val="0"/>
                <w:bCs w:val="0"/>
                <w:color w:val="auto"/>
                <w:kern w:val="0"/>
                <w:sz w:val="21"/>
                <w:szCs w:val="21"/>
              </w:rPr>
              <w:t>风险告知卡</w:t>
            </w:r>
          </w:p>
        </w:tc>
      </w:tr>
      <w:tr w14:paraId="7712F34A">
        <w:tblPrEx>
          <w:tblCellMar>
            <w:top w:w="0" w:type="dxa"/>
            <w:left w:w="108" w:type="dxa"/>
            <w:bottom w:w="0" w:type="dxa"/>
            <w:right w:w="108" w:type="dxa"/>
          </w:tblCellMar>
        </w:tblPrEx>
        <w:trPr>
          <w:trHeight w:val="794" w:hRule="atLeast"/>
          <w:jc w:val="center"/>
        </w:trPr>
        <w:tc>
          <w:tcPr>
            <w:tcW w:w="1520" w:type="dxa"/>
            <w:tcBorders>
              <w:top w:val="nil"/>
              <w:left w:val="single" w:color="auto" w:sz="4" w:space="0"/>
              <w:bottom w:val="single" w:color="auto" w:sz="4" w:space="0"/>
              <w:right w:val="single" w:color="auto" w:sz="4" w:space="0"/>
            </w:tcBorders>
            <w:vAlign w:val="center"/>
          </w:tcPr>
          <w:p w14:paraId="03D933C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5693442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1934" w:type="dxa"/>
            <w:tcBorders>
              <w:top w:val="nil"/>
              <w:left w:val="nil"/>
              <w:bottom w:val="single" w:color="auto" w:sz="4" w:space="0"/>
              <w:right w:val="single" w:color="auto" w:sz="4" w:space="0"/>
            </w:tcBorders>
            <w:vAlign w:val="center"/>
          </w:tcPr>
          <w:p w14:paraId="0492353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机电、物体打击、职业病危害</w:t>
            </w:r>
          </w:p>
        </w:tc>
        <w:tc>
          <w:tcPr>
            <w:tcW w:w="1560" w:type="dxa"/>
            <w:tcBorders>
              <w:top w:val="nil"/>
              <w:left w:val="nil"/>
              <w:bottom w:val="single" w:color="auto" w:sz="4" w:space="0"/>
              <w:right w:val="single" w:color="auto" w:sz="4" w:space="0"/>
            </w:tcBorders>
            <w:vAlign w:val="center"/>
          </w:tcPr>
          <w:p w14:paraId="410665E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71521A0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254" w:type="dxa"/>
            <w:tcBorders>
              <w:top w:val="nil"/>
              <w:left w:val="nil"/>
              <w:bottom w:val="single" w:color="auto" w:sz="4" w:space="0"/>
              <w:right w:val="single" w:color="auto" w:sz="4" w:space="0"/>
            </w:tcBorders>
            <w:vAlign w:val="center"/>
          </w:tcPr>
          <w:p w14:paraId="2E9A2FA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val="en-US" w:eastAsia="zh-CN"/>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工区值班：80</w:t>
            </w:r>
            <w:r>
              <w:rPr>
                <w:rFonts w:hint="eastAsia" w:ascii="仿宋" w:hAnsi="仿宋" w:eastAsia="仿宋" w:cs="仿宋"/>
                <w:color w:val="auto"/>
                <w:kern w:val="0"/>
                <w:sz w:val="21"/>
                <w:szCs w:val="21"/>
                <w:lang w:val="en-US" w:eastAsia="zh-CN"/>
              </w:rPr>
              <w:t>50473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22C10D51">
        <w:tblPrEx>
          <w:tblCellMar>
            <w:top w:w="0" w:type="dxa"/>
            <w:left w:w="108" w:type="dxa"/>
            <w:bottom w:w="0" w:type="dxa"/>
            <w:right w:w="108" w:type="dxa"/>
          </w:tblCellMar>
        </w:tblPrEx>
        <w:trPr>
          <w:trHeight w:val="443"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14:paraId="5907E17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814" w:type="dxa"/>
            <w:gridSpan w:val="2"/>
            <w:tcBorders>
              <w:top w:val="single" w:color="auto" w:sz="4" w:space="0"/>
              <w:left w:val="nil"/>
              <w:bottom w:val="single" w:color="auto" w:sz="4" w:space="0"/>
              <w:right w:val="single" w:color="auto" w:sz="4" w:space="0"/>
            </w:tcBorders>
            <w:vAlign w:val="center"/>
          </w:tcPr>
          <w:p w14:paraId="61DBF64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3B08E470">
        <w:tblPrEx>
          <w:tblCellMar>
            <w:top w:w="0" w:type="dxa"/>
            <w:left w:w="108" w:type="dxa"/>
            <w:bottom w:w="0" w:type="dxa"/>
            <w:right w:w="108" w:type="dxa"/>
          </w:tblCellMar>
        </w:tblPrEx>
        <w:trPr>
          <w:trHeight w:val="290"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14:paraId="36D6FC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未持证上岗；不按照操作规程操作设备</w:t>
            </w:r>
            <w:r>
              <w:rPr>
                <w:rFonts w:hint="eastAsia" w:ascii="仿宋" w:hAnsi="仿宋" w:eastAsia="仿宋" w:cs="仿宋"/>
                <w:color w:val="auto"/>
                <w:kern w:val="0"/>
                <w:sz w:val="21"/>
                <w:szCs w:val="21"/>
                <w:lang w:eastAsia="zh-CN"/>
              </w:rPr>
              <w:t>。</w:t>
            </w:r>
          </w:p>
        </w:tc>
        <w:tc>
          <w:tcPr>
            <w:tcW w:w="5814" w:type="dxa"/>
            <w:gridSpan w:val="2"/>
            <w:tcBorders>
              <w:top w:val="single" w:color="auto" w:sz="4" w:space="0"/>
              <w:left w:val="nil"/>
              <w:bottom w:val="single" w:color="auto" w:sz="4" w:space="0"/>
              <w:right w:val="single" w:color="auto" w:sz="4" w:space="0"/>
            </w:tcBorders>
            <w:vAlign w:val="center"/>
          </w:tcPr>
          <w:p w14:paraId="719712C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经培训合格后，持证上岗；严格按照操作规程操作设备</w:t>
            </w:r>
            <w:r>
              <w:rPr>
                <w:rFonts w:hint="eastAsia" w:ascii="仿宋" w:hAnsi="仿宋" w:eastAsia="仿宋" w:cs="仿宋"/>
                <w:color w:val="auto"/>
                <w:kern w:val="0"/>
                <w:sz w:val="21"/>
                <w:szCs w:val="21"/>
                <w:lang w:eastAsia="zh-CN"/>
              </w:rPr>
              <w:t>。</w:t>
            </w:r>
          </w:p>
        </w:tc>
      </w:tr>
      <w:tr w14:paraId="1AB33375">
        <w:tblPrEx>
          <w:tblCellMar>
            <w:top w:w="0" w:type="dxa"/>
            <w:left w:w="108" w:type="dxa"/>
            <w:bottom w:w="0" w:type="dxa"/>
            <w:right w:w="108" w:type="dxa"/>
          </w:tblCellMar>
        </w:tblPrEx>
        <w:trPr>
          <w:trHeight w:val="672"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14:paraId="2CB26E2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人员靠近转动部位，护罩或遮拦等不完好</w:t>
            </w:r>
            <w:r>
              <w:rPr>
                <w:rFonts w:hint="eastAsia" w:ascii="仿宋" w:hAnsi="仿宋" w:eastAsia="仿宋" w:cs="仿宋"/>
                <w:color w:val="auto"/>
                <w:kern w:val="0"/>
                <w:sz w:val="21"/>
                <w:szCs w:val="21"/>
                <w:lang w:eastAsia="zh-CN"/>
              </w:rPr>
              <w:t>。</w:t>
            </w:r>
          </w:p>
        </w:tc>
        <w:tc>
          <w:tcPr>
            <w:tcW w:w="5814" w:type="dxa"/>
            <w:gridSpan w:val="2"/>
            <w:tcBorders>
              <w:top w:val="single" w:color="auto" w:sz="4" w:space="0"/>
              <w:left w:val="nil"/>
              <w:bottom w:val="single" w:color="auto" w:sz="4" w:space="0"/>
              <w:right w:val="single" w:color="auto" w:sz="4" w:space="0"/>
            </w:tcBorders>
            <w:vAlign w:val="center"/>
          </w:tcPr>
          <w:p w14:paraId="73CE0A7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保持护罩或遮拦等防护设施完好，运转时保持安全距离</w:t>
            </w:r>
            <w:r>
              <w:rPr>
                <w:rFonts w:hint="eastAsia" w:ascii="仿宋" w:hAnsi="仿宋" w:eastAsia="仿宋" w:cs="仿宋"/>
                <w:color w:val="auto"/>
                <w:kern w:val="0"/>
                <w:sz w:val="21"/>
                <w:szCs w:val="21"/>
                <w:lang w:eastAsia="zh-CN"/>
              </w:rPr>
              <w:t>。</w:t>
            </w:r>
          </w:p>
        </w:tc>
      </w:tr>
      <w:tr w14:paraId="052805AB">
        <w:tblPrEx>
          <w:tblCellMar>
            <w:top w:w="0" w:type="dxa"/>
            <w:left w:w="108" w:type="dxa"/>
            <w:bottom w:w="0" w:type="dxa"/>
            <w:right w:w="108" w:type="dxa"/>
          </w:tblCellMar>
        </w:tblPrEx>
        <w:trPr>
          <w:trHeight w:val="733"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14:paraId="1E500B5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带电的设备触电伤人</w:t>
            </w:r>
            <w:r>
              <w:rPr>
                <w:rFonts w:hint="eastAsia" w:ascii="仿宋" w:hAnsi="仿宋" w:eastAsia="仿宋" w:cs="仿宋"/>
                <w:color w:val="auto"/>
                <w:kern w:val="0"/>
                <w:sz w:val="21"/>
                <w:szCs w:val="21"/>
                <w:lang w:eastAsia="zh-CN"/>
              </w:rPr>
              <w:t>。</w:t>
            </w:r>
          </w:p>
        </w:tc>
        <w:tc>
          <w:tcPr>
            <w:tcW w:w="5814" w:type="dxa"/>
            <w:gridSpan w:val="2"/>
            <w:tcBorders>
              <w:top w:val="single" w:color="auto" w:sz="4" w:space="0"/>
              <w:left w:val="nil"/>
              <w:bottom w:val="single" w:color="auto" w:sz="4" w:space="0"/>
              <w:right w:val="single" w:color="auto" w:sz="4" w:space="0"/>
            </w:tcBorders>
            <w:vAlign w:val="center"/>
          </w:tcPr>
          <w:p w14:paraId="577EFE3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与带电体保持安全距离，不擅自接触电气设备，坚持使用保护接地</w:t>
            </w:r>
            <w:r>
              <w:rPr>
                <w:rFonts w:hint="eastAsia" w:ascii="仿宋" w:hAnsi="仿宋" w:eastAsia="仿宋" w:cs="仿宋"/>
                <w:color w:val="auto"/>
                <w:kern w:val="0"/>
                <w:sz w:val="21"/>
                <w:szCs w:val="21"/>
                <w:lang w:eastAsia="zh-CN"/>
              </w:rPr>
              <w:t>。</w:t>
            </w:r>
          </w:p>
        </w:tc>
      </w:tr>
      <w:tr w14:paraId="33659540">
        <w:tblPrEx>
          <w:tblCellMar>
            <w:top w:w="0" w:type="dxa"/>
            <w:left w:w="108" w:type="dxa"/>
            <w:bottom w:w="0" w:type="dxa"/>
            <w:right w:w="108" w:type="dxa"/>
          </w:tblCellMar>
        </w:tblPrEx>
        <w:trPr>
          <w:trHeight w:val="733"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14:paraId="6E96A74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开机前未确认设备附近是否有人。</w:t>
            </w:r>
          </w:p>
        </w:tc>
        <w:tc>
          <w:tcPr>
            <w:tcW w:w="5814" w:type="dxa"/>
            <w:gridSpan w:val="2"/>
            <w:tcBorders>
              <w:top w:val="single" w:color="auto" w:sz="4" w:space="0"/>
              <w:left w:val="nil"/>
              <w:bottom w:val="single" w:color="auto" w:sz="4" w:space="0"/>
              <w:right w:val="single" w:color="auto" w:sz="4" w:space="0"/>
            </w:tcBorders>
            <w:vAlign w:val="center"/>
          </w:tcPr>
          <w:p w14:paraId="28C6C37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开机前确认开机设备范围内有无人员。</w:t>
            </w:r>
          </w:p>
        </w:tc>
      </w:tr>
      <w:tr w14:paraId="199DF41C">
        <w:tblPrEx>
          <w:tblCellMar>
            <w:top w:w="0" w:type="dxa"/>
            <w:left w:w="108" w:type="dxa"/>
            <w:bottom w:w="0" w:type="dxa"/>
            <w:right w:w="108" w:type="dxa"/>
          </w:tblCellMar>
        </w:tblPrEx>
        <w:trPr>
          <w:trHeight w:val="1145" w:hRule="atLeast"/>
          <w:jc w:val="center"/>
        </w:trPr>
        <w:tc>
          <w:tcPr>
            <w:tcW w:w="1520" w:type="dxa"/>
            <w:tcBorders>
              <w:top w:val="nil"/>
              <w:left w:val="single" w:color="auto" w:sz="4" w:space="0"/>
              <w:bottom w:val="single" w:color="auto" w:sz="4" w:space="0"/>
              <w:right w:val="single" w:color="auto" w:sz="4" w:space="0"/>
            </w:tcBorders>
            <w:vAlign w:val="center"/>
          </w:tcPr>
          <w:p w14:paraId="68FEFCAB">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1260ED61">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48" w:type="dxa"/>
            <w:gridSpan w:val="3"/>
            <w:tcBorders>
              <w:top w:val="single" w:color="auto" w:sz="4" w:space="0"/>
              <w:left w:val="nil"/>
              <w:bottom w:val="single" w:color="auto" w:sz="4" w:space="0"/>
              <w:right w:val="single" w:color="auto" w:sz="4" w:space="0"/>
            </w:tcBorders>
            <w:vAlign w:val="center"/>
          </w:tcPr>
          <w:p w14:paraId="2059C7DD">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4524A4A7">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7C647C2C">
        <w:tblPrEx>
          <w:tblCellMar>
            <w:top w:w="0" w:type="dxa"/>
            <w:left w:w="108" w:type="dxa"/>
            <w:bottom w:w="0" w:type="dxa"/>
            <w:right w:w="108" w:type="dxa"/>
          </w:tblCellMar>
        </w:tblPrEx>
        <w:trPr>
          <w:trHeight w:val="1650" w:hRule="atLeast"/>
          <w:jc w:val="center"/>
        </w:trPr>
        <w:tc>
          <w:tcPr>
            <w:tcW w:w="1520" w:type="dxa"/>
            <w:tcBorders>
              <w:top w:val="nil"/>
              <w:left w:val="single" w:color="auto" w:sz="4" w:space="0"/>
              <w:bottom w:val="single" w:color="auto" w:sz="4" w:space="0"/>
              <w:right w:val="single" w:color="auto" w:sz="4" w:space="0"/>
            </w:tcBorders>
            <w:vAlign w:val="center"/>
          </w:tcPr>
          <w:p w14:paraId="556E71B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60241D2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7C39335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748" w:type="dxa"/>
            <w:gridSpan w:val="3"/>
            <w:tcBorders>
              <w:top w:val="single" w:color="auto" w:sz="4" w:space="0"/>
              <w:left w:val="nil"/>
              <w:bottom w:val="single" w:color="auto" w:sz="4" w:space="0"/>
              <w:right w:val="single" w:color="auto" w:sz="4" w:space="0"/>
            </w:tcBorders>
            <w:vAlign w:val="center"/>
          </w:tcPr>
          <w:p w14:paraId="284004D0">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出现紧急情况时，应立即停止工作，采取安全处理后，方可继续施工。</w:t>
            </w:r>
          </w:p>
          <w:p w14:paraId="3A99C24E">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突发事故时，现场人员应立即采取有效措施安全避险，并及时向矿调度室汇报灾情，通知现场带班人员和班组长。听从安排，积极开展现场急救、互救工作，有序撤离。</w:t>
            </w:r>
          </w:p>
          <w:p w14:paraId="2D420CCF">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撤退前断开与救灾无关的电源，告知矿调度避灾行走路线与目的地。</w:t>
            </w:r>
          </w:p>
        </w:tc>
      </w:tr>
    </w:tbl>
    <w:p w14:paraId="24B495F9">
      <w:pPr>
        <w:pStyle w:val="4"/>
        <w:pageBreakBefore w:val="0"/>
        <w:kinsoku/>
        <w:wordWrap/>
        <w:overflowPunct/>
        <w:topLinePunct w:val="0"/>
        <w:autoSpaceDE/>
        <w:autoSpaceDN/>
        <w:bidi w:val="0"/>
        <w:adjustRightInd/>
        <w:snapToGrid/>
        <w:spacing w:line="240" w:lineRule="auto"/>
        <w:ind w:left="0" w:leftChars="0" w:firstLine="0" w:firstLineChars="0"/>
        <w:outlineLvl w:val="9"/>
        <w:rPr>
          <w:rFonts w:hint="eastAsia" w:ascii="仿宋" w:hAnsi="仿宋" w:eastAsia="仿宋" w:cs="仿宋"/>
          <w:b/>
          <w:bCs/>
          <w:color w:val="auto"/>
          <w:kern w:val="0"/>
          <w:sz w:val="21"/>
          <w:szCs w:val="21"/>
          <w:lang w:val="en-US" w:eastAsia="zh-CN"/>
        </w:rPr>
      </w:pPr>
    </w:p>
    <w:tbl>
      <w:tblPr>
        <w:tblStyle w:val="13"/>
        <w:tblW w:w="92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041"/>
        <w:gridCol w:w="3126"/>
        <w:gridCol w:w="3128"/>
      </w:tblGrid>
      <w:tr w14:paraId="2D691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jc w:val="center"/>
        </w:trPr>
        <w:tc>
          <w:tcPr>
            <w:tcW w:w="9295" w:type="dxa"/>
            <w:gridSpan w:val="3"/>
            <w:vAlign w:val="top"/>
          </w:tcPr>
          <w:p w14:paraId="2ECCFB0A">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lang w:val="en-US" w:eastAsia="zh-CN"/>
              </w:rPr>
              <w:t>水泵</w:t>
            </w:r>
            <w:r>
              <w:rPr>
                <w:rFonts w:hint="eastAsia" w:ascii="仿宋" w:hAnsi="仿宋" w:eastAsia="仿宋" w:cs="仿宋"/>
                <w:b/>
                <w:bCs/>
                <w:color w:val="auto"/>
                <w:kern w:val="0"/>
                <w:sz w:val="21"/>
                <w:szCs w:val="21"/>
              </w:rPr>
              <w:t>工安全提示卡</w:t>
            </w:r>
          </w:p>
        </w:tc>
      </w:tr>
      <w:tr w14:paraId="1FD4B0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jc w:val="center"/>
        </w:trPr>
        <w:tc>
          <w:tcPr>
            <w:tcW w:w="3041" w:type="dxa"/>
            <w:vAlign w:val="top"/>
          </w:tcPr>
          <w:p w14:paraId="7655331D">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操作前确认</w:t>
            </w:r>
          </w:p>
        </w:tc>
        <w:tc>
          <w:tcPr>
            <w:tcW w:w="3126" w:type="dxa"/>
            <w:vAlign w:val="top"/>
          </w:tcPr>
          <w:p w14:paraId="404087A7">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操作过程注意事项</w:t>
            </w:r>
          </w:p>
        </w:tc>
        <w:tc>
          <w:tcPr>
            <w:tcW w:w="3128" w:type="dxa"/>
            <w:vAlign w:val="top"/>
          </w:tcPr>
          <w:p w14:paraId="659F8E21">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操作后确认</w:t>
            </w:r>
          </w:p>
        </w:tc>
      </w:tr>
      <w:tr w14:paraId="3BD8A2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jc w:val="center"/>
        </w:trPr>
        <w:tc>
          <w:tcPr>
            <w:tcW w:w="3041" w:type="dxa"/>
            <w:vAlign w:val="center"/>
          </w:tcPr>
          <w:p w14:paraId="38DD23B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防护用品</w:t>
            </w:r>
          </w:p>
        </w:tc>
        <w:tc>
          <w:tcPr>
            <w:tcW w:w="3126" w:type="dxa"/>
            <w:vAlign w:val="center"/>
          </w:tcPr>
          <w:p w14:paraId="18B3302F">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操作台控制按钮确认</w:t>
            </w:r>
          </w:p>
        </w:tc>
        <w:tc>
          <w:tcPr>
            <w:tcW w:w="3128" w:type="dxa"/>
            <w:vAlign w:val="center"/>
          </w:tcPr>
          <w:p w14:paraId="6943B5F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检查电流、流量、电机及水泵轴承温度</w:t>
            </w:r>
          </w:p>
        </w:tc>
      </w:tr>
      <w:tr w14:paraId="611EB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jc w:val="center"/>
        </w:trPr>
        <w:tc>
          <w:tcPr>
            <w:tcW w:w="3041" w:type="dxa"/>
            <w:vAlign w:val="center"/>
          </w:tcPr>
          <w:p w14:paraId="42019C4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检查主排水泵对轮连接螺栓</w:t>
            </w:r>
          </w:p>
        </w:tc>
        <w:tc>
          <w:tcPr>
            <w:tcW w:w="3126" w:type="dxa"/>
            <w:vAlign w:val="top"/>
          </w:tcPr>
          <w:p w14:paraId="51713884">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检查真空压力表、启动电流、电压</w:t>
            </w:r>
          </w:p>
        </w:tc>
        <w:tc>
          <w:tcPr>
            <w:tcW w:w="3128" w:type="dxa"/>
            <w:vAlign w:val="center"/>
          </w:tcPr>
          <w:p w14:paraId="788D97E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检查填料处密封情况</w:t>
            </w:r>
          </w:p>
        </w:tc>
      </w:tr>
      <w:tr w14:paraId="49B25A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jc w:val="center"/>
        </w:trPr>
        <w:tc>
          <w:tcPr>
            <w:tcW w:w="3041" w:type="dxa"/>
            <w:vAlign w:val="center"/>
          </w:tcPr>
          <w:p w14:paraId="03C5C26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w:t>
            </w:r>
            <w:r>
              <w:rPr>
                <w:rFonts w:hint="eastAsia" w:ascii="仿宋" w:hAnsi="仿宋" w:eastAsia="仿宋" w:cs="仿宋"/>
                <w:b w:val="0"/>
                <w:bCs w:val="0"/>
                <w:color w:val="auto"/>
                <w:kern w:val="0"/>
                <w:sz w:val="21"/>
                <w:szCs w:val="21"/>
                <w:lang w:val="en-US" w:eastAsia="zh-CN"/>
              </w:rPr>
              <w:t>检查主排水泵启动柜、仪表及附属设备</w:t>
            </w:r>
          </w:p>
        </w:tc>
        <w:tc>
          <w:tcPr>
            <w:tcW w:w="3126" w:type="dxa"/>
            <w:vAlign w:val="center"/>
          </w:tcPr>
          <w:p w14:paraId="3B5A5227">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检查排水阀门是否打开</w:t>
            </w:r>
          </w:p>
        </w:tc>
        <w:tc>
          <w:tcPr>
            <w:tcW w:w="3128" w:type="dxa"/>
            <w:vAlign w:val="center"/>
          </w:tcPr>
          <w:p w14:paraId="7C04EC33">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检查电机、泵体振动是否剧烈</w:t>
            </w:r>
          </w:p>
        </w:tc>
      </w:tr>
      <w:tr w14:paraId="6AF15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jc w:val="center"/>
        </w:trPr>
        <w:tc>
          <w:tcPr>
            <w:tcW w:w="3041" w:type="dxa"/>
            <w:vAlign w:val="center"/>
          </w:tcPr>
          <w:p w14:paraId="00FA50F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w:t>
            </w:r>
            <w:r>
              <w:rPr>
                <w:rFonts w:hint="eastAsia" w:ascii="仿宋" w:hAnsi="仿宋" w:eastAsia="仿宋" w:cs="仿宋"/>
                <w:b w:val="0"/>
                <w:bCs w:val="0"/>
                <w:color w:val="auto"/>
                <w:kern w:val="0"/>
                <w:sz w:val="21"/>
                <w:szCs w:val="21"/>
                <w:lang w:val="en-US" w:eastAsia="zh-CN"/>
              </w:rPr>
              <w:t>站位</w:t>
            </w:r>
          </w:p>
        </w:tc>
        <w:tc>
          <w:tcPr>
            <w:tcW w:w="3126" w:type="dxa"/>
            <w:vAlign w:val="center"/>
          </w:tcPr>
          <w:p w14:paraId="7ECB07B0">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p>
        </w:tc>
        <w:tc>
          <w:tcPr>
            <w:tcW w:w="3128" w:type="dxa"/>
            <w:vAlign w:val="center"/>
          </w:tcPr>
          <w:p w14:paraId="3BFF40BC">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vertAlign w:val="baseline"/>
                <w:lang w:val="en-US" w:eastAsia="zh-CN"/>
              </w:rPr>
              <w:t>现场标准化</w:t>
            </w:r>
          </w:p>
        </w:tc>
      </w:tr>
      <w:tr w14:paraId="2DF26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jc w:val="center"/>
        </w:trPr>
        <w:tc>
          <w:tcPr>
            <w:tcW w:w="9295" w:type="dxa"/>
            <w:gridSpan w:val="3"/>
            <w:vAlign w:val="center"/>
          </w:tcPr>
          <w:p w14:paraId="05622A04">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rPr>
              <w:t>注：第一次按</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前内容逐项检查并确认，存在问题整改后再确认；中间再次操作只检查带“★”部分；</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全部结束后按操作后内容逐项检查并确认。</w:t>
            </w:r>
          </w:p>
        </w:tc>
      </w:tr>
    </w:tbl>
    <w:p w14:paraId="4099C420">
      <w:pPr>
        <w:pStyle w:val="4"/>
        <w:pageBreakBefore w:val="0"/>
        <w:kinsoku/>
        <w:wordWrap/>
        <w:overflowPunct/>
        <w:topLinePunct w:val="0"/>
        <w:autoSpaceDE/>
        <w:autoSpaceDN/>
        <w:bidi w:val="0"/>
        <w:adjustRightInd/>
        <w:snapToGrid/>
        <w:spacing w:line="240" w:lineRule="auto"/>
        <w:ind w:left="0" w:leftChars="0" w:firstLine="0" w:firstLineChars="0"/>
        <w:outlineLvl w:val="9"/>
        <w:rPr>
          <w:rFonts w:hint="eastAsia" w:ascii="仿宋" w:hAnsi="仿宋" w:eastAsia="仿宋" w:cs="仿宋"/>
          <w:b/>
          <w:bCs/>
          <w:color w:val="auto"/>
          <w:kern w:val="0"/>
          <w:sz w:val="21"/>
          <w:szCs w:val="21"/>
          <w:lang w:val="en-US" w:eastAsia="zh-CN"/>
        </w:rPr>
      </w:pPr>
    </w:p>
    <w:tbl>
      <w:tblPr>
        <w:tblStyle w:val="12"/>
        <w:tblpPr w:leftFromText="180" w:rightFromText="180" w:vertAnchor="text" w:horzAnchor="page" w:tblpXSpec="center" w:tblpY="573"/>
        <w:tblOverlap w:val="never"/>
        <w:tblW w:w="93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54"/>
      </w:tblGrid>
      <w:tr w14:paraId="71DF88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3FB06261">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水泵工</w:t>
            </w:r>
            <w:r>
              <w:rPr>
                <w:rFonts w:hint="eastAsia" w:ascii="仿宋" w:hAnsi="仿宋" w:eastAsia="仿宋" w:cs="仿宋"/>
                <w:b w:val="0"/>
                <w:bCs w:val="0"/>
                <w:color w:val="auto"/>
                <w:kern w:val="0"/>
                <w:sz w:val="21"/>
                <w:szCs w:val="21"/>
              </w:rPr>
              <w:t>单元检查表</w:t>
            </w:r>
          </w:p>
        </w:tc>
      </w:tr>
      <w:tr w14:paraId="01D1A5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3F1397A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 xml:space="preserve">  </w:t>
            </w:r>
            <w:r>
              <w:rPr>
                <w:rFonts w:hint="default" w:ascii="仿宋" w:hAnsi="仿宋" w:eastAsia="仿宋" w:cs="仿宋"/>
                <w:b w:val="0"/>
                <w:bCs w:val="0"/>
                <w:color w:val="auto"/>
                <w:kern w:val="0"/>
                <w:sz w:val="21"/>
                <w:szCs w:val="21"/>
                <w:lang w:eastAsia="zh-CN"/>
              </w:rPr>
              <w:t>1.</w:t>
            </w:r>
            <w:r>
              <w:rPr>
                <w:rFonts w:hint="eastAsia" w:ascii="仿宋" w:hAnsi="仿宋" w:eastAsia="仿宋" w:cs="仿宋"/>
                <w:b w:val="0"/>
                <w:bCs w:val="0"/>
                <w:color w:val="auto"/>
                <w:kern w:val="0"/>
                <w:sz w:val="21"/>
                <w:szCs w:val="21"/>
                <w:lang w:val="en-US" w:eastAsia="zh-CN"/>
              </w:rPr>
              <w:t>检查设备是否完好</w:t>
            </w:r>
          </w:p>
        </w:tc>
      </w:tr>
      <w:tr w14:paraId="45C2F0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2932280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2.</w:t>
            </w:r>
            <w:r>
              <w:rPr>
                <w:rFonts w:hint="eastAsia" w:ascii="仿宋" w:hAnsi="仿宋" w:eastAsia="仿宋" w:cs="仿宋"/>
                <w:b w:val="0"/>
                <w:bCs w:val="0"/>
                <w:color w:val="auto"/>
                <w:kern w:val="0"/>
                <w:sz w:val="21"/>
                <w:szCs w:val="21"/>
                <w:lang w:val="en-US" w:eastAsia="zh-CN"/>
              </w:rPr>
              <w:t>检查供水管路、抽真空系统是否正常</w:t>
            </w:r>
          </w:p>
        </w:tc>
      </w:tr>
      <w:tr w14:paraId="3FF93A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7F81AA5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3.</w:t>
            </w:r>
            <w:r>
              <w:rPr>
                <w:rFonts w:hint="eastAsia" w:ascii="仿宋" w:hAnsi="仿宋" w:eastAsia="仿宋" w:cs="仿宋"/>
                <w:b w:val="0"/>
                <w:bCs w:val="0"/>
                <w:color w:val="auto"/>
                <w:kern w:val="0"/>
                <w:sz w:val="21"/>
                <w:szCs w:val="21"/>
                <w:lang w:val="en-US" w:eastAsia="zh-CN"/>
              </w:rPr>
              <w:t>检查主排水阀门是否关闭</w:t>
            </w:r>
          </w:p>
        </w:tc>
      </w:tr>
      <w:tr w14:paraId="33D6C1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6FA8E24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4.</w:t>
            </w:r>
            <w:r>
              <w:rPr>
                <w:rFonts w:hint="eastAsia" w:ascii="仿宋" w:hAnsi="仿宋" w:eastAsia="仿宋" w:cs="仿宋"/>
                <w:b w:val="0"/>
                <w:bCs w:val="0"/>
                <w:color w:val="auto"/>
                <w:kern w:val="0"/>
                <w:sz w:val="21"/>
                <w:szCs w:val="21"/>
                <w:lang w:val="en-US" w:eastAsia="zh-CN"/>
              </w:rPr>
              <w:t>检查控制设备是否正常</w:t>
            </w:r>
          </w:p>
        </w:tc>
      </w:tr>
      <w:tr w14:paraId="12EDD3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2B3A05E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5.</w:t>
            </w:r>
            <w:r>
              <w:rPr>
                <w:rFonts w:hint="eastAsia" w:ascii="仿宋" w:hAnsi="仿宋" w:eastAsia="仿宋" w:cs="仿宋"/>
                <w:b w:val="0"/>
                <w:bCs w:val="0"/>
                <w:color w:val="auto"/>
                <w:kern w:val="0"/>
                <w:sz w:val="21"/>
                <w:szCs w:val="21"/>
                <w:lang w:val="en-US" w:eastAsia="zh-CN"/>
              </w:rPr>
              <w:t>检查转动部位是否有人</w:t>
            </w:r>
          </w:p>
        </w:tc>
      </w:tr>
      <w:tr w14:paraId="2A999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5BFF514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6.</w:t>
            </w:r>
            <w:r>
              <w:rPr>
                <w:rFonts w:hint="eastAsia" w:ascii="仿宋" w:hAnsi="仿宋" w:eastAsia="仿宋" w:cs="仿宋"/>
                <w:b w:val="0"/>
                <w:bCs w:val="0"/>
                <w:color w:val="auto"/>
                <w:kern w:val="0"/>
                <w:sz w:val="21"/>
                <w:szCs w:val="21"/>
                <w:lang w:val="en-US" w:eastAsia="zh-CN"/>
              </w:rPr>
              <w:t>检查各仪器、仪表及温度是否正常</w:t>
            </w:r>
          </w:p>
        </w:tc>
      </w:tr>
      <w:tr w14:paraId="5396F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73B30B2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vertAlign w:val="baseline"/>
                <w:lang w:eastAsia="zh-CN"/>
              </w:rPr>
              <w:t>7.</w:t>
            </w:r>
            <w:r>
              <w:rPr>
                <w:rFonts w:hint="eastAsia" w:ascii="仿宋" w:hAnsi="仿宋" w:eastAsia="仿宋" w:cs="仿宋"/>
                <w:b w:val="0"/>
                <w:bCs w:val="0"/>
                <w:color w:val="auto"/>
                <w:kern w:val="0"/>
                <w:sz w:val="21"/>
                <w:szCs w:val="21"/>
                <w:vertAlign w:val="baseline"/>
                <w:lang w:val="en-US" w:eastAsia="zh-CN"/>
              </w:rPr>
              <w:t>检查排水阀门是否打开、流量大小</w:t>
            </w:r>
          </w:p>
        </w:tc>
      </w:tr>
      <w:tr w14:paraId="517AA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094068F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8.</w:t>
            </w:r>
            <w:r>
              <w:rPr>
                <w:rFonts w:hint="eastAsia" w:ascii="仿宋" w:hAnsi="仿宋" w:eastAsia="仿宋" w:cs="仿宋"/>
                <w:b w:val="0"/>
                <w:bCs w:val="0"/>
                <w:color w:val="auto"/>
                <w:kern w:val="0"/>
                <w:sz w:val="21"/>
                <w:szCs w:val="21"/>
                <w:lang w:val="en-US" w:eastAsia="zh-CN"/>
              </w:rPr>
              <w:t>检查填料处密封情况</w:t>
            </w:r>
          </w:p>
        </w:tc>
      </w:tr>
      <w:tr w14:paraId="2B8D3D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3AAB68D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vertAlign w:val="baseline"/>
                <w:lang w:eastAsia="zh-CN"/>
              </w:rPr>
              <w:t>9.</w:t>
            </w:r>
            <w:r>
              <w:rPr>
                <w:rFonts w:hint="eastAsia" w:ascii="仿宋" w:hAnsi="仿宋" w:eastAsia="仿宋" w:cs="仿宋"/>
                <w:b w:val="0"/>
                <w:bCs w:val="0"/>
                <w:color w:val="auto"/>
                <w:kern w:val="0"/>
                <w:sz w:val="21"/>
                <w:szCs w:val="21"/>
                <w:vertAlign w:val="baseline"/>
                <w:lang w:val="en-US" w:eastAsia="zh-CN"/>
              </w:rPr>
              <w:t>检查电机、泵体振动是否剧烈</w:t>
            </w:r>
          </w:p>
        </w:tc>
      </w:tr>
      <w:tr w14:paraId="366B4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18FCC34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10.</w:t>
            </w:r>
            <w:r>
              <w:rPr>
                <w:rFonts w:hint="eastAsia" w:ascii="仿宋" w:hAnsi="仿宋" w:eastAsia="仿宋" w:cs="仿宋"/>
                <w:b w:val="0"/>
                <w:bCs w:val="0"/>
                <w:color w:val="auto"/>
                <w:kern w:val="0"/>
                <w:sz w:val="21"/>
                <w:szCs w:val="21"/>
                <w:lang w:val="en-US" w:eastAsia="zh-CN"/>
              </w:rPr>
              <w:t>检查现场标准化是否完好</w:t>
            </w:r>
          </w:p>
        </w:tc>
      </w:tr>
      <w:tr w14:paraId="273A7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311B131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rPr>
              <w:t>注：</w:t>
            </w:r>
            <w:r>
              <w:rPr>
                <w:rFonts w:hint="eastAsia" w:ascii="仿宋" w:hAnsi="仿宋" w:eastAsia="仿宋" w:cs="仿宋"/>
                <w:b w:val="0"/>
                <w:bCs w:val="0"/>
                <w:color w:val="auto"/>
                <w:kern w:val="0"/>
                <w:sz w:val="21"/>
                <w:szCs w:val="21"/>
              </w:rPr>
              <w:t>患有高血压、心脏病、听力障碍等疾病的人，不得从事</w:t>
            </w:r>
            <w:r>
              <w:rPr>
                <w:rFonts w:hint="eastAsia" w:ascii="仿宋" w:hAnsi="仿宋" w:eastAsia="仿宋" w:cs="仿宋"/>
                <w:b w:val="0"/>
                <w:bCs w:val="0"/>
                <w:color w:val="auto"/>
                <w:kern w:val="0"/>
                <w:sz w:val="21"/>
                <w:szCs w:val="21"/>
                <w:lang w:val="en-US" w:eastAsia="zh-CN"/>
              </w:rPr>
              <w:t>水泵工</w:t>
            </w:r>
            <w:r>
              <w:rPr>
                <w:rFonts w:hint="eastAsia" w:ascii="仿宋" w:hAnsi="仿宋" w:eastAsia="仿宋" w:cs="仿宋"/>
                <w:b w:val="0"/>
                <w:bCs w:val="0"/>
                <w:color w:val="auto"/>
                <w:kern w:val="0"/>
                <w:sz w:val="21"/>
                <w:szCs w:val="21"/>
              </w:rPr>
              <w:t>作业。</w:t>
            </w:r>
          </w:p>
          <w:p w14:paraId="30945BA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rPr>
              <w:t xml:space="preserve">    从事</w:t>
            </w:r>
            <w:r>
              <w:rPr>
                <w:rFonts w:hint="eastAsia" w:ascii="仿宋" w:hAnsi="仿宋" w:eastAsia="仿宋" w:cs="仿宋"/>
                <w:b w:val="0"/>
                <w:bCs w:val="0"/>
                <w:color w:val="auto"/>
                <w:kern w:val="0"/>
                <w:sz w:val="21"/>
                <w:szCs w:val="21"/>
                <w:lang w:val="en-US" w:eastAsia="zh-CN"/>
              </w:rPr>
              <w:t>水泵工</w:t>
            </w:r>
            <w:r>
              <w:rPr>
                <w:rFonts w:hint="eastAsia" w:ascii="仿宋" w:hAnsi="仿宋" w:eastAsia="仿宋" w:cs="仿宋"/>
                <w:b w:val="0"/>
                <w:bCs w:val="0"/>
                <w:color w:val="auto"/>
                <w:kern w:val="0"/>
                <w:sz w:val="21"/>
                <w:szCs w:val="21"/>
              </w:rPr>
              <w:t>作业人员，经过安全技术培训和考试合格，取得</w:t>
            </w:r>
            <w:r>
              <w:rPr>
                <w:rFonts w:hint="eastAsia" w:ascii="仿宋" w:hAnsi="仿宋" w:eastAsia="仿宋" w:cs="仿宋"/>
                <w:b w:val="0"/>
                <w:bCs w:val="0"/>
                <w:color w:val="auto"/>
                <w:kern w:val="0"/>
                <w:sz w:val="21"/>
                <w:szCs w:val="21"/>
                <w:lang w:val="en-US" w:eastAsia="zh-CN"/>
              </w:rPr>
              <w:t>资格证书</w:t>
            </w:r>
            <w:r>
              <w:rPr>
                <w:rFonts w:hint="eastAsia" w:ascii="仿宋" w:hAnsi="仿宋" w:eastAsia="仿宋" w:cs="仿宋"/>
                <w:b w:val="0"/>
                <w:bCs w:val="0"/>
                <w:color w:val="auto"/>
                <w:kern w:val="0"/>
                <w:sz w:val="21"/>
                <w:szCs w:val="21"/>
              </w:rPr>
              <w:t>，方可进行上岗作业。</w:t>
            </w:r>
          </w:p>
        </w:tc>
      </w:tr>
    </w:tbl>
    <w:tbl>
      <w:tblPr>
        <w:tblStyle w:val="12"/>
        <w:tblpPr w:leftFromText="180" w:rightFromText="180" w:vertAnchor="text" w:horzAnchor="page" w:tblpX="1395" w:tblpY="7629"/>
        <w:tblOverlap w:val="never"/>
        <w:tblW w:w="9354" w:type="dxa"/>
        <w:tblInd w:w="0" w:type="dxa"/>
        <w:tblLayout w:type="fixed"/>
        <w:tblCellMar>
          <w:top w:w="0" w:type="dxa"/>
          <w:left w:w="108" w:type="dxa"/>
          <w:bottom w:w="0" w:type="dxa"/>
          <w:right w:w="108" w:type="dxa"/>
        </w:tblCellMar>
      </w:tblPr>
      <w:tblGrid>
        <w:gridCol w:w="677"/>
        <w:gridCol w:w="1613"/>
        <w:gridCol w:w="7064"/>
      </w:tblGrid>
      <w:tr w14:paraId="7D1087E8">
        <w:tblPrEx>
          <w:tblCellMar>
            <w:top w:w="0" w:type="dxa"/>
            <w:left w:w="108" w:type="dxa"/>
            <w:bottom w:w="0" w:type="dxa"/>
            <w:right w:w="108" w:type="dxa"/>
          </w:tblCellMar>
        </w:tblPrEx>
        <w:trPr>
          <w:trHeight w:val="338" w:hRule="atLeast"/>
        </w:trPr>
        <w:tc>
          <w:tcPr>
            <w:tcW w:w="9354" w:type="dxa"/>
            <w:gridSpan w:val="3"/>
            <w:tcBorders>
              <w:top w:val="single" w:color="auto" w:sz="4" w:space="0"/>
              <w:left w:val="single" w:color="auto" w:sz="4" w:space="0"/>
              <w:bottom w:val="single" w:color="auto" w:sz="4" w:space="0"/>
              <w:right w:val="single" w:color="auto" w:sz="4" w:space="0"/>
            </w:tcBorders>
            <w:vAlign w:val="center"/>
          </w:tcPr>
          <w:p w14:paraId="12EA4C7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4"/>
                <w:szCs w:val="24"/>
              </w:rPr>
            </w:pPr>
            <w:r>
              <w:rPr>
                <w:rFonts w:hint="eastAsia" w:ascii="仿宋" w:hAnsi="仿宋" w:eastAsia="仿宋" w:cs="仿宋"/>
                <w:b/>
                <w:bCs/>
                <w:color w:val="auto"/>
                <w:kern w:val="0"/>
                <w:sz w:val="21"/>
                <w:szCs w:val="21"/>
                <w:lang w:val="en-US" w:eastAsia="zh-CN"/>
              </w:rPr>
              <w:t>水泵工操作过程注意事项</w:t>
            </w:r>
          </w:p>
        </w:tc>
      </w:tr>
      <w:tr w14:paraId="5E007ED0">
        <w:tblPrEx>
          <w:tblCellMar>
            <w:top w:w="0" w:type="dxa"/>
            <w:left w:w="108" w:type="dxa"/>
            <w:bottom w:w="0" w:type="dxa"/>
            <w:right w:w="108" w:type="dxa"/>
          </w:tblCellMar>
        </w:tblPrEx>
        <w:trPr>
          <w:trHeight w:val="1023" w:hRule="atLeast"/>
        </w:trPr>
        <w:tc>
          <w:tcPr>
            <w:tcW w:w="677" w:type="dxa"/>
            <w:tcBorders>
              <w:top w:val="nil"/>
              <w:left w:val="single" w:color="auto" w:sz="4" w:space="0"/>
              <w:bottom w:val="single" w:color="auto" w:sz="4" w:space="0"/>
              <w:right w:val="single" w:color="auto" w:sz="4" w:space="0"/>
            </w:tcBorders>
            <w:vAlign w:val="center"/>
          </w:tcPr>
          <w:p w14:paraId="345E106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序号</w:t>
            </w:r>
          </w:p>
        </w:tc>
        <w:tc>
          <w:tcPr>
            <w:tcW w:w="1613" w:type="dxa"/>
            <w:tcBorders>
              <w:top w:val="nil"/>
              <w:left w:val="nil"/>
              <w:bottom w:val="single" w:color="auto" w:sz="4" w:space="0"/>
              <w:right w:val="single" w:color="auto" w:sz="4" w:space="0"/>
            </w:tcBorders>
            <w:vAlign w:val="center"/>
          </w:tcPr>
          <w:p w14:paraId="1556087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提示词</w:t>
            </w:r>
          </w:p>
        </w:tc>
        <w:tc>
          <w:tcPr>
            <w:tcW w:w="7064" w:type="dxa"/>
            <w:tcBorders>
              <w:top w:val="nil"/>
              <w:left w:val="nil"/>
              <w:bottom w:val="single" w:color="auto" w:sz="4" w:space="0"/>
              <w:right w:val="single" w:color="auto" w:sz="4" w:space="0"/>
            </w:tcBorders>
            <w:vAlign w:val="center"/>
          </w:tcPr>
          <w:p w14:paraId="39770B0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主要内容</w:t>
            </w:r>
          </w:p>
        </w:tc>
      </w:tr>
      <w:tr w14:paraId="0B76EACE">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000000" w:sz="4" w:space="0"/>
              <w:right w:val="single" w:color="auto" w:sz="4" w:space="0"/>
            </w:tcBorders>
            <w:vAlign w:val="center"/>
          </w:tcPr>
          <w:p w14:paraId="6B0D0FC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p>
        </w:tc>
        <w:tc>
          <w:tcPr>
            <w:tcW w:w="1613" w:type="dxa"/>
            <w:tcBorders>
              <w:top w:val="nil"/>
              <w:left w:val="nil"/>
              <w:bottom w:val="single" w:color="auto" w:sz="4" w:space="0"/>
              <w:right w:val="single" w:color="auto" w:sz="4" w:space="0"/>
            </w:tcBorders>
            <w:vAlign w:val="center"/>
          </w:tcPr>
          <w:p w14:paraId="0114D40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7064" w:type="dxa"/>
            <w:tcBorders>
              <w:top w:val="nil"/>
              <w:left w:val="nil"/>
              <w:bottom w:val="single" w:color="auto" w:sz="4" w:space="0"/>
              <w:right w:val="single" w:color="auto" w:sz="4" w:space="0"/>
            </w:tcBorders>
            <w:vAlign w:val="center"/>
          </w:tcPr>
          <w:p w14:paraId="12FB64D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sz w:val="21"/>
                <w:szCs w:val="21"/>
                <w:highlight w:val="none"/>
                <w:u w:val="none"/>
                <w:lang w:val="en-US"/>
              </w:rPr>
              <w:t>作业前排查周围环境。</w:t>
            </w:r>
          </w:p>
        </w:tc>
      </w:tr>
      <w:tr w14:paraId="0DE96791">
        <w:tblPrEx>
          <w:tblCellMar>
            <w:top w:w="0" w:type="dxa"/>
            <w:left w:w="108" w:type="dxa"/>
            <w:bottom w:w="0" w:type="dxa"/>
            <w:right w:w="108" w:type="dxa"/>
          </w:tblCellMar>
        </w:tblPrEx>
        <w:trPr>
          <w:trHeight w:val="556" w:hRule="atLeast"/>
        </w:trPr>
        <w:tc>
          <w:tcPr>
            <w:tcW w:w="677" w:type="dxa"/>
            <w:tcBorders>
              <w:top w:val="nil"/>
              <w:left w:val="single" w:color="auto" w:sz="4" w:space="0"/>
              <w:bottom w:val="single" w:color="000000" w:sz="4" w:space="0"/>
              <w:right w:val="single" w:color="auto" w:sz="4" w:space="0"/>
            </w:tcBorders>
            <w:vAlign w:val="center"/>
          </w:tcPr>
          <w:p w14:paraId="7982A62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2</w:t>
            </w:r>
          </w:p>
        </w:tc>
        <w:tc>
          <w:tcPr>
            <w:tcW w:w="1613" w:type="dxa"/>
            <w:tcBorders>
              <w:top w:val="nil"/>
              <w:left w:val="nil"/>
              <w:bottom w:val="single" w:color="auto" w:sz="4" w:space="0"/>
              <w:right w:val="single" w:color="auto" w:sz="4" w:space="0"/>
            </w:tcBorders>
            <w:vAlign w:val="center"/>
          </w:tcPr>
          <w:p w14:paraId="26EBF76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佩戴防护用具</w:t>
            </w:r>
          </w:p>
        </w:tc>
        <w:tc>
          <w:tcPr>
            <w:tcW w:w="7064" w:type="dxa"/>
            <w:tcBorders>
              <w:top w:val="nil"/>
              <w:left w:val="nil"/>
              <w:bottom w:val="single" w:color="auto" w:sz="4" w:space="0"/>
              <w:right w:val="single" w:color="auto" w:sz="4" w:space="0"/>
            </w:tcBorders>
            <w:vAlign w:val="center"/>
          </w:tcPr>
          <w:p w14:paraId="53B5D63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作业前</w:t>
            </w:r>
            <w:r>
              <w:rPr>
                <w:rFonts w:hint="eastAsia" w:ascii="仿宋" w:hAnsi="仿宋" w:eastAsia="仿宋" w:cs="仿宋"/>
                <w:i w:val="0"/>
                <w:iCs w:val="0"/>
                <w:color w:val="auto"/>
                <w:sz w:val="21"/>
                <w:szCs w:val="21"/>
                <w:highlight w:val="none"/>
                <w:u w:val="none"/>
              </w:rPr>
              <w:t>必须按照要求佩戴好个人防护用具。</w:t>
            </w:r>
          </w:p>
        </w:tc>
      </w:tr>
      <w:tr w14:paraId="6DFC7194">
        <w:tblPrEx>
          <w:tblCellMar>
            <w:top w:w="0" w:type="dxa"/>
            <w:left w:w="108" w:type="dxa"/>
            <w:bottom w:w="0" w:type="dxa"/>
            <w:right w:w="108" w:type="dxa"/>
          </w:tblCellMar>
        </w:tblPrEx>
        <w:trPr>
          <w:trHeight w:val="556" w:hRule="atLeast"/>
        </w:trPr>
        <w:tc>
          <w:tcPr>
            <w:tcW w:w="677" w:type="dxa"/>
            <w:tcBorders>
              <w:top w:val="nil"/>
              <w:left w:val="single" w:color="auto" w:sz="4" w:space="0"/>
              <w:bottom w:val="single" w:color="000000" w:sz="4" w:space="0"/>
              <w:right w:val="single" w:color="auto" w:sz="4" w:space="0"/>
            </w:tcBorders>
            <w:vAlign w:val="center"/>
          </w:tcPr>
          <w:p w14:paraId="165546B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3</w:t>
            </w:r>
          </w:p>
        </w:tc>
        <w:tc>
          <w:tcPr>
            <w:tcW w:w="1613" w:type="dxa"/>
            <w:tcBorders>
              <w:top w:val="nil"/>
              <w:left w:val="nil"/>
              <w:bottom w:val="single" w:color="auto" w:sz="4" w:space="0"/>
              <w:right w:val="single" w:color="auto" w:sz="4" w:space="0"/>
            </w:tcBorders>
            <w:vAlign w:val="center"/>
          </w:tcPr>
          <w:p w14:paraId="60ECE81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按钮确认</w:t>
            </w:r>
          </w:p>
        </w:tc>
        <w:tc>
          <w:tcPr>
            <w:tcW w:w="7064" w:type="dxa"/>
            <w:tcBorders>
              <w:top w:val="nil"/>
              <w:left w:val="nil"/>
              <w:bottom w:val="single" w:color="auto" w:sz="4" w:space="0"/>
              <w:right w:val="single" w:color="auto" w:sz="4" w:space="0"/>
            </w:tcBorders>
            <w:vAlign w:val="center"/>
          </w:tcPr>
          <w:p w14:paraId="564E6BE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开泵前检查“远程、就地”旋钮位置。</w:t>
            </w:r>
          </w:p>
        </w:tc>
      </w:tr>
      <w:tr w14:paraId="1F4E590F">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000000" w:sz="4" w:space="0"/>
              <w:right w:val="single" w:color="auto" w:sz="4" w:space="0"/>
            </w:tcBorders>
            <w:vAlign w:val="center"/>
          </w:tcPr>
          <w:p w14:paraId="3A95808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p>
        </w:tc>
        <w:tc>
          <w:tcPr>
            <w:tcW w:w="1613" w:type="dxa"/>
            <w:tcBorders>
              <w:top w:val="nil"/>
              <w:left w:val="nil"/>
              <w:bottom w:val="single" w:color="auto" w:sz="4" w:space="0"/>
              <w:right w:val="single" w:color="auto" w:sz="4" w:space="0"/>
            </w:tcBorders>
            <w:vAlign w:val="center"/>
          </w:tcPr>
          <w:p w14:paraId="10EC03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rPr>
              <w:t>看</w:t>
            </w:r>
            <w:r>
              <w:rPr>
                <w:rFonts w:hint="eastAsia" w:ascii="仿宋" w:hAnsi="仿宋" w:eastAsia="仿宋" w:cs="仿宋"/>
                <w:color w:val="auto"/>
                <w:kern w:val="0"/>
                <w:sz w:val="21"/>
                <w:szCs w:val="21"/>
                <w:lang w:val="en-US" w:eastAsia="zh-CN"/>
              </w:rPr>
              <w:t>仪表</w:t>
            </w:r>
          </w:p>
        </w:tc>
        <w:tc>
          <w:tcPr>
            <w:tcW w:w="7064" w:type="dxa"/>
            <w:tcBorders>
              <w:top w:val="nil"/>
              <w:left w:val="nil"/>
              <w:bottom w:val="single" w:color="auto" w:sz="4" w:space="0"/>
              <w:right w:val="single" w:color="auto" w:sz="4" w:space="0"/>
            </w:tcBorders>
            <w:vAlign w:val="center"/>
          </w:tcPr>
          <w:p w14:paraId="72503553">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sz w:val="21"/>
                <w:szCs w:val="21"/>
              </w:rPr>
              <w:t>随时观察</w:t>
            </w:r>
            <w:r>
              <w:rPr>
                <w:rFonts w:hint="eastAsia" w:ascii="仿宋" w:hAnsi="仿宋" w:eastAsia="仿宋" w:cs="仿宋"/>
                <w:color w:val="auto"/>
                <w:sz w:val="21"/>
                <w:szCs w:val="21"/>
                <w:lang w:val="en-US" w:eastAsia="zh-CN"/>
              </w:rPr>
              <w:t>真空压力表、启动电流、电压。</w:t>
            </w:r>
          </w:p>
        </w:tc>
      </w:tr>
      <w:tr w14:paraId="730B1BD8">
        <w:tblPrEx>
          <w:tblCellMar>
            <w:top w:w="0" w:type="dxa"/>
            <w:left w:w="108" w:type="dxa"/>
            <w:bottom w:w="0" w:type="dxa"/>
            <w:right w:w="108" w:type="dxa"/>
          </w:tblCellMar>
        </w:tblPrEx>
        <w:trPr>
          <w:trHeight w:val="340" w:hRule="atLeast"/>
        </w:trPr>
        <w:tc>
          <w:tcPr>
            <w:tcW w:w="677" w:type="dxa"/>
            <w:tcBorders>
              <w:top w:val="nil"/>
              <w:left w:val="single" w:color="auto" w:sz="4" w:space="0"/>
              <w:bottom w:val="single" w:color="000000" w:sz="4" w:space="0"/>
              <w:right w:val="single" w:color="auto" w:sz="4" w:space="0"/>
            </w:tcBorders>
            <w:vAlign w:val="center"/>
          </w:tcPr>
          <w:p w14:paraId="41C10DA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5</w:t>
            </w:r>
          </w:p>
        </w:tc>
        <w:tc>
          <w:tcPr>
            <w:tcW w:w="1613" w:type="dxa"/>
            <w:tcBorders>
              <w:top w:val="nil"/>
              <w:left w:val="nil"/>
              <w:bottom w:val="single" w:color="auto" w:sz="4" w:space="0"/>
              <w:right w:val="single" w:color="auto" w:sz="4" w:space="0"/>
            </w:tcBorders>
            <w:vAlign w:val="center"/>
          </w:tcPr>
          <w:p w14:paraId="744413A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看阀门</w:t>
            </w:r>
          </w:p>
        </w:tc>
        <w:tc>
          <w:tcPr>
            <w:tcW w:w="7064" w:type="dxa"/>
            <w:tcBorders>
              <w:top w:val="nil"/>
              <w:left w:val="nil"/>
              <w:bottom w:val="single" w:color="auto" w:sz="4" w:space="0"/>
              <w:right w:val="single" w:color="auto" w:sz="4" w:space="0"/>
            </w:tcBorders>
            <w:vAlign w:val="center"/>
          </w:tcPr>
          <w:p w14:paraId="5ECEF1D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检查阀门是否打开。</w:t>
            </w:r>
          </w:p>
        </w:tc>
      </w:tr>
      <w:tr w14:paraId="3CE8AC6B">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000000" w:sz="4" w:space="0"/>
              <w:right w:val="single" w:color="auto" w:sz="4" w:space="0"/>
            </w:tcBorders>
            <w:vAlign w:val="center"/>
          </w:tcPr>
          <w:p w14:paraId="5A72AC5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6</w:t>
            </w:r>
          </w:p>
        </w:tc>
        <w:tc>
          <w:tcPr>
            <w:tcW w:w="1613" w:type="dxa"/>
            <w:tcBorders>
              <w:top w:val="nil"/>
              <w:left w:val="nil"/>
              <w:bottom w:val="single" w:color="auto" w:sz="4" w:space="0"/>
              <w:right w:val="single" w:color="auto" w:sz="4" w:space="0"/>
            </w:tcBorders>
            <w:vAlign w:val="center"/>
          </w:tcPr>
          <w:p w14:paraId="0E3960F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eastAsia="zh-CN"/>
              </w:rPr>
            </w:pPr>
            <w:r>
              <w:rPr>
                <w:rFonts w:hint="eastAsia" w:ascii="仿宋" w:hAnsi="仿宋" w:eastAsia="仿宋" w:cs="仿宋"/>
                <w:color w:val="auto"/>
                <w:sz w:val="21"/>
                <w:szCs w:val="21"/>
                <w:lang w:val="en-US" w:eastAsia="zh-CN"/>
              </w:rPr>
              <w:t>看管路</w:t>
            </w:r>
          </w:p>
        </w:tc>
        <w:tc>
          <w:tcPr>
            <w:tcW w:w="7064" w:type="dxa"/>
            <w:tcBorders>
              <w:top w:val="nil"/>
              <w:left w:val="nil"/>
              <w:bottom w:val="single" w:color="auto" w:sz="4" w:space="0"/>
              <w:right w:val="single" w:color="auto" w:sz="4" w:space="0"/>
            </w:tcBorders>
            <w:vAlign w:val="center"/>
          </w:tcPr>
          <w:p w14:paraId="490973B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rPr>
            </w:pPr>
            <w:r>
              <w:rPr>
                <w:rFonts w:hint="eastAsia" w:ascii="仿宋" w:hAnsi="仿宋" w:eastAsia="仿宋" w:cs="仿宋"/>
                <w:color w:val="auto"/>
                <w:sz w:val="21"/>
                <w:szCs w:val="21"/>
                <w:lang w:val="en-US" w:eastAsia="zh-CN"/>
              </w:rPr>
              <w:t>检查管路有无泄漏。</w:t>
            </w:r>
          </w:p>
        </w:tc>
      </w:tr>
      <w:tr w14:paraId="2526FF78">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auto" w:sz="4" w:space="0"/>
              <w:right w:val="single" w:color="auto" w:sz="4" w:space="0"/>
            </w:tcBorders>
            <w:vAlign w:val="center"/>
          </w:tcPr>
          <w:p w14:paraId="4ABF41C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7</w:t>
            </w:r>
          </w:p>
        </w:tc>
        <w:tc>
          <w:tcPr>
            <w:tcW w:w="1613" w:type="dxa"/>
            <w:tcBorders>
              <w:top w:val="nil"/>
              <w:left w:val="nil"/>
              <w:bottom w:val="single" w:color="auto" w:sz="4" w:space="0"/>
              <w:right w:val="single" w:color="auto" w:sz="4" w:space="0"/>
            </w:tcBorders>
            <w:vAlign w:val="center"/>
          </w:tcPr>
          <w:p w14:paraId="177696A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val="en-US" w:eastAsia="zh-CN"/>
              </w:rPr>
              <w:t>开启确认</w:t>
            </w:r>
          </w:p>
        </w:tc>
        <w:tc>
          <w:tcPr>
            <w:tcW w:w="7064" w:type="dxa"/>
            <w:tcBorders>
              <w:top w:val="nil"/>
              <w:left w:val="nil"/>
              <w:bottom w:val="single" w:color="auto" w:sz="4" w:space="0"/>
              <w:right w:val="single" w:color="auto" w:sz="4" w:space="0"/>
            </w:tcBorders>
            <w:vAlign w:val="center"/>
          </w:tcPr>
          <w:p w14:paraId="1190570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检查流量是否正常。</w:t>
            </w:r>
          </w:p>
        </w:tc>
      </w:tr>
      <w:tr w14:paraId="4294C8BE">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auto" w:sz="4" w:space="0"/>
              <w:right w:val="single" w:color="auto" w:sz="4" w:space="0"/>
            </w:tcBorders>
            <w:vAlign w:val="center"/>
          </w:tcPr>
          <w:p w14:paraId="25C5F41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8</w:t>
            </w:r>
          </w:p>
        </w:tc>
        <w:tc>
          <w:tcPr>
            <w:tcW w:w="1613" w:type="dxa"/>
            <w:tcBorders>
              <w:top w:val="nil"/>
              <w:left w:val="nil"/>
              <w:bottom w:val="single" w:color="auto" w:sz="4" w:space="0"/>
              <w:right w:val="single" w:color="auto" w:sz="4" w:space="0"/>
            </w:tcBorders>
            <w:vAlign w:val="center"/>
          </w:tcPr>
          <w:p w14:paraId="0E9D733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检查设备</w:t>
            </w:r>
          </w:p>
        </w:tc>
        <w:tc>
          <w:tcPr>
            <w:tcW w:w="7064" w:type="dxa"/>
            <w:tcBorders>
              <w:top w:val="nil"/>
              <w:left w:val="nil"/>
              <w:bottom w:val="single" w:color="auto" w:sz="4" w:space="0"/>
              <w:right w:val="single" w:color="auto" w:sz="4" w:space="0"/>
            </w:tcBorders>
            <w:vAlign w:val="center"/>
          </w:tcPr>
          <w:p w14:paraId="4E26D71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检查电流、流量、电机及水泵轴承温度。</w:t>
            </w:r>
          </w:p>
        </w:tc>
      </w:tr>
      <w:tr w14:paraId="38F175D9">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auto" w:sz="4" w:space="0"/>
              <w:right w:val="single" w:color="auto" w:sz="4" w:space="0"/>
            </w:tcBorders>
            <w:vAlign w:val="center"/>
          </w:tcPr>
          <w:p w14:paraId="7F9824E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9</w:t>
            </w:r>
          </w:p>
        </w:tc>
        <w:tc>
          <w:tcPr>
            <w:tcW w:w="1613" w:type="dxa"/>
            <w:tcBorders>
              <w:top w:val="nil"/>
              <w:left w:val="nil"/>
              <w:bottom w:val="single" w:color="auto" w:sz="4" w:space="0"/>
              <w:right w:val="single" w:color="auto" w:sz="4" w:space="0"/>
            </w:tcBorders>
            <w:vAlign w:val="center"/>
          </w:tcPr>
          <w:p w14:paraId="2C473D1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检查填料</w:t>
            </w:r>
          </w:p>
        </w:tc>
        <w:tc>
          <w:tcPr>
            <w:tcW w:w="7064" w:type="dxa"/>
            <w:tcBorders>
              <w:top w:val="nil"/>
              <w:left w:val="nil"/>
              <w:bottom w:val="single" w:color="auto" w:sz="4" w:space="0"/>
              <w:right w:val="single" w:color="auto" w:sz="4" w:space="0"/>
            </w:tcBorders>
            <w:vAlign w:val="center"/>
          </w:tcPr>
          <w:p w14:paraId="13C7D3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检查填料密封情况。</w:t>
            </w:r>
          </w:p>
        </w:tc>
      </w:tr>
      <w:tr w14:paraId="2C5C8F9A">
        <w:tblPrEx>
          <w:tblCellMar>
            <w:top w:w="0" w:type="dxa"/>
            <w:left w:w="108" w:type="dxa"/>
            <w:bottom w:w="0" w:type="dxa"/>
            <w:right w:w="108" w:type="dxa"/>
          </w:tblCellMar>
        </w:tblPrEx>
        <w:trPr>
          <w:trHeight w:val="556" w:hRule="atLeast"/>
        </w:trPr>
        <w:tc>
          <w:tcPr>
            <w:tcW w:w="677" w:type="dxa"/>
            <w:tcBorders>
              <w:top w:val="nil"/>
              <w:left w:val="single" w:color="auto" w:sz="4" w:space="0"/>
              <w:bottom w:val="single" w:color="auto" w:sz="4" w:space="0"/>
              <w:right w:val="single" w:color="auto" w:sz="4" w:space="0"/>
            </w:tcBorders>
            <w:vAlign w:val="center"/>
          </w:tcPr>
          <w:p w14:paraId="775ED69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10</w:t>
            </w:r>
          </w:p>
        </w:tc>
        <w:tc>
          <w:tcPr>
            <w:tcW w:w="1613" w:type="dxa"/>
            <w:tcBorders>
              <w:top w:val="nil"/>
              <w:left w:val="nil"/>
              <w:bottom w:val="single" w:color="auto" w:sz="4" w:space="0"/>
              <w:right w:val="single" w:color="auto" w:sz="4" w:space="0"/>
            </w:tcBorders>
            <w:vAlign w:val="center"/>
          </w:tcPr>
          <w:p w14:paraId="2353C67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rPr>
              <w:t>.</w:t>
            </w:r>
            <w:r>
              <w:rPr>
                <w:rFonts w:hint="eastAsia" w:ascii="仿宋" w:hAnsi="仿宋" w:eastAsia="仿宋" w:cs="仿宋"/>
                <w:color w:val="auto"/>
                <w:sz w:val="21"/>
                <w:szCs w:val="21"/>
                <w:lang w:val="en-US" w:eastAsia="zh-CN"/>
              </w:rPr>
              <w:t>收尾工作</w:t>
            </w:r>
          </w:p>
        </w:tc>
        <w:tc>
          <w:tcPr>
            <w:tcW w:w="7064" w:type="dxa"/>
            <w:tcBorders>
              <w:top w:val="nil"/>
              <w:left w:val="nil"/>
              <w:bottom w:val="single" w:color="auto" w:sz="4" w:space="0"/>
              <w:right w:val="single" w:color="auto" w:sz="4" w:space="0"/>
            </w:tcBorders>
            <w:vAlign w:val="center"/>
          </w:tcPr>
          <w:p w14:paraId="62BFFB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rPr>
            </w:pPr>
            <w:r>
              <w:rPr>
                <w:rFonts w:hint="eastAsia" w:ascii="仿宋" w:hAnsi="仿宋" w:eastAsia="仿宋" w:cs="仿宋"/>
                <w:i w:val="0"/>
                <w:iCs w:val="0"/>
                <w:color w:val="auto"/>
                <w:sz w:val="21"/>
                <w:szCs w:val="21"/>
                <w:highlight w:val="none"/>
                <w:u w:val="none"/>
                <w:lang w:val="en-US" w:eastAsia="zh-CN"/>
              </w:rPr>
              <w:t>清理现场卫生，填写记录。</w:t>
            </w:r>
          </w:p>
        </w:tc>
      </w:tr>
    </w:tbl>
    <w:p w14:paraId="7D3BAE6F">
      <w:pPr>
        <w:pageBreakBefore w:val="0"/>
        <w:kinsoku/>
        <w:wordWrap/>
        <w:overflowPunct/>
        <w:topLinePunct w:val="0"/>
        <w:autoSpaceDE/>
        <w:autoSpaceDN/>
        <w:bidi w:val="0"/>
        <w:adjustRightInd/>
        <w:snapToGrid/>
        <w:spacing w:line="240" w:lineRule="auto"/>
        <w:ind w:left="0" w:leftChars="0" w:firstLine="562" w:firstLineChars="200"/>
        <w:outlineLvl w:val="9"/>
        <w:rPr>
          <w:rFonts w:hint="eastAsia" w:ascii="仿宋" w:hAnsi="仿宋" w:eastAsia="仿宋" w:cs="仿宋"/>
          <w:b/>
          <w:color w:val="auto"/>
          <w:sz w:val="28"/>
          <w:szCs w:val="28"/>
          <w:lang w:val="en-US" w:eastAsia="zh-CN"/>
        </w:rPr>
      </w:pPr>
    </w:p>
    <w:p w14:paraId="3ACDE876">
      <w:pPr>
        <w:keepNext w:val="0"/>
        <w:keepLines w:val="0"/>
        <w:pageBreakBefore w:val="0"/>
        <w:kinsoku/>
        <w:wordWrap/>
        <w:overflowPunct/>
        <w:topLinePunct w:val="0"/>
        <w:autoSpaceDE/>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lang w:val="en-US" w:eastAsia="zh-CN"/>
        </w:rPr>
      </w:pPr>
      <w:r>
        <w:rPr>
          <w:rFonts w:hint="eastAsia" w:ascii="仿宋" w:hAnsi="仿宋" w:eastAsia="仿宋" w:cs="仿宋"/>
          <w:b/>
          <w:color w:val="auto"/>
          <w:sz w:val="28"/>
          <w:szCs w:val="28"/>
          <w:lang w:val="en-US" w:eastAsia="zh-CN"/>
        </w:rPr>
        <w:t>一、</w:t>
      </w:r>
      <w:r>
        <w:rPr>
          <w:rFonts w:hint="eastAsia" w:ascii="仿宋" w:hAnsi="仿宋" w:eastAsia="仿宋" w:cs="仿宋"/>
          <w:b/>
          <w:color w:val="auto"/>
          <w:sz w:val="28"/>
          <w:szCs w:val="28"/>
        </w:rPr>
        <w:t>一般规</w:t>
      </w:r>
      <w:r>
        <w:rPr>
          <w:rFonts w:hint="eastAsia" w:ascii="仿宋" w:hAnsi="仿宋" w:eastAsia="仿宋" w:cs="仿宋"/>
          <w:b/>
          <w:color w:val="auto"/>
          <w:sz w:val="28"/>
          <w:szCs w:val="28"/>
          <w:lang w:val="en-US" w:eastAsia="zh-CN"/>
        </w:rPr>
        <w:t>定</w:t>
      </w:r>
    </w:p>
    <w:p w14:paraId="359DB24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r>
        <w:rPr>
          <w:rFonts w:hint="default" w:ascii="仿宋" w:hAnsi="仿宋" w:eastAsia="仿宋" w:cs="仿宋"/>
          <w:color w:val="auto"/>
          <w:sz w:val="28"/>
          <w:szCs w:val="28"/>
        </w:rPr>
        <w:t>1.</w:t>
      </w:r>
      <w:r>
        <w:rPr>
          <w:rFonts w:hint="eastAsia" w:ascii="仿宋" w:hAnsi="仿宋" w:eastAsia="仿宋" w:cs="仿宋"/>
          <w:color w:val="auto"/>
          <w:sz w:val="28"/>
          <w:szCs w:val="28"/>
        </w:rPr>
        <w:t>严格遵守安全生产规章制度和操作规程，服从管理</w:t>
      </w:r>
      <w:r>
        <w:rPr>
          <w:rFonts w:hint="eastAsia" w:ascii="仿宋" w:hAnsi="仿宋" w:eastAsia="仿宋" w:cs="仿宋"/>
          <w:color w:val="auto"/>
          <w:sz w:val="28"/>
          <w:szCs w:val="28"/>
          <w:lang w:eastAsia="zh-CN"/>
        </w:rPr>
        <w:t>。</w:t>
      </w:r>
    </w:p>
    <w:p w14:paraId="1E19F0B2">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积极参加安全学习及</w:t>
      </w:r>
      <w:r>
        <w:rPr>
          <w:rFonts w:hint="eastAsia" w:ascii="仿宋" w:hAnsi="仿宋" w:eastAsia="仿宋" w:cs="仿宋"/>
          <w:color w:val="auto"/>
          <w:sz w:val="28"/>
          <w:szCs w:val="28"/>
          <w:lang w:eastAsia="zh-CN"/>
        </w:rPr>
        <w:t>相关</w:t>
      </w:r>
      <w:r>
        <w:rPr>
          <w:rFonts w:hint="eastAsia" w:ascii="仿宋" w:hAnsi="仿宋" w:eastAsia="仿宋" w:cs="仿宋"/>
          <w:color w:val="auto"/>
          <w:sz w:val="28"/>
          <w:szCs w:val="28"/>
        </w:rPr>
        <w:t>培训,掌握本职工作所需的安全生产知识，提高安全生产技能,必须经培训取得相应资格证书</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方可上岗。</w:t>
      </w:r>
    </w:p>
    <w:p w14:paraId="6CEF4030">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正确佩戴和使用劳动防护用品。</w:t>
      </w:r>
    </w:p>
    <w:p w14:paraId="577AC441">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认真开展岗前、岗中安全隐患排查，确保本岗位作业区域内相关环境</w:t>
      </w:r>
      <w:r>
        <w:rPr>
          <w:rFonts w:hint="eastAsia" w:ascii="仿宋" w:hAnsi="仿宋" w:eastAsia="仿宋" w:cs="仿宋"/>
          <w:color w:val="auto"/>
          <w:sz w:val="28"/>
          <w:szCs w:val="28"/>
          <w:lang w:val="en-US" w:eastAsia="zh-CN"/>
        </w:rPr>
        <w:t>及</w:t>
      </w:r>
      <w:r>
        <w:rPr>
          <w:rFonts w:hint="eastAsia" w:ascii="仿宋" w:hAnsi="仿宋" w:eastAsia="仿宋" w:cs="仿宋"/>
          <w:color w:val="auto"/>
          <w:sz w:val="28"/>
          <w:szCs w:val="28"/>
          <w:lang w:eastAsia="zh-CN"/>
        </w:rPr>
        <w:t>设备</w:t>
      </w:r>
      <w:r>
        <w:rPr>
          <w:rFonts w:hint="eastAsia" w:ascii="仿宋" w:hAnsi="仿宋" w:eastAsia="仿宋" w:cs="仿宋"/>
          <w:color w:val="auto"/>
          <w:sz w:val="28"/>
          <w:szCs w:val="28"/>
          <w:lang w:val="en-US" w:eastAsia="zh-CN"/>
        </w:rPr>
        <w:t>安全</w:t>
      </w:r>
      <w:r>
        <w:rPr>
          <w:rFonts w:hint="eastAsia" w:ascii="仿宋" w:hAnsi="仿宋" w:eastAsia="仿宋" w:cs="仿宋"/>
          <w:color w:val="auto"/>
          <w:sz w:val="28"/>
          <w:szCs w:val="28"/>
          <w:lang w:eastAsia="zh-CN"/>
        </w:rPr>
        <w:t>。</w:t>
      </w:r>
    </w:p>
    <w:p w14:paraId="4B429025">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.熟悉</w:t>
      </w:r>
      <w:r>
        <w:rPr>
          <w:rFonts w:hint="eastAsia" w:ascii="仿宋" w:hAnsi="仿宋" w:eastAsia="仿宋" w:cs="仿宋"/>
          <w:color w:val="auto"/>
          <w:sz w:val="28"/>
          <w:szCs w:val="28"/>
          <w:lang w:val="en-US" w:eastAsia="zh-CN"/>
        </w:rPr>
        <w:t>工作环境，熟知设备参数（特性）。</w:t>
      </w:r>
    </w:p>
    <w:p w14:paraId="1968F0FC">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lang w:eastAsia="zh-CN"/>
        </w:rPr>
        <w:t>发生安全生产事故后，事故现场有关人员应当立即报告本单位负责人；发现事故隐患或者其他不安全因素，应当立即向现场安全管理人员或者本单位负责人报告。</w:t>
      </w:r>
    </w:p>
    <w:p w14:paraId="63CF1CB2">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lang w:eastAsia="zh-CN"/>
        </w:rPr>
        <w:t>有权对单位安全生产工作中存在的问题提出批评、检举、控告，有权拒绝违章指挥和强令冒险作业。</w:t>
      </w:r>
    </w:p>
    <w:p w14:paraId="1DD4457E">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lang w:eastAsia="zh-CN"/>
        </w:rPr>
        <w:t>熟悉本岗位的安全生产风险和应急处置措施，发现直接危及人身安全的紧急情况时,有权停止作业或者在采取可能的应急措施后,撤离作业现场。</w:t>
      </w:r>
    </w:p>
    <w:p w14:paraId="38040402">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9.</w:t>
      </w:r>
      <w:r>
        <w:rPr>
          <w:rFonts w:hint="eastAsia" w:ascii="仿宋" w:hAnsi="仿宋" w:eastAsia="仿宋" w:cs="仿宋"/>
          <w:color w:val="auto"/>
          <w:sz w:val="28"/>
          <w:szCs w:val="28"/>
          <w:lang w:eastAsia="zh-CN"/>
        </w:rPr>
        <w:t>熟练掌握应急逃生知识，提高互救自救能力。</w:t>
      </w:r>
    </w:p>
    <w:p w14:paraId="78B6F1A0">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w:t>
      </w:r>
      <w:r>
        <w:rPr>
          <w:rFonts w:hint="default" w:ascii="仿宋" w:hAnsi="仿宋" w:eastAsia="仿宋" w:cs="仿宋"/>
          <w:b/>
          <w:color w:val="auto"/>
          <w:sz w:val="28"/>
          <w:szCs w:val="28"/>
        </w:rPr>
        <w:t>二</w:t>
      </w:r>
      <w:r>
        <w:rPr>
          <w:rFonts w:hint="eastAsia" w:ascii="仿宋" w:hAnsi="仿宋" w:eastAsia="仿宋" w:cs="仿宋"/>
          <w:b/>
          <w:color w:val="auto"/>
          <w:sz w:val="28"/>
          <w:szCs w:val="28"/>
        </w:rPr>
        <w:t>）入井、乘罐注意事项</w:t>
      </w:r>
    </w:p>
    <w:p w14:paraId="0852A9F5">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14:paraId="75C8C219">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自救器和矿灯。</w:t>
      </w:r>
    </w:p>
    <w:p w14:paraId="7239EE6C">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w:t>
      </w:r>
      <w:r>
        <w:rPr>
          <w:rFonts w:hint="eastAsia" w:ascii="仿宋" w:hAnsi="仿宋" w:eastAsia="仿宋" w:cs="仿宋"/>
          <w:color w:val="auto"/>
          <w:sz w:val="28"/>
          <w:szCs w:val="28"/>
          <w:lang w:val="en-US" w:eastAsia="zh-CN"/>
        </w:rPr>
        <w:t>检身</w:t>
      </w:r>
      <w:r>
        <w:rPr>
          <w:rFonts w:hint="eastAsia" w:ascii="仿宋" w:hAnsi="仿宋" w:eastAsia="仿宋" w:cs="仿宋"/>
          <w:color w:val="auto"/>
          <w:sz w:val="28"/>
          <w:szCs w:val="28"/>
        </w:rPr>
        <w:t>制度。</w:t>
      </w:r>
    </w:p>
    <w:p w14:paraId="3BDE4840">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.乘坐罐笼按顺序上下，不可拥挤和打闹；罐笼运行中，不要把头和手脚伸到罐外；不准向井筒</w:t>
      </w:r>
      <w:r>
        <w:rPr>
          <w:rFonts w:hint="eastAsia" w:ascii="仿宋" w:hAnsi="仿宋" w:eastAsia="仿宋" w:cs="仿宋"/>
          <w:color w:val="auto"/>
          <w:sz w:val="28"/>
          <w:szCs w:val="28"/>
          <w:lang w:val="en-US" w:eastAsia="zh-CN"/>
        </w:rPr>
        <w:t>内</w:t>
      </w:r>
      <w:r>
        <w:rPr>
          <w:rFonts w:hint="eastAsia" w:ascii="仿宋" w:hAnsi="仿宋" w:eastAsia="仿宋" w:cs="仿宋"/>
          <w:color w:val="auto"/>
          <w:sz w:val="28"/>
          <w:szCs w:val="28"/>
        </w:rPr>
        <w:t>扔</w:t>
      </w:r>
      <w:r>
        <w:rPr>
          <w:rFonts w:hint="eastAsia" w:ascii="仿宋" w:hAnsi="仿宋" w:eastAsia="仿宋" w:cs="仿宋"/>
          <w:color w:val="auto"/>
          <w:sz w:val="28"/>
          <w:szCs w:val="28"/>
          <w:lang w:val="en-US" w:eastAsia="zh-CN"/>
        </w:rPr>
        <w:t>杂物</w:t>
      </w:r>
      <w:r>
        <w:rPr>
          <w:rFonts w:hint="eastAsia" w:ascii="仿宋" w:hAnsi="仿宋" w:eastAsia="仿宋" w:cs="仿宋"/>
          <w:color w:val="auto"/>
          <w:sz w:val="28"/>
          <w:szCs w:val="28"/>
        </w:rPr>
        <w:t>。</w:t>
      </w:r>
    </w:p>
    <w:p w14:paraId="35086885">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w:t>
      </w:r>
      <w:r>
        <w:rPr>
          <w:rFonts w:hint="default" w:ascii="仿宋" w:hAnsi="仿宋" w:eastAsia="仿宋" w:cs="仿宋"/>
          <w:b/>
          <w:color w:val="auto"/>
          <w:sz w:val="28"/>
          <w:szCs w:val="28"/>
        </w:rPr>
        <w:t>三</w:t>
      </w:r>
      <w:r>
        <w:rPr>
          <w:rFonts w:hint="eastAsia" w:ascii="仿宋" w:hAnsi="仿宋" w:eastAsia="仿宋" w:cs="仿宋"/>
          <w:b/>
          <w:color w:val="auto"/>
          <w:sz w:val="28"/>
          <w:szCs w:val="28"/>
        </w:rPr>
        <w:t>）井下行走注意事项</w:t>
      </w:r>
    </w:p>
    <w:p w14:paraId="4B907F68">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14:paraId="084E7599">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w:t>
      </w:r>
      <w:r>
        <w:rPr>
          <w:rFonts w:hint="eastAsia" w:ascii="仿宋" w:hAnsi="仿宋" w:eastAsia="仿宋" w:cs="仿宋"/>
          <w:color w:val="auto"/>
          <w:sz w:val="28"/>
          <w:szCs w:val="28"/>
          <w:lang w:val="en-US" w:eastAsia="zh-CN"/>
        </w:rPr>
        <w:t>状</w:t>
      </w:r>
      <w:r>
        <w:rPr>
          <w:rFonts w:hint="eastAsia" w:ascii="仿宋" w:hAnsi="仿宋" w:eastAsia="仿宋" w:cs="仿宋"/>
          <w:color w:val="auto"/>
          <w:sz w:val="28"/>
          <w:szCs w:val="28"/>
        </w:rPr>
        <w:t>况 ，确认安全后再通过。</w:t>
      </w:r>
    </w:p>
    <w:p w14:paraId="4BDDAB7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lang w:val="en-US" w:eastAsia="zh-CN"/>
        </w:rPr>
        <w:t>二</w:t>
      </w:r>
      <w:r>
        <w:rPr>
          <w:rFonts w:hint="eastAsia" w:ascii="仿宋" w:hAnsi="仿宋" w:eastAsia="仿宋" w:cs="仿宋"/>
          <w:b/>
          <w:bCs w:val="0"/>
          <w:color w:val="auto"/>
          <w:sz w:val="28"/>
          <w:szCs w:val="28"/>
          <w:highlight w:val="none"/>
        </w:rPr>
        <w:t>、薄弱人物排查治理办法</w:t>
      </w:r>
    </w:p>
    <w:p w14:paraId="542123A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3064D6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1A71B6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77155FA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693131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3D1D224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71978E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4BCA32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0BB62F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31901F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3C91EA7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22E1A2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6F1153E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7E7585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33B0E2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17F01F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6D2866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711412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27984C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626ED7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695AAA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66EEE1D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49AD63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062D0E7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6FC510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8BF07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18F32C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4F1BCB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692941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57BC7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14F4842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41E6EA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1E22AD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530B13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2B82A4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0655C2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285D79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61CD02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7FEA19D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64CF73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35216F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068CBE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6D6601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03E9CE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1B88E1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55289A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06A5FA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07D28969">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val="en-US" w:eastAsia="zh-CN"/>
        </w:rPr>
        <w:t>三</w:t>
      </w:r>
      <w:r>
        <w:rPr>
          <w:rFonts w:hint="eastAsia" w:ascii="仿宋" w:hAnsi="仿宋" w:eastAsia="仿宋" w:cs="仿宋"/>
          <w:b/>
          <w:color w:val="auto"/>
          <w:sz w:val="28"/>
          <w:szCs w:val="28"/>
        </w:rPr>
        <w:t>、安全风险辨识与管控措施</w:t>
      </w:r>
    </w:p>
    <w:p w14:paraId="33C063D4">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bCs/>
          <w:color w:val="auto"/>
          <w:sz w:val="28"/>
          <w:szCs w:val="28"/>
          <w:lang w:eastAsia="zh-CN"/>
        </w:rPr>
      </w:pPr>
      <w:r>
        <w:rPr>
          <w:rFonts w:hint="default" w:ascii="仿宋" w:hAnsi="仿宋" w:eastAsia="仿宋" w:cs="仿宋"/>
          <w:b/>
          <w:bCs/>
          <w:color w:val="auto"/>
          <w:sz w:val="28"/>
          <w:szCs w:val="28"/>
          <w:lang w:eastAsia="zh-CN"/>
        </w:rPr>
        <w:t>（一）通用部分</w:t>
      </w:r>
    </w:p>
    <w:p w14:paraId="782D8F82">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1.</w:t>
      </w:r>
      <w:r>
        <w:rPr>
          <w:rFonts w:hint="eastAsia" w:ascii="仿宋" w:hAnsi="仿宋" w:eastAsia="仿宋" w:cs="仿宋"/>
          <w:color w:val="auto"/>
          <w:sz w:val="28"/>
          <w:szCs w:val="28"/>
        </w:rPr>
        <w:t>风险描述：防护用品不完好，不按规定佩</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，存在人员受伤的风险。</w:t>
      </w:r>
    </w:p>
    <w:p w14:paraId="266E5FC2">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好安全防护用品。</w:t>
      </w:r>
    </w:p>
    <w:p w14:paraId="628338EB">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工作场所顶帮破裂，存在人员受伤的风险</w:t>
      </w:r>
      <w:r>
        <w:rPr>
          <w:rFonts w:hint="eastAsia" w:ascii="仿宋" w:hAnsi="仿宋" w:eastAsia="仿宋" w:cs="仿宋"/>
          <w:color w:val="auto"/>
          <w:sz w:val="28"/>
          <w:szCs w:val="28"/>
        </w:rPr>
        <w:t>。</w:t>
      </w:r>
    </w:p>
    <w:p w14:paraId="4BF106E1">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进入工作场所，检查顶帮，发现顶帮及两帮开裂及时敲除。</w:t>
      </w:r>
    </w:p>
    <w:p w14:paraId="0DD00D24">
      <w:pPr>
        <w:keepNext w:val="0"/>
        <w:keepLines w:val="0"/>
        <w:pageBreakBefore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3.</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水泵工作时，转动部位有人，存在</w:t>
      </w:r>
      <w:r>
        <w:rPr>
          <w:rFonts w:hint="eastAsia" w:ascii="仿宋" w:hAnsi="仿宋" w:eastAsia="仿宋" w:cs="仿宋"/>
          <w:color w:val="auto"/>
          <w:sz w:val="28"/>
          <w:szCs w:val="28"/>
        </w:rPr>
        <w:t>伤人的风险。</w:t>
      </w:r>
    </w:p>
    <w:p w14:paraId="3E5C48BF">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水泵工作时，确认水泵转动部位无人员。</w:t>
      </w:r>
    </w:p>
    <w:p w14:paraId="116D9256">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lang w:eastAsia="zh-CN"/>
        </w:rPr>
      </w:pPr>
      <w:r>
        <w:rPr>
          <w:rFonts w:hint="default" w:ascii="仿宋" w:hAnsi="仿宋" w:eastAsia="仿宋" w:cs="仿宋"/>
          <w:b/>
          <w:color w:val="auto"/>
          <w:sz w:val="28"/>
          <w:szCs w:val="28"/>
          <w:lang w:eastAsia="zh-CN"/>
        </w:rPr>
        <w:t>（二）专用部分</w:t>
      </w:r>
    </w:p>
    <w:p w14:paraId="0E2E6722">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14:paraId="21FEE79B">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操作</w:t>
      </w:r>
      <w:r>
        <w:rPr>
          <w:rFonts w:hint="eastAsia" w:ascii="仿宋" w:hAnsi="仿宋" w:eastAsia="仿宋" w:cs="仿宋"/>
          <w:color w:val="auto"/>
          <w:sz w:val="28"/>
          <w:szCs w:val="28"/>
        </w:rPr>
        <w:t>人员</w:t>
      </w:r>
      <w:r>
        <w:rPr>
          <w:rFonts w:hint="eastAsia" w:ascii="仿宋" w:hAnsi="仿宋" w:eastAsia="仿宋" w:cs="仿宋"/>
          <w:color w:val="auto"/>
          <w:sz w:val="28"/>
          <w:szCs w:val="28"/>
          <w:lang w:val="en-US" w:eastAsia="zh-CN"/>
        </w:rPr>
        <w:t>及监护人员站位不当</w:t>
      </w:r>
      <w:r>
        <w:rPr>
          <w:rFonts w:hint="eastAsia" w:ascii="仿宋" w:hAnsi="仿宋" w:eastAsia="仿宋" w:cs="仿宋"/>
          <w:color w:val="auto"/>
          <w:sz w:val="28"/>
          <w:szCs w:val="28"/>
        </w:rPr>
        <w:t>，存在人员伤亡的风险。</w:t>
      </w:r>
    </w:p>
    <w:p w14:paraId="7CFF3EB1">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w:t>
      </w:r>
      <w:r>
        <w:rPr>
          <w:rFonts w:hint="eastAsia" w:ascii="仿宋" w:hAnsi="仿宋" w:eastAsia="仿宋" w:cs="仿宋"/>
          <w:color w:val="auto"/>
          <w:sz w:val="28"/>
          <w:szCs w:val="28"/>
          <w:lang w:val="en-US" w:eastAsia="zh-CN"/>
        </w:rPr>
        <w:t>操作人员站位得当，转动部位确认无人</w:t>
      </w:r>
      <w:r>
        <w:rPr>
          <w:rFonts w:hint="eastAsia" w:ascii="仿宋" w:hAnsi="仿宋" w:eastAsia="仿宋" w:cs="仿宋"/>
          <w:color w:val="auto"/>
          <w:sz w:val="28"/>
          <w:szCs w:val="28"/>
        </w:rPr>
        <w:t>。</w:t>
      </w:r>
    </w:p>
    <w:p w14:paraId="2D65982B">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2.操作过程中</w:t>
      </w:r>
      <w:r>
        <w:rPr>
          <w:rFonts w:hint="default" w:ascii="仿宋" w:hAnsi="仿宋" w:eastAsia="仿宋" w:cs="仿宋"/>
          <w:color w:val="auto"/>
          <w:sz w:val="28"/>
          <w:szCs w:val="28"/>
        </w:rPr>
        <w:t>：</w:t>
      </w:r>
    </w:p>
    <w:p w14:paraId="0578805F">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抽真空时，真空管堵塞，真空值达不到要求。</w:t>
      </w:r>
    </w:p>
    <w:p w14:paraId="55E829FB">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拆卸真空管，取出堵塞物。</w:t>
      </w:r>
    </w:p>
    <w:p w14:paraId="5EE106E3">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水泵不吸水，压力表及真空表指针剧烈跳动。</w:t>
      </w:r>
    </w:p>
    <w:p w14:paraId="00AE4754">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处理漏气处，确保水泵内注满水。</w:t>
      </w:r>
    </w:p>
    <w:p w14:paraId="2407238E">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③</w:t>
      </w:r>
      <w:r>
        <w:rPr>
          <w:rFonts w:hint="eastAsia" w:ascii="仿宋" w:hAnsi="仿宋" w:eastAsia="仿宋" w:cs="仿宋"/>
          <w:color w:val="auto"/>
          <w:sz w:val="28"/>
          <w:szCs w:val="28"/>
          <w:lang w:val="en-US" w:eastAsia="zh-CN"/>
        </w:rPr>
        <w:t>风险描述：水泵启动后流量低，正压值低、泵体发热。</w:t>
      </w:r>
    </w:p>
    <w:p w14:paraId="000F9FB0">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取出吸水管或泵体入水口处堵塞。</w:t>
      </w:r>
    </w:p>
    <w:p w14:paraId="13597BC3">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④</w:t>
      </w:r>
      <w:r>
        <w:rPr>
          <w:rFonts w:hint="eastAsia" w:ascii="仿宋" w:hAnsi="仿宋" w:eastAsia="仿宋" w:cs="仿宋"/>
          <w:color w:val="auto"/>
          <w:sz w:val="28"/>
          <w:szCs w:val="28"/>
          <w:lang w:val="en-US" w:eastAsia="zh-CN"/>
        </w:rPr>
        <w:t>风险描述：水泵不上水，压力表指示均正常。</w:t>
      </w:r>
    </w:p>
    <w:p w14:paraId="7E695DF3">
      <w:pPr>
        <w:pStyle w:val="18"/>
        <w:keepNext w:val="0"/>
        <w:keepLines w:val="0"/>
        <w:pageBreakBefore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管控措施：确保闸阀、止回阀处于打开状态。</w:t>
      </w:r>
    </w:p>
    <w:p w14:paraId="72B7936E">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3.操作后</w:t>
      </w:r>
      <w:r>
        <w:rPr>
          <w:rFonts w:hint="default" w:ascii="仿宋" w:hAnsi="仿宋" w:eastAsia="仿宋" w:cs="仿宋"/>
          <w:color w:val="auto"/>
          <w:sz w:val="28"/>
          <w:szCs w:val="28"/>
        </w:rPr>
        <w:t>：</w:t>
      </w:r>
    </w:p>
    <w:p w14:paraId="125FF00A">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填料处密封情况</w:t>
      </w:r>
      <w:r>
        <w:rPr>
          <w:rFonts w:hint="eastAsia" w:ascii="仿宋" w:hAnsi="仿宋" w:eastAsia="仿宋" w:cs="仿宋"/>
          <w:color w:val="auto"/>
          <w:sz w:val="28"/>
          <w:szCs w:val="28"/>
        </w:rPr>
        <w:t>。</w:t>
      </w:r>
    </w:p>
    <w:p w14:paraId="162C1808">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调整填料压盖，检查填料压紧程度。</w:t>
      </w:r>
    </w:p>
    <w:p w14:paraId="51450C7A">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②</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水泵振动是否剧烈。</w:t>
      </w:r>
    </w:p>
    <w:p w14:paraId="237B635F">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调整对轮同轴度，检查水泵电机底座螺栓是否松动。</w:t>
      </w:r>
    </w:p>
    <w:p w14:paraId="1ABFE5AF">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水泵开启后未及时清理现场，水泵工存在摔伤</w:t>
      </w:r>
      <w:r>
        <w:rPr>
          <w:rFonts w:hint="eastAsia" w:ascii="仿宋" w:hAnsi="仿宋" w:eastAsia="仿宋" w:cs="仿宋"/>
          <w:color w:val="auto"/>
          <w:sz w:val="28"/>
          <w:szCs w:val="28"/>
        </w:rPr>
        <w:t>的风险。</w:t>
      </w:r>
    </w:p>
    <w:p w14:paraId="506A9870">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40"/>
          <w:szCs w:val="40"/>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水泵开启后及时清理现场，水泵工存在摔伤</w:t>
      </w:r>
      <w:r>
        <w:rPr>
          <w:rFonts w:hint="eastAsia" w:ascii="仿宋" w:hAnsi="仿宋" w:eastAsia="仿宋" w:cs="仿宋"/>
          <w:color w:val="auto"/>
          <w:sz w:val="28"/>
          <w:szCs w:val="28"/>
        </w:rPr>
        <w:t>的风险。</w:t>
      </w:r>
      <w:r>
        <w:rPr>
          <w:rFonts w:hint="default" w:ascii="仿宋" w:hAnsi="仿宋" w:eastAsia="仿宋" w:cs="仿宋"/>
          <w:color w:val="auto"/>
          <w:sz w:val="40"/>
          <w:szCs w:val="40"/>
        </w:rPr>
        <w:t xml:space="preserve">                                                    </w:t>
      </w:r>
    </w:p>
    <w:p w14:paraId="6933002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四、（一）开泵前检查</w:t>
      </w:r>
    </w:p>
    <w:p w14:paraId="28EE595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1.防护用品：防护用品齐全完好。</w:t>
      </w:r>
    </w:p>
    <w:p w14:paraId="05CA601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2.顶帮：顶帮支护完好。</w:t>
      </w:r>
    </w:p>
    <w:p w14:paraId="6C96AB2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3.仪器仪表：检查正常。</w:t>
      </w:r>
    </w:p>
    <w:p w14:paraId="03A2C49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4.监护人：监护人到位。</w:t>
      </w:r>
    </w:p>
    <w:p w14:paraId="028DEB8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5.站位：人员站位正确，退路畅通。</w:t>
      </w:r>
    </w:p>
    <w:p w14:paraId="235CD53F">
      <w:pPr>
        <w:pStyle w:val="1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2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1"/>
          <w:szCs w:val="21"/>
          <w:lang w:val="en-US" w:eastAsia="zh-CN" w:bidi="ar"/>
        </w:rPr>
        <w:t xml:space="preserve"> </w:t>
      </w:r>
      <w:r>
        <w:rPr>
          <w:rFonts w:hint="default" w:ascii="仿宋" w:hAnsi="仿宋" w:eastAsia="仿宋" w:cs="仿宋"/>
          <w:b/>
          <w:i w:val="0"/>
          <w:caps w:val="0"/>
          <w:color w:val="auto"/>
          <w:spacing w:val="0"/>
          <w:kern w:val="0"/>
          <w:sz w:val="28"/>
          <w:szCs w:val="28"/>
          <w:lang w:val="en-US" w:eastAsia="zh-CN" w:bidi="ar"/>
        </w:rPr>
        <w:t>（二）单元检查表确认</w:t>
      </w:r>
    </w:p>
    <w:p w14:paraId="28AC446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1.检查设备是否完好：设备完好。</w:t>
      </w:r>
    </w:p>
    <w:p w14:paraId="6915A1A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2.检查供水管路、抽真空系统是否正常：管路、抽真空系统正常。</w:t>
      </w:r>
    </w:p>
    <w:p w14:paraId="4A37D84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3.检查主排水阀门是否关闭：主排水非专门在关闭状态。</w:t>
      </w:r>
    </w:p>
    <w:p w14:paraId="08F5FD5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4.控制设备是否正常：控制设备正常。</w:t>
      </w:r>
    </w:p>
    <w:p w14:paraId="5879601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5.转动部位是否有人：转动部位及附近无人员。</w:t>
      </w:r>
    </w:p>
    <w:p w14:paraId="2C946CA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6.检查各仪器、仪表及温度是否正常：各仪器、仪表正常，温度正常。</w:t>
      </w:r>
    </w:p>
    <w:p w14:paraId="0DEDEE7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7.检查排水阀门是否打开，流量大小：排水阀门已打开，流量正常。</w:t>
      </w:r>
    </w:p>
    <w:p w14:paraId="0252BCA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8.检查填料处密封情况：填料处密封完好。</w:t>
      </w:r>
    </w:p>
    <w:p w14:paraId="2696EF5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9.检查电机、泵体振动是否正常：电机运转正常、泵体无明显振动。</w:t>
      </w:r>
    </w:p>
    <w:p w14:paraId="2468669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10.检查现场标准化：现场标准化达标。</w:t>
      </w:r>
    </w:p>
    <w:p w14:paraId="5048027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i w:val="0"/>
          <w:caps w:val="0"/>
          <w:color w:val="auto"/>
          <w:spacing w:val="0"/>
          <w:kern w:val="2"/>
          <w:sz w:val="28"/>
          <w:szCs w:val="28"/>
          <w:lang w:val="en-US" w:eastAsia="zh-CN" w:bidi="ar"/>
        </w:rPr>
        <w:t>五、</w:t>
      </w:r>
      <w:r>
        <w:rPr>
          <w:rFonts w:hint="default" w:ascii="仿宋" w:hAnsi="仿宋" w:eastAsia="仿宋" w:cs="仿宋"/>
          <w:b/>
          <w:color w:val="auto"/>
          <w:kern w:val="2"/>
          <w:sz w:val="28"/>
          <w:szCs w:val="28"/>
          <w:lang w:val="en-US" w:eastAsia="zh-CN" w:bidi="ar"/>
        </w:rPr>
        <w:t>水泵工正规操作</w:t>
      </w:r>
    </w:p>
    <w:p w14:paraId="54F46AD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（一）水泵工操作顺序：</w:t>
      </w:r>
    </w:p>
    <w:p w14:paraId="4182764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一键启停→水泵仪表仪表→水泵流量→填料→水泵振动→水泵房。</w:t>
      </w:r>
    </w:p>
    <w:p w14:paraId="7D24BE1E">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eastAsia="zh-CN" w:bidi="ar"/>
        </w:rPr>
        <w:t>（二）</w:t>
      </w:r>
      <w:r>
        <w:rPr>
          <w:rFonts w:hint="default" w:ascii="仿宋" w:hAnsi="仿宋" w:eastAsia="仿宋" w:cs="仿宋"/>
          <w:b/>
          <w:color w:val="auto"/>
          <w:kern w:val="2"/>
          <w:sz w:val="28"/>
          <w:szCs w:val="28"/>
          <w:lang w:val="en-US" w:eastAsia="zh-CN" w:bidi="ar"/>
        </w:rPr>
        <w:t>水泵工正规操作：</w:t>
      </w:r>
    </w:p>
    <w:p w14:paraId="3F60FB3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1.一键启停：按顺序试验每台水泵。</w:t>
      </w:r>
    </w:p>
    <w:p w14:paraId="65270B0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2.水泵仪器仪表：检查压力表正常。</w:t>
      </w:r>
    </w:p>
    <w:p w14:paraId="6C83FD9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3.水泵流量：检查水泵流量正常。</w:t>
      </w:r>
    </w:p>
    <w:p w14:paraId="1A0EEF7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4.填料：填料压紧程度适中。</w:t>
      </w:r>
    </w:p>
    <w:p w14:paraId="4C1EFEC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5.水泵振动：水泵底座无松动。</w:t>
      </w:r>
    </w:p>
    <w:p w14:paraId="553F547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6.水泵房：水泵房已清扫。</w:t>
      </w:r>
    </w:p>
    <w:p w14:paraId="2A75D3D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六、水泵工操作过程中的注意事项</w:t>
      </w:r>
    </w:p>
    <w:p w14:paraId="7589373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1.检查：检查设备完好。</w:t>
      </w:r>
    </w:p>
    <w:p w14:paraId="5CD578C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2.开泵前检查：仪器、仪表完好，主排水阀门关闭，控制设备正常，转动部位及附近无人员。</w:t>
      </w:r>
    </w:p>
    <w:p w14:paraId="1C47411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3.开泵时检查：排水阀门打开，流量正常，填料处密封完好，电机运转正常，泵体无明显振动。</w:t>
      </w:r>
    </w:p>
    <w:p w14:paraId="26982B9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七、作业后确认</w:t>
      </w:r>
    </w:p>
    <w:p w14:paraId="0216EE0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1.仪表：仪表指示正常。</w:t>
      </w:r>
    </w:p>
    <w:p w14:paraId="163CD78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2.现场标准化：做好现场标准化达标。</w:t>
      </w:r>
    </w:p>
    <w:p w14:paraId="120D042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3.记录：认真填写记录。</w:t>
      </w:r>
    </w:p>
    <w:p w14:paraId="3424C46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八、全部注意事项</w:t>
      </w:r>
    </w:p>
    <w:p w14:paraId="6073DAA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1.检查：认真检查各管路、对轮连接处。</w:t>
      </w:r>
    </w:p>
    <w:p w14:paraId="732CEDE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2.开泵时：将水泵控制台“远程、就地”开关旋转至“就地”位置。试验每台水泵。</w:t>
      </w:r>
    </w:p>
    <w:p w14:paraId="5BE798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3.站位：时刻保证正确站位，远离运转部位，确保退路畅通。</w:t>
      </w:r>
    </w:p>
    <w:p w14:paraId="0AF463F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2"/>
          <w:sz w:val="28"/>
          <w:szCs w:val="28"/>
        </w:rPr>
      </w:pPr>
      <w:r>
        <w:rPr>
          <w:rFonts w:hint="default" w:ascii="仿宋" w:hAnsi="仿宋" w:eastAsia="仿宋" w:cs="仿宋"/>
          <w:i w:val="0"/>
          <w:caps w:val="0"/>
          <w:color w:val="auto"/>
          <w:spacing w:val="0"/>
          <w:kern w:val="2"/>
          <w:sz w:val="28"/>
          <w:szCs w:val="28"/>
          <w:lang w:val="en-US" w:eastAsia="zh-CN" w:bidi="ar"/>
        </w:rPr>
        <w:t>4.试验完毕：试验完毕将“远程、就地”旋钮旋至远程位置。</w:t>
      </w:r>
    </w:p>
    <w:p w14:paraId="739A63B6">
      <w:pPr>
        <w:pStyle w:val="1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Calibri" w:hAnsi="Calibri" w:eastAsia="宋体" w:cs="Calibri"/>
          <w:color w:val="auto"/>
          <w:kern w:val="2"/>
          <w:sz w:val="40"/>
          <w:szCs w:val="40"/>
        </w:rPr>
      </w:pPr>
      <w:r>
        <w:rPr>
          <w:rFonts w:hint="default" w:ascii="仿宋" w:hAnsi="仿宋" w:eastAsia="仿宋" w:cs="仿宋"/>
          <w:i w:val="0"/>
          <w:caps w:val="0"/>
          <w:color w:val="auto"/>
          <w:spacing w:val="0"/>
          <w:kern w:val="2"/>
          <w:sz w:val="28"/>
          <w:szCs w:val="28"/>
          <w:lang w:val="en-US" w:eastAsia="zh-CN" w:bidi="ar"/>
        </w:rPr>
        <w:t>5.水泵开启完毕：</w:t>
      </w:r>
      <w:r>
        <w:rPr>
          <w:rFonts w:hint="default" w:ascii="仿宋" w:hAnsi="仿宋" w:eastAsia="仿宋" w:cs="仿宋"/>
          <w:i w:val="0"/>
          <w:caps w:val="0"/>
          <w:color w:val="auto"/>
          <w:spacing w:val="0"/>
          <w:kern w:val="0"/>
          <w:sz w:val="28"/>
          <w:szCs w:val="28"/>
          <w:lang w:val="en-US" w:eastAsia="zh-CN" w:bidi="ar"/>
        </w:rPr>
        <w:t>做好现场标准化达标，认真填写记录。</w:t>
      </w:r>
    </w:p>
    <w:p w14:paraId="1C43F6F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九、事故案例</w:t>
      </w:r>
    </w:p>
    <w:p w14:paraId="34AA0A9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lang w:val="en-US" w:eastAsia="zh-CN" w:bidi="ar"/>
        </w:rPr>
      </w:pPr>
      <w:r>
        <w:rPr>
          <w:rFonts w:hint="default" w:ascii="仿宋" w:hAnsi="仿宋" w:eastAsia="仿宋" w:cs="仿宋"/>
          <w:i w:val="0"/>
          <w:caps w:val="0"/>
          <w:color w:val="auto"/>
          <w:spacing w:val="0"/>
          <w:kern w:val="0"/>
          <w:sz w:val="28"/>
          <w:szCs w:val="28"/>
          <w:lang w:val="en-US" w:eastAsia="zh-CN" w:bidi="ar"/>
        </w:rPr>
        <w:t>（一）事故经过</w:t>
      </w:r>
      <w:r>
        <w:rPr>
          <w:rFonts w:hint="eastAsia" w:ascii="仿宋" w:hAnsi="仿宋" w:eastAsia="仿宋" w:cs="仿宋"/>
          <w:i w:val="0"/>
          <w:caps w:val="0"/>
          <w:color w:val="auto"/>
          <w:spacing w:val="0"/>
          <w:kern w:val="0"/>
          <w:sz w:val="28"/>
          <w:szCs w:val="28"/>
          <w:lang w:val="en-US" w:eastAsia="zh-CN" w:bidi="ar"/>
        </w:rPr>
        <w:t>：</w:t>
      </w:r>
      <w:r>
        <w:rPr>
          <w:rFonts w:hint="default" w:ascii="仿宋" w:hAnsi="仿宋" w:eastAsia="仿宋" w:cs="仿宋"/>
          <w:i w:val="0"/>
          <w:caps w:val="0"/>
          <w:color w:val="auto"/>
          <w:spacing w:val="0"/>
          <w:kern w:val="0"/>
          <w:sz w:val="28"/>
          <w:szCs w:val="28"/>
          <w:lang w:val="en-US" w:eastAsia="zh-CN" w:bidi="ar"/>
        </w:rPr>
        <w:t>1997年7月10日，洼里矿水泵司机王某在水泵运行期间检查水泵运行情况，当检查至泵轴旋转部位时，衣袖卷入，造成手臂伤害截肢。</w:t>
      </w:r>
    </w:p>
    <w:p w14:paraId="6A0C166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（二）事故原因</w:t>
      </w:r>
    </w:p>
    <w:p w14:paraId="191F457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1.受害者安全意识淡薄，工作前未进行安全风险辨识分析，在检查水泵泵轴运转情况时，未检查确认衣袖是否扣紧，在衣袖敞开的情况下作业，是此次事故的直接原因。</w:t>
      </w:r>
    </w:p>
    <w:p w14:paraId="6F1CE17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2.王某在工作中不执行规章制度，疏忽大意，违章作业。</w:t>
      </w:r>
    </w:p>
    <w:p w14:paraId="3DD8B68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3.员工安全第一，预防为主的思想不牢。</w:t>
      </w:r>
    </w:p>
    <w:p w14:paraId="4A880DC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（三）防范措施</w:t>
      </w:r>
    </w:p>
    <w:p w14:paraId="4B1AA87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1.加强现场监督，落实安全责任，增强员工的自主保安和互保联保意识。</w:t>
      </w:r>
    </w:p>
    <w:p w14:paraId="795E9DF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2.加强职工的技术培训和安全知识培训，提高职工的业务素质和安全意识。</w:t>
      </w:r>
    </w:p>
    <w:p w14:paraId="2051E7C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十、常见三违</w:t>
      </w:r>
    </w:p>
    <w:p w14:paraId="0261356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（一）安排未通过规程、措施学习考试、签字的职工上岗作业</w:t>
      </w:r>
      <w:r>
        <w:rPr>
          <w:rFonts w:hint="eastAsia" w:ascii="仿宋" w:hAnsi="仿宋" w:eastAsia="仿宋" w:cs="仿宋"/>
          <w:i w:val="0"/>
          <w:caps w:val="0"/>
          <w:color w:val="auto"/>
          <w:spacing w:val="0"/>
          <w:kern w:val="0"/>
          <w:sz w:val="28"/>
          <w:szCs w:val="28"/>
          <w:lang w:val="en-US" w:eastAsia="zh-CN" w:bidi="ar"/>
        </w:rPr>
        <w:t>；</w:t>
      </w:r>
    </w:p>
    <w:p w14:paraId="75CFE9E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（二）对抵制或举报制止违章的人员进行打击报复</w:t>
      </w:r>
      <w:r>
        <w:rPr>
          <w:rFonts w:hint="eastAsia" w:ascii="仿宋" w:hAnsi="仿宋" w:eastAsia="仿宋" w:cs="仿宋"/>
          <w:i w:val="0"/>
          <w:caps w:val="0"/>
          <w:color w:val="auto"/>
          <w:spacing w:val="0"/>
          <w:kern w:val="0"/>
          <w:sz w:val="28"/>
          <w:szCs w:val="28"/>
          <w:lang w:val="en-US" w:eastAsia="zh-CN" w:bidi="ar"/>
        </w:rPr>
        <w:t>；</w:t>
      </w:r>
    </w:p>
    <w:p w14:paraId="4BEF318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（三）现场存在事故隐患尚未处理，强令工人冒险作业</w:t>
      </w:r>
      <w:r>
        <w:rPr>
          <w:rFonts w:hint="eastAsia" w:ascii="仿宋" w:hAnsi="仿宋" w:eastAsia="仿宋" w:cs="仿宋"/>
          <w:i w:val="0"/>
          <w:caps w:val="0"/>
          <w:color w:val="auto"/>
          <w:spacing w:val="0"/>
          <w:kern w:val="0"/>
          <w:sz w:val="28"/>
          <w:szCs w:val="28"/>
          <w:lang w:val="en-US" w:eastAsia="zh-CN" w:bidi="ar"/>
        </w:rPr>
        <w:t>；</w:t>
      </w:r>
    </w:p>
    <w:p w14:paraId="36C6C7F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（四）井下不按规定佩带矿灯、自救器或安全帽</w:t>
      </w:r>
      <w:r>
        <w:rPr>
          <w:rFonts w:hint="eastAsia" w:ascii="仿宋" w:hAnsi="仿宋" w:eastAsia="仿宋" w:cs="仿宋"/>
          <w:i w:val="0"/>
          <w:caps w:val="0"/>
          <w:color w:val="auto"/>
          <w:spacing w:val="0"/>
          <w:kern w:val="0"/>
          <w:sz w:val="28"/>
          <w:szCs w:val="28"/>
          <w:lang w:val="en-US" w:eastAsia="zh-CN" w:bidi="ar"/>
        </w:rPr>
        <w:t>；</w:t>
      </w:r>
    </w:p>
    <w:p w14:paraId="381C4AA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eastAsia" w:ascii="仿宋" w:hAnsi="仿宋" w:eastAsia="仿宋" w:cs="仿宋"/>
          <w:i w:val="0"/>
          <w:caps w:val="0"/>
          <w:color w:val="auto"/>
          <w:spacing w:val="0"/>
          <w:kern w:val="0"/>
          <w:sz w:val="28"/>
          <w:szCs w:val="28"/>
          <w:lang w:val="en-US" w:eastAsia="zh-CN" w:bidi="ar"/>
        </w:rPr>
      </w:pPr>
      <w:r>
        <w:rPr>
          <w:rFonts w:hint="default" w:ascii="仿宋" w:hAnsi="仿宋" w:eastAsia="仿宋" w:cs="仿宋"/>
          <w:i w:val="0"/>
          <w:caps w:val="0"/>
          <w:color w:val="auto"/>
          <w:spacing w:val="0"/>
          <w:kern w:val="0"/>
          <w:sz w:val="28"/>
          <w:szCs w:val="28"/>
          <w:lang w:val="en-US" w:eastAsia="zh-CN" w:bidi="ar"/>
        </w:rPr>
        <w:t>（五）携带烟草和点火物品（手机），穿化纤衣服入井或入井前饮酒的</w:t>
      </w:r>
      <w:r>
        <w:rPr>
          <w:rFonts w:hint="eastAsia" w:ascii="仿宋" w:hAnsi="仿宋" w:eastAsia="仿宋" w:cs="仿宋"/>
          <w:i w:val="0"/>
          <w:caps w:val="0"/>
          <w:color w:val="auto"/>
          <w:spacing w:val="0"/>
          <w:kern w:val="0"/>
          <w:sz w:val="28"/>
          <w:szCs w:val="28"/>
          <w:lang w:val="en-US" w:eastAsia="zh-CN" w:bidi="ar"/>
        </w:rPr>
        <w:t>；</w:t>
      </w:r>
    </w:p>
    <w:p w14:paraId="29281FC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（六）无证上岗、证件过期的</w:t>
      </w:r>
      <w:r>
        <w:rPr>
          <w:rFonts w:hint="eastAsia" w:ascii="仿宋" w:hAnsi="仿宋" w:eastAsia="仿宋" w:cs="仿宋"/>
          <w:i w:val="0"/>
          <w:caps w:val="0"/>
          <w:color w:val="auto"/>
          <w:spacing w:val="0"/>
          <w:kern w:val="0"/>
          <w:sz w:val="28"/>
          <w:szCs w:val="28"/>
          <w:lang w:val="en-US" w:eastAsia="zh-CN" w:bidi="ar"/>
        </w:rPr>
        <w:t>；</w:t>
      </w:r>
    </w:p>
    <w:p w14:paraId="1B12680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（七）设备运行时，人员接触设备的机械转动和传动部位或带电体的；</w:t>
      </w:r>
    </w:p>
    <w:p w14:paraId="1661887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（八）对“三违”处罚无理取闹或辱骂安监员、管理人员的；</w:t>
      </w:r>
    </w:p>
    <w:p w14:paraId="2B8F06E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（九）乘罐或行走期间起哄，人为造成人员拥挤的；</w:t>
      </w:r>
    </w:p>
    <w:p w14:paraId="056197A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（十）操作按钮失灵继续使用或未按规定使用的；</w:t>
      </w:r>
    </w:p>
    <w:p w14:paraId="60A64A7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（十一）其他违反《煤矿安全规程》、《操作规程》及《作业规程》等有关规定的。</w:t>
      </w:r>
    </w:p>
    <w:p w14:paraId="1240E055">
      <w:pPr>
        <w:rPr>
          <w:rFonts w:hint="eastAsia" w:cs="Times New Roman"/>
          <w:color w:val="auto"/>
          <w:lang w:val="en-US" w:eastAsia="zh-CN"/>
        </w:rPr>
      </w:pPr>
      <w:bookmarkStart w:id="365" w:name="_Toc18003"/>
      <w:bookmarkStart w:id="366" w:name="_Toc13371"/>
      <w:bookmarkStart w:id="367" w:name="_Toc24500"/>
      <w:r>
        <w:rPr>
          <w:rFonts w:hint="eastAsia" w:cs="Times New Roman"/>
          <w:color w:val="auto"/>
          <w:lang w:val="en-US" w:eastAsia="zh-CN"/>
        </w:rPr>
        <w:br w:type="page"/>
      </w:r>
    </w:p>
    <w:p w14:paraId="559D27FC">
      <w:pPr>
        <w:pStyle w:val="17"/>
        <w:bidi w:val="0"/>
        <w:outlineLvl w:val="1"/>
        <w:rPr>
          <w:rFonts w:hint="eastAsia" w:cs="Times New Roman"/>
          <w:color w:val="auto"/>
          <w:lang w:val="en-US" w:eastAsia="zh-CN"/>
        </w:rPr>
      </w:pPr>
      <w:bookmarkStart w:id="368" w:name="_Toc14355"/>
      <w:r>
        <w:rPr>
          <w:rFonts w:hint="eastAsia" w:cs="Times New Roman"/>
          <w:color w:val="auto"/>
          <w:lang w:val="en-US" w:eastAsia="zh-CN"/>
        </w:rPr>
        <w:t>大型设备维修钳工</w:t>
      </w:r>
      <w:bookmarkEnd w:id="365"/>
      <w:bookmarkEnd w:id="366"/>
      <w:bookmarkEnd w:id="367"/>
      <w:bookmarkEnd w:id="368"/>
    </w:p>
    <w:tbl>
      <w:tblPr>
        <w:tblStyle w:val="12"/>
        <w:tblW w:w="9362" w:type="dxa"/>
        <w:jc w:val="center"/>
        <w:tblLayout w:type="fixed"/>
        <w:tblCellMar>
          <w:top w:w="0" w:type="dxa"/>
          <w:left w:w="108" w:type="dxa"/>
          <w:bottom w:w="0" w:type="dxa"/>
          <w:right w:w="108" w:type="dxa"/>
        </w:tblCellMar>
      </w:tblPr>
      <w:tblGrid>
        <w:gridCol w:w="1522"/>
        <w:gridCol w:w="1774"/>
        <w:gridCol w:w="1480"/>
        <w:gridCol w:w="4586"/>
      </w:tblGrid>
      <w:tr w14:paraId="16EB2678">
        <w:tblPrEx>
          <w:tblCellMar>
            <w:top w:w="0" w:type="dxa"/>
            <w:left w:w="108" w:type="dxa"/>
            <w:bottom w:w="0" w:type="dxa"/>
            <w:right w:w="108" w:type="dxa"/>
          </w:tblCellMar>
        </w:tblPrEx>
        <w:trPr>
          <w:trHeight w:val="641" w:hRule="atLeast"/>
          <w:jc w:val="center"/>
        </w:trPr>
        <w:tc>
          <w:tcPr>
            <w:tcW w:w="9362" w:type="dxa"/>
            <w:gridSpan w:val="4"/>
            <w:tcBorders>
              <w:top w:val="single" w:color="auto" w:sz="4" w:space="0"/>
              <w:left w:val="single" w:color="auto" w:sz="4" w:space="0"/>
              <w:bottom w:val="single" w:color="auto" w:sz="4" w:space="0"/>
              <w:right w:val="single" w:color="auto" w:sz="4" w:space="0"/>
            </w:tcBorders>
            <w:vAlign w:val="center"/>
          </w:tcPr>
          <w:p w14:paraId="05069DDB">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kern w:val="0"/>
                <w:sz w:val="21"/>
                <w:szCs w:val="21"/>
              </w:rPr>
            </w:pPr>
            <w:r>
              <w:rPr>
                <w:rFonts w:hint="eastAsia" w:ascii="仿宋" w:hAnsi="仿宋" w:eastAsia="仿宋" w:cs="仿宋"/>
                <w:b w:val="0"/>
                <w:bCs w:val="0"/>
                <w:color w:val="auto"/>
                <w:kern w:val="0"/>
                <w:sz w:val="21"/>
                <w:szCs w:val="21"/>
                <w:lang w:val="en-US" w:eastAsia="zh-CN"/>
              </w:rPr>
              <w:t>大型设备维修钳工</w:t>
            </w:r>
            <w:r>
              <w:rPr>
                <w:rFonts w:hint="eastAsia" w:ascii="仿宋" w:hAnsi="仿宋" w:eastAsia="仿宋" w:cs="仿宋"/>
                <w:b w:val="0"/>
                <w:bCs w:val="0"/>
                <w:color w:val="auto"/>
                <w:kern w:val="0"/>
                <w:sz w:val="21"/>
                <w:szCs w:val="21"/>
              </w:rPr>
              <w:t>风险告知卡</w:t>
            </w:r>
          </w:p>
        </w:tc>
      </w:tr>
      <w:tr w14:paraId="33F0CB97">
        <w:tblPrEx>
          <w:tblCellMar>
            <w:top w:w="0" w:type="dxa"/>
            <w:left w:w="108" w:type="dxa"/>
            <w:bottom w:w="0" w:type="dxa"/>
            <w:right w:w="108" w:type="dxa"/>
          </w:tblCellMar>
        </w:tblPrEx>
        <w:trPr>
          <w:trHeight w:val="794" w:hRule="atLeast"/>
          <w:jc w:val="center"/>
        </w:trPr>
        <w:tc>
          <w:tcPr>
            <w:tcW w:w="1522" w:type="dxa"/>
            <w:tcBorders>
              <w:top w:val="nil"/>
              <w:left w:val="single" w:color="auto" w:sz="4" w:space="0"/>
              <w:bottom w:val="single" w:color="auto" w:sz="4" w:space="0"/>
              <w:right w:val="single" w:color="auto" w:sz="4" w:space="0"/>
            </w:tcBorders>
            <w:vAlign w:val="center"/>
          </w:tcPr>
          <w:p w14:paraId="44A6D7B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30EA9C7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1774" w:type="dxa"/>
            <w:tcBorders>
              <w:top w:val="nil"/>
              <w:left w:val="nil"/>
              <w:bottom w:val="single" w:color="auto" w:sz="4" w:space="0"/>
              <w:right w:val="single" w:color="auto" w:sz="4" w:space="0"/>
            </w:tcBorders>
            <w:vAlign w:val="center"/>
          </w:tcPr>
          <w:p w14:paraId="3FD9139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机电、运输、物体打击、职业病危害</w:t>
            </w:r>
          </w:p>
        </w:tc>
        <w:tc>
          <w:tcPr>
            <w:tcW w:w="1480" w:type="dxa"/>
            <w:tcBorders>
              <w:top w:val="nil"/>
              <w:left w:val="nil"/>
              <w:bottom w:val="single" w:color="auto" w:sz="4" w:space="0"/>
              <w:right w:val="single" w:color="auto" w:sz="4" w:space="0"/>
            </w:tcBorders>
            <w:vAlign w:val="center"/>
          </w:tcPr>
          <w:p w14:paraId="06120B8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647A269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586" w:type="dxa"/>
            <w:tcBorders>
              <w:top w:val="nil"/>
              <w:left w:val="nil"/>
              <w:bottom w:val="single" w:color="auto" w:sz="4" w:space="0"/>
              <w:right w:val="single" w:color="auto" w:sz="4" w:space="0"/>
            </w:tcBorders>
            <w:vAlign w:val="center"/>
          </w:tcPr>
          <w:p w14:paraId="2D13BF8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val="en-US" w:eastAsia="zh-CN"/>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w:t>
            </w:r>
            <w:r>
              <w:rPr>
                <w:rFonts w:hint="eastAsia" w:ascii="仿宋" w:hAnsi="仿宋" w:eastAsia="仿宋" w:cs="仿宋"/>
                <w:color w:val="auto"/>
                <w:kern w:val="0"/>
                <w:sz w:val="21"/>
                <w:szCs w:val="21"/>
                <w:lang w:val="en-US" w:eastAsia="zh-CN"/>
              </w:rPr>
              <w:t>650473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631E77AD">
        <w:tblPrEx>
          <w:tblCellMar>
            <w:top w:w="0" w:type="dxa"/>
            <w:left w:w="108" w:type="dxa"/>
            <w:bottom w:w="0" w:type="dxa"/>
            <w:right w:w="108" w:type="dxa"/>
          </w:tblCellMar>
        </w:tblPrEx>
        <w:trPr>
          <w:trHeight w:val="443"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14:paraId="63B9D82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6066" w:type="dxa"/>
            <w:gridSpan w:val="2"/>
            <w:tcBorders>
              <w:top w:val="single" w:color="auto" w:sz="4" w:space="0"/>
              <w:left w:val="nil"/>
              <w:bottom w:val="single" w:color="auto" w:sz="4" w:space="0"/>
              <w:right w:val="single" w:color="auto" w:sz="4" w:space="0"/>
            </w:tcBorders>
            <w:vAlign w:val="center"/>
          </w:tcPr>
          <w:p w14:paraId="1C3DE4A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1EBBF1D0">
        <w:tblPrEx>
          <w:tblCellMar>
            <w:top w:w="0" w:type="dxa"/>
            <w:left w:w="108" w:type="dxa"/>
            <w:bottom w:w="0" w:type="dxa"/>
            <w:right w:w="108" w:type="dxa"/>
          </w:tblCellMar>
        </w:tblPrEx>
        <w:trPr>
          <w:trHeight w:val="290"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14:paraId="6B6CAE3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未持证上岗；不按照操作规程操作设备</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14:paraId="61AA744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经培训合格后，持证上岗；严格按照操作规程操作设备</w:t>
            </w:r>
            <w:r>
              <w:rPr>
                <w:rFonts w:hint="eastAsia" w:ascii="仿宋" w:hAnsi="仿宋" w:eastAsia="仿宋" w:cs="仿宋"/>
                <w:color w:val="auto"/>
                <w:kern w:val="0"/>
                <w:sz w:val="21"/>
                <w:szCs w:val="21"/>
                <w:lang w:eastAsia="zh-CN"/>
              </w:rPr>
              <w:t>。</w:t>
            </w:r>
          </w:p>
        </w:tc>
      </w:tr>
      <w:tr w14:paraId="0A7CCE5F">
        <w:tblPrEx>
          <w:tblCellMar>
            <w:top w:w="0" w:type="dxa"/>
            <w:left w:w="108" w:type="dxa"/>
            <w:bottom w:w="0" w:type="dxa"/>
            <w:right w:w="108" w:type="dxa"/>
          </w:tblCellMar>
        </w:tblPrEx>
        <w:trPr>
          <w:trHeight w:val="977"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14:paraId="3F9B50A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吊点、吊具不合格，人员站位不当；出现漏油、漏气现象</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14:paraId="754FE9A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使用合格吊点和设施，捆绑牢靠，轻装轻放，严禁在设备下方和可能倾倒的方向走动；发生漏油、漏气现象，要立即停机检查，排除故障</w:t>
            </w:r>
            <w:r>
              <w:rPr>
                <w:rFonts w:hint="eastAsia" w:ascii="仿宋" w:hAnsi="仿宋" w:eastAsia="仿宋" w:cs="仿宋"/>
                <w:color w:val="auto"/>
                <w:kern w:val="0"/>
                <w:sz w:val="21"/>
                <w:szCs w:val="21"/>
                <w:lang w:eastAsia="zh-CN"/>
              </w:rPr>
              <w:t>。</w:t>
            </w:r>
          </w:p>
        </w:tc>
      </w:tr>
      <w:tr w14:paraId="06BD5139">
        <w:tblPrEx>
          <w:tblCellMar>
            <w:top w:w="0" w:type="dxa"/>
            <w:left w:w="108" w:type="dxa"/>
            <w:bottom w:w="0" w:type="dxa"/>
            <w:right w:w="108" w:type="dxa"/>
          </w:tblCellMar>
        </w:tblPrEx>
        <w:trPr>
          <w:trHeight w:val="595"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14:paraId="15A61C7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登高作业不系</w:t>
            </w:r>
            <w:r>
              <w:rPr>
                <w:rFonts w:hint="eastAsia" w:ascii="仿宋" w:hAnsi="仿宋" w:eastAsia="仿宋" w:cs="仿宋"/>
                <w:color w:val="auto"/>
                <w:kern w:val="0"/>
                <w:sz w:val="21"/>
                <w:szCs w:val="21"/>
                <w:lang w:val="en-US" w:eastAsia="zh-CN"/>
              </w:rPr>
              <w:t>保险</w:t>
            </w:r>
            <w:r>
              <w:rPr>
                <w:rFonts w:hint="eastAsia" w:ascii="仿宋" w:hAnsi="仿宋" w:eastAsia="仿宋" w:cs="仿宋"/>
                <w:color w:val="auto"/>
                <w:kern w:val="0"/>
                <w:sz w:val="21"/>
                <w:szCs w:val="21"/>
              </w:rPr>
              <w:t>带</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14:paraId="6366E7F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3.登高作业</w:t>
            </w:r>
            <w:r>
              <w:rPr>
                <w:rFonts w:hint="eastAsia" w:ascii="仿宋" w:hAnsi="仿宋" w:eastAsia="仿宋" w:cs="仿宋"/>
                <w:color w:val="auto"/>
                <w:kern w:val="0"/>
                <w:sz w:val="21"/>
                <w:szCs w:val="21"/>
              </w:rPr>
              <w:t>佩戴好防护用具，使用好</w:t>
            </w:r>
            <w:r>
              <w:rPr>
                <w:rFonts w:hint="eastAsia" w:ascii="仿宋" w:hAnsi="仿宋" w:eastAsia="仿宋" w:cs="仿宋"/>
                <w:color w:val="auto"/>
                <w:kern w:val="0"/>
                <w:sz w:val="21"/>
                <w:szCs w:val="21"/>
                <w:lang w:val="en-US" w:eastAsia="zh-CN"/>
              </w:rPr>
              <w:t>保险</w:t>
            </w:r>
            <w:r>
              <w:rPr>
                <w:rFonts w:hint="eastAsia" w:ascii="仿宋" w:hAnsi="仿宋" w:eastAsia="仿宋" w:cs="仿宋"/>
                <w:color w:val="auto"/>
                <w:kern w:val="0"/>
                <w:sz w:val="21"/>
                <w:szCs w:val="21"/>
              </w:rPr>
              <w:t>带</w:t>
            </w:r>
            <w:r>
              <w:rPr>
                <w:rFonts w:hint="eastAsia" w:ascii="仿宋" w:hAnsi="仿宋" w:eastAsia="仿宋" w:cs="仿宋"/>
                <w:color w:val="auto"/>
                <w:kern w:val="0"/>
                <w:sz w:val="21"/>
                <w:szCs w:val="21"/>
                <w:lang w:eastAsia="zh-CN"/>
              </w:rPr>
              <w:t>。</w:t>
            </w:r>
          </w:p>
        </w:tc>
      </w:tr>
      <w:tr w14:paraId="080F6586">
        <w:tblPrEx>
          <w:tblCellMar>
            <w:top w:w="0" w:type="dxa"/>
            <w:left w:w="108" w:type="dxa"/>
            <w:bottom w:w="0" w:type="dxa"/>
            <w:right w:w="108" w:type="dxa"/>
          </w:tblCellMar>
        </w:tblPrEx>
        <w:trPr>
          <w:trHeight w:val="672"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14:paraId="798C1F2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人员靠近转动部位，护罩或遮拦等不完好</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14:paraId="38AB3D7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保持护罩或遮拦等防护设施完好，运转时保持安全距离</w:t>
            </w:r>
            <w:r>
              <w:rPr>
                <w:rFonts w:hint="eastAsia" w:ascii="仿宋" w:hAnsi="仿宋" w:eastAsia="仿宋" w:cs="仿宋"/>
                <w:color w:val="auto"/>
                <w:kern w:val="0"/>
                <w:sz w:val="21"/>
                <w:szCs w:val="21"/>
                <w:lang w:eastAsia="zh-CN"/>
              </w:rPr>
              <w:t>。</w:t>
            </w:r>
          </w:p>
        </w:tc>
      </w:tr>
      <w:tr w14:paraId="75FB2190">
        <w:tblPrEx>
          <w:tblCellMar>
            <w:top w:w="0" w:type="dxa"/>
            <w:left w:w="108" w:type="dxa"/>
            <w:bottom w:w="0" w:type="dxa"/>
            <w:right w:w="108" w:type="dxa"/>
          </w:tblCellMar>
        </w:tblPrEx>
        <w:trPr>
          <w:trHeight w:val="733"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14:paraId="7B83A9E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带电的设备触电伤人</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14:paraId="5C66F59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与带电体保持安全距离，不擅自接触电气设备，坚持使用保护接地</w:t>
            </w:r>
            <w:r>
              <w:rPr>
                <w:rFonts w:hint="eastAsia" w:ascii="仿宋" w:hAnsi="仿宋" w:eastAsia="仿宋" w:cs="仿宋"/>
                <w:color w:val="auto"/>
                <w:kern w:val="0"/>
                <w:sz w:val="21"/>
                <w:szCs w:val="21"/>
                <w:lang w:eastAsia="zh-CN"/>
              </w:rPr>
              <w:t>。</w:t>
            </w:r>
          </w:p>
        </w:tc>
      </w:tr>
      <w:tr w14:paraId="2F738A35">
        <w:tblPrEx>
          <w:tblCellMar>
            <w:top w:w="0" w:type="dxa"/>
            <w:left w:w="108" w:type="dxa"/>
            <w:bottom w:w="0" w:type="dxa"/>
            <w:right w:w="108" w:type="dxa"/>
          </w:tblCellMar>
        </w:tblPrEx>
        <w:trPr>
          <w:trHeight w:val="805" w:hRule="atLeast"/>
          <w:jc w:val="center"/>
        </w:trPr>
        <w:tc>
          <w:tcPr>
            <w:tcW w:w="1522" w:type="dxa"/>
            <w:tcBorders>
              <w:top w:val="nil"/>
              <w:left w:val="single" w:color="auto" w:sz="4" w:space="0"/>
              <w:bottom w:val="single" w:color="auto" w:sz="4" w:space="0"/>
              <w:right w:val="single" w:color="auto" w:sz="4" w:space="0"/>
            </w:tcBorders>
            <w:vAlign w:val="center"/>
          </w:tcPr>
          <w:p w14:paraId="225A08F6">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418C48FC">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40" w:type="dxa"/>
            <w:gridSpan w:val="3"/>
            <w:tcBorders>
              <w:top w:val="single" w:color="auto" w:sz="4" w:space="0"/>
              <w:left w:val="nil"/>
              <w:bottom w:val="single" w:color="auto" w:sz="4" w:space="0"/>
              <w:right w:val="single" w:color="auto" w:sz="4" w:space="0"/>
            </w:tcBorders>
            <w:vAlign w:val="center"/>
          </w:tcPr>
          <w:p w14:paraId="5FD02784">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14:paraId="62E4C7EC">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14:paraId="453BAD6E">
        <w:tblPrEx>
          <w:tblCellMar>
            <w:top w:w="0" w:type="dxa"/>
            <w:left w:w="108" w:type="dxa"/>
            <w:bottom w:w="0" w:type="dxa"/>
            <w:right w:w="108" w:type="dxa"/>
          </w:tblCellMar>
        </w:tblPrEx>
        <w:trPr>
          <w:trHeight w:val="1660" w:hRule="atLeast"/>
          <w:jc w:val="center"/>
        </w:trPr>
        <w:tc>
          <w:tcPr>
            <w:tcW w:w="1522" w:type="dxa"/>
            <w:tcBorders>
              <w:top w:val="nil"/>
              <w:left w:val="single" w:color="auto" w:sz="4" w:space="0"/>
              <w:bottom w:val="single" w:color="auto" w:sz="4" w:space="0"/>
              <w:right w:val="single" w:color="auto" w:sz="4" w:space="0"/>
            </w:tcBorders>
            <w:vAlign w:val="center"/>
          </w:tcPr>
          <w:p w14:paraId="7CA679F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5955137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076D027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840" w:type="dxa"/>
            <w:gridSpan w:val="3"/>
            <w:tcBorders>
              <w:top w:val="single" w:color="auto" w:sz="4" w:space="0"/>
              <w:left w:val="nil"/>
              <w:bottom w:val="single" w:color="auto" w:sz="4" w:space="0"/>
              <w:right w:val="single" w:color="auto" w:sz="4" w:space="0"/>
            </w:tcBorders>
            <w:vAlign w:val="center"/>
          </w:tcPr>
          <w:p w14:paraId="7A02173F">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Chars="200" w:right="0" w:rightChars="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出现紧急情况时，应立即停止工作，采取安全处理后，方可继续施工。</w:t>
            </w:r>
          </w:p>
          <w:p w14:paraId="185FD87A">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突发事故时，现场人员应立即采取有效措施安全避险，并及时向矿调度室汇报灾情，通知现场带班人员和班组长。听从安排，积极开展现场急救、互救工作，有序撤离。</w:t>
            </w:r>
          </w:p>
          <w:p w14:paraId="262BC132">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Chars="200" w:right="0" w:rightChars="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撤退前断开与救灾无关的电源，告知矿调度避灾行走路线与目的地。</w:t>
            </w:r>
          </w:p>
        </w:tc>
      </w:tr>
    </w:tbl>
    <w:p w14:paraId="4721026B">
      <w:pPr>
        <w:pageBreakBefore w:val="0"/>
        <w:kinsoku/>
        <w:wordWrap/>
        <w:overflowPunct/>
        <w:topLinePunct w:val="0"/>
        <w:autoSpaceDE/>
        <w:autoSpaceDN/>
        <w:bidi w:val="0"/>
        <w:adjustRightInd/>
        <w:snapToGrid/>
        <w:spacing w:line="240" w:lineRule="auto"/>
        <w:jc w:val="center"/>
        <w:outlineLvl w:val="9"/>
        <w:rPr>
          <w:rFonts w:hint="eastAsia" w:ascii="仿宋" w:hAnsi="仿宋" w:eastAsia="仿宋" w:cs="仿宋"/>
          <w:b/>
          <w:bCs/>
          <w:color w:val="auto"/>
          <w:kern w:val="0"/>
          <w:sz w:val="21"/>
          <w:szCs w:val="21"/>
          <w:lang w:val="en-US" w:eastAsia="zh-CN"/>
        </w:rPr>
      </w:pPr>
    </w:p>
    <w:tbl>
      <w:tblPr>
        <w:tblStyle w:val="13"/>
        <w:tblW w:w="93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17"/>
        <w:gridCol w:w="3118"/>
        <w:gridCol w:w="3119"/>
      </w:tblGrid>
      <w:tr w14:paraId="7B483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9354" w:type="dxa"/>
            <w:gridSpan w:val="3"/>
            <w:vAlign w:val="top"/>
          </w:tcPr>
          <w:p w14:paraId="61AD57CE">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bCs/>
                <w:color w:val="auto"/>
                <w:kern w:val="0"/>
                <w:sz w:val="21"/>
                <w:szCs w:val="21"/>
                <w:lang w:val="en-US" w:eastAsia="zh-CN"/>
              </w:rPr>
              <w:t>大型设备维修钳工</w:t>
            </w:r>
            <w:r>
              <w:rPr>
                <w:rFonts w:hint="eastAsia" w:ascii="仿宋" w:hAnsi="仿宋" w:eastAsia="仿宋" w:cs="仿宋"/>
                <w:b/>
                <w:bCs/>
                <w:color w:val="auto"/>
                <w:kern w:val="0"/>
                <w:sz w:val="21"/>
                <w:szCs w:val="21"/>
              </w:rPr>
              <w:t>安全提示卡</w:t>
            </w:r>
          </w:p>
        </w:tc>
      </w:tr>
      <w:tr w14:paraId="6DA62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top"/>
          </w:tcPr>
          <w:p w14:paraId="48667D86">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操作前确认</w:t>
            </w:r>
          </w:p>
        </w:tc>
        <w:tc>
          <w:tcPr>
            <w:tcW w:w="3118" w:type="dxa"/>
            <w:vAlign w:val="top"/>
          </w:tcPr>
          <w:p w14:paraId="11674190">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操作过程注意事项</w:t>
            </w:r>
          </w:p>
        </w:tc>
        <w:tc>
          <w:tcPr>
            <w:tcW w:w="3119" w:type="dxa"/>
            <w:vAlign w:val="top"/>
          </w:tcPr>
          <w:p w14:paraId="06E8156B">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操作后确认</w:t>
            </w:r>
          </w:p>
        </w:tc>
      </w:tr>
      <w:tr w14:paraId="4C9683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center"/>
          </w:tcPr>
          <w:p w14:paraId="7649DED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井壁</w:t>
            </w:r>
            <w:r>
              <w:rPr>
                <w:rFonts w:hint="eastAsia" w:ascii="仿宋" w:hAnsi="仿宋" w:eastAsia="仿宋" w:cs="仿宋"/>
                <w:b w:val="0"/>
                <w:bCs w:val="0"/>
                <w:color w:val="auto"/>
                <w:kern w:val="0"/>
                <w:sz w:val="21"/>
                <w:szCs w:val="21"/>
              </w:rPr>
              <w:t>（井</w:t>
            </w:r>
            <w:r>
              <w:rPr>
                <w:rFonts w:hint="eastAsia" w:ascii="仿宋" w:hAnsi="仿宋" w:eastAsia="仿宋" w:cs="仿宋"/>
                <w:b w:val="0"/>
                <w:bCs w:val="0"/>
                <w:color w:val="auto"/>
                <w:kern w:val="0"/>
                <w:sz w:val="21"/>
                <w:szCs w:val="21"/>
                <w:lang w:val="en-US" w:eastAsia="zh-CN"/>
              </w:rPr>
              <w:t>筒</w:t>
            </w:r>
            <w:r>
              <w:rPr>
                <w:rFonts w:hint="eastAsia" w:ascii="仿宋" w:hAnsi="仿宋" w:eastAsia="仿宋" w:cs="仿宋"/>
                <w:b w:val="0"/>
                <w:bCs w:val="0"/>
                <w:color w:val="auto"/>
                <w:kern w:val="0"/>
                <w:sz w:val="21"/>
                <w:szCs w:val="21"/>
              </w:rPr>
              <w:t>作业</w:t>
            </w:r>
            <w:r>
              <w:rPr>
                <w:rFonts w:hint="eastAsia" w:ascii="仿宋" w:hAnsi="仿宋" w:eastAsia="仿宋" w:cs="仿宋"/>
                <w:b w:val="0"/>
                <w:bCs w:val="0"/>
                <w:color w:val="auto"/>
                <w:kern w:val="0"/>
                <w:sz w:val="21"/>
                <w:szCs w:val="21"/>
                <w:lang w:val="en-US" w:eastAsia="zh-CN"/>
              </w:rPr>
              <w:t>有</w:t>
            </w:r>
            <w:r>
              <w:rPr>
                <w:rFonts w:hint="eastAsia" w:ascii="仿宋" w:hAnsi="仿宋" w:eastAsia="仿宋" w:cs="仿宋"/>
                <w:b w:val="0"/>
                <w:bCs w:val="0"/>
                <w:color w:val="auto"/>
                <w:kern w:val="0"/>
                <w:sz w:val="21"/>
                <w:szCs w:val="21"/>
              </w:rPr>
              <w:t>此项）</w:t>
            </w:r>
          </w:p>
        </w:tc>
        <w:tc>
          <w:tcPr>
            <w:tcW w:w="3118" w:type="dxa"/>
            <w:vAlign w:val="top"/>
          </w:tcPr>
          <w:p w14:paraId="0F98AB72">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操作带电设备，先断电并安排专人监护</w:t>
            </w:r>
          </w:p>
        </w:tc>
        <w:tc>
          <w:tcPr>
            <w:tcW w:w="3119" w:type="dxa"/>
            <w:vAlign w:val="center"/>
          </w:tcPr>
          <w:p w14:paraId="5EAF9A6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★零部件、连接</w:t>
            </w:r>
          </w:p>
        </w:tc>
      </w:tr>
      <w:tr w14:paraId="58C05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center"/>
          </w:tcPr>
          <w:p w14:paraId="6B161CC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防护用品</w:t>
            </w:r>
          </w:p>
        </w:tc>
        <w:tc>
          <w:tcPr>
            <w:tcW w:w="3118" w:type="dxa"/>
            <w:vAlign w:val="top"/>
          </w:tcPr>
          <w:p w14:paraId="7B1542E1">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吊装作业前必须检查吊点及吊具。</w:t>
            </w:r>
          </w:p>
        </w:tc>
        <w:tc>
          <w:tcPr>
            <w:tcW w:w="3119" w:type="dxa"/>
            <w:vAlign w:val="center"/>
          </w:tcPr>
          <w:p w14:paraId="0568C80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工具、材料</w:t>
            </w:r>
          </w:p>
        </w:tc>
      </w:tr>
      <w:tr w14:paraId="68BEB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center"/>
          </w:tcPr>
          <w:p w14:paraId="23F8665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工具、材料</w:t>
            </w:r>
          </w:p>
        </w:tc>
        <w:tc>
          <w:tcPr>
            <w:tcW w:w="3118" w:type="dxa"/>
            <w:vAlign w:val="top"/>
          </w:tcPr>
          <w:p w14:paraId="4D2A3D53">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w:t>
            </w:r>
            <w:r>
              <w:rPr>
                <w:rFonts w:hint="eastAsia" w:ascii="仿宋" w:hAnsi="仿宋" w:eastAsia="仿宋" w:cs="仿宋"/>
                <w:b w:val="0"/>
                <w:bCs w:val="0"/>
                <w:color w:val="auto"/>
                <w:kern w:val="0"/>
                <w:sz w:val="21"/>
                <w:szCs w:val="21"/>
                <w:vertAlign w:val="baseline"/>
                <w:lang w:val="en-US" w:eastAsia="zh-CN"/>
              </w:rPr>
              <w:t>系挂保险带施工过程中，不得误摘他人的。</w:t>
            </w:r>
          </w:p>
        </w:tc>
        <w:tc>
          <w:tcPr>
            <w:tcW w:w="3119" w:type="dxa"/>
            <w:vAlign w:val="center"/>
          </w:tcPr>
          <w:p w14:paraId="238D840F">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收拾现场</w:t>
            </w:r>
          </w:p>
        </w:tc>
      </w:tr>
      <w:tr w14:paraId="28B544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center"/>
          </w:tcPr>
          <w:p w14:paraId="3DBB302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rPr>
              <w:t>井壁</w:t>
            </w:r>
            <w:r>
              <w:rPr>
                <w:rFonts w:hint="eastAsia" w:ascii="仿宋" w:hAnsi="仿宋" w:eastAsia="仿宋" w:cs="仿宋"/>
                <w:b w:val="0"/>
                <w:bCs w:val="0"/>
                <w:color w:val="auto"/>
                <w:kern w:val="0"/>
                <w:sz w:val="21"/>
                <w:szCs w:val="21"/>
              </w:rPr>
              <w:t>（井</w:t>
            </w:r>
            <w:r>
              <w:rPr>
                <w:rFonts w:hint="eastAsia" w:ascii="仿宋" w:hAnsi="仿宋" w:eastAsia="仿宋" w:cs="仿宋"/>
                <w:b w:val="0"/>
                <w:bCs w:val="0"/>
                <w:color w:val="auto"/>
                <w:kern w:val="0"/>
                <w:sz w:val="21"/>
                <w:szCs w:val="21"/>
                <w:lang w:val="en-US" w:eastAsia="zh-CN"/>
              </w:rPr>
              <w:t>筒</w:t>
            </w:r>
            <w:r>
              <w:rPr>
                <w:rFonts w:hint="eastAsia" w:ascii="仿宋" w:hAnsi="仿宋" w:eastAsia="仿宋" w:cs="仿宋"/>
                <w:b w:val="0"/>
                <w:bCs w:val="0"/>
                <w:color w:val="auto"/>
                <w:kern w:val="0"/>
                <w:sz w:val="21"/>
                <w:szCs w:val="21"/>
              </w:rPr>
              <w:t>作业</w:t>
            </w:r>
            <w:r>
              <w:rPr>
                <w:rFonts w:hint="eastAsia" w:ascii="仿宋" w:hAnsi="仿宋" w:eastAsia="仿宋" w:cs="仿宋"/>
                <w:b w:val="0"/>
                <w:bCs w:val="0"/>
                <w:color w:val="auto"/>
                <w:kern w:val="0"/>
                <w:sz w:val="21"/>
                <w:szCs w:val="21"/>
                <w:lang w:val="en-US" w:eastAsia="zh-CN"/>
              </w:rPr>
              <w:t>有</w:t>
            </w:r>
            <w:r>
              <w:rPr>
                <w:rFonts w:hint="eastAsia" w:ascii="仿宋" w:hAnsi="仿宋" w:eastAsia="仿宋" w:cs="仿宋"/>
                <w:b w:val="0"/>
                <w:bCs w:val="0"/>
                <w:color w:val="auto"/>
                <w:kern w:val="0"/>
                <w:sz w:val="21"/>
                <w:szCs w:val="21"/>
              </w:rPr>
              <w:t>此项）</w:t>
            </w:r>
          </w:p>
        </w:tc>
        <w:tc>
          <w:tcPr>
            <w:tcW w:w="3118" w:type="dxa"/>
            <w:vAlign w:val="top"/>
          </w:tcPr>
          <w:p w14:paraId="07B5F40D">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vertAlign w:val="baseline"/>
                <w:lang w:val="en-US" w:eastAsia="zh-CN"/>
              </w:rPr>
              <w:t>操作带电设备，先断电并安排专人监护</w:t>
            </w:r>
          </w:p>
        </w:tc>
        <w:tc>
          <w:tcPr>
            <w:tcW w:w="3119" w:type="dxa"/>
            <w:vAlign w:val="center"/>
          </w:tcPr>
          <w:p w14:paraId="60E9125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rPr>
              <w:t>★零部件、连接</w:t>
            </w:r>
          </w:p>
        </w:tc>
      </w:tr>
      <w:tr w14:paraId="293DBC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354" w:type="dxa"/>
            <w:gridSpan w:val="3"/>
            <w:vAlign w:val="center"/>
          </w:tcPr>
          <w:p w14:paraId="5EF0FD21">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rPr>
              <w:t>注：第一次按</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前内容逐项检查并确认，存在问题整改后再确认；中间再次操作只检查带“★”部分；</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全部结束后按操作后内容逐项检查并确认。</w:t>
            </w:r>
          </w:p>
        </w:tc>
      </w:tr>
    </w:tbl>
    <w:p w14:paraId="146B089A">
      <w:pPr>
        <w:pageBreakBefore w:val="0"/>
        <w:kinsoku/>
        <w:wordWrap/>
        <w:overflowPunct/>
        <w:topLinePunct w:val="0"/>
        <w:autoSpaceDE/>
        <w:autoSpaceDN/>
        <w:bidi w:val="0"/>
        <w:adjustRightInd/>
        <w:snapToGrid/>
        <w:spacing w:line="240" w:lineRule="auto"/>
        <w:jc w:val="both"/>
        <w:outlineLvl w:val="9"/>
        <w:rPr>
          <w:rFonts w:hint="eastAsia" w:ascii="仿宋" w:hAnsi="仿宋" w:eastAsia="仿宋" w:cs="仿宋"/>
          <w:b/>
          <w:bCs/>
          <w:color w:val="auto"/>
          <w:kern w:val="0"/>
          <w:sz w:val="21"/>
          <w:szCs w:val="21"/>
          <w:lang w:val="en-US" w:eastAsia="zh-CN"/>
        </w:rPr>
      </w:pPr>
    </w:p>
    <w:tbl>
      <w:tblPr>
        <w:tblStyle w:val="12"/>
        <w:tblpPr w:leftFromText="180" w:rightFromText="180" w:vertAnchor="text" w:horzAnchor="page" w:tblpXSpec="center" w:tblpY="573"/>
        <w:tblOverlap w:val="never"/>
        <w:tblW w:w="93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54"/>
      </w:tblGrid>
      <w:tr w14:paraId="2D4EB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3A6C09B6">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大型设备维修钳工</w:t>
            </w:r>
            <w:r>
              <w:rPr>
                <w:rFonts w:hint="eastAsia" w:ascii="仿宋" w:hAnsi="仿宋" w:eastAsia="仿宋" w:cs="仿宋"/>
                <w:b w:val="0"/>
                <w:bCs w:val="0"/>
                <w:color w:val="auto"/>
                <w:kern w:val="0"/>
                <w:sz w:val="21"/>
                <w:szCs w:val="21"/>
              </w:rPr>
              <w:t>单元检查表</w:t>
            </w:r>
          </w:p>
        </w:tc>
      </w:tr>
      <w:tr w14:paraId="5D8AA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13C6D55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 xml:space="preserve">  </w:t>
            </w:r>
            <w:r>
              <w:rPr>
                <w:rFonts w:hint="default" w:ascii="仿宋" w:hAnsi="仿宋" w:eastAsia="仿宋" w:cs="仿宋"/>
                <w:b w:val="0"/>
                <w:bCs w:val="0"/>
                <w:color w:val="auto"/>
                <w:kern w:val="0"/>
                <w:sz w:val="21"/>
                <w:szCs w:val="21"/>
                <w:lang w:eastAsia="zh-CN"/>
              </w:rPr>
              <w:t>1.</w:t>
            </w:r>
            <w:r>
              <w:rPr>
                <w:rFonts w:hint="eastAsia" w:ascii="仿宋" w:hAnsi="仿宋" w:eastAsia="仿宋" w:cs="仿宋"/>
                <w:b w:val="0"/>
                <w:bCs w:val="0"/>
                <w:color w:val="auto"/>
                <w:kern w:val="0"/>
                <w:sz w:val="21"/>
                <w:szCs w:val="21"/>
                <w:lang w:val="en-US" w:eastAsia="zh-CN"/>
              </w:rPr>
              <w:t>检查设备是否完好</w:t>
            </w:r>
          </w:p>
        </w:tc>
      </w:tr>
      <w:tr w14:paraId="535F60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6DFB36F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2.</w:t>
            </w:r>
            <w:r>
              <w:rPr>
                <w:rFonts w:hint="eastAsia" w:ascii="仿宋" w:hAnsi="仿宋" w:eastAsia="仿宋" w:cs="仿宋"/>
                <w:b w:val="0"/>
                <w:bCs w:val="0"/>
                <w:color w:val="auto"/>
                <w:kern w:val="0"/>
                <w:sz w:val="21"/>
                <w:szCs w:val="21"/>
                <w:lang w:val="en-US" w:eastAsia="zh-CN"/>
              </w:rPr>
              <w:t>检查液压站油量、油温是否正常</w:t>
            </w:r>
          </w:p>
        </w:tc>
      </w:tr>
      <w:tr w14:paraId="510BC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6B24FD7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3.</w:t>
            </w:r>
            <w:r>
              <w:rPr>
                <w:rFonts w:hint="eastAsia" w:ascii="仿宋" w:hAnsi="仿宋" w:eastAsia="仿宋" w:cs="仿宋"/>
                <w:b w:val="0"/>
                <w:bCs w:val="0"/>
                <w:color w:val="auto"/>
                <w:kern w:val="0"/>
                <w:sz w:val="21"/>
                <w:szCs w:val="21"/>
                <w:lang w:val="en-US" w:eastAsia="zh-CN"/>
              </w:rPr>
              <w:t>检查输油管路是否完好</w:t>
            </w:r>
          </w:p>
        </w:tc>
      </w:tr>
      <w:tr w14:paraId="63010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4C3C00D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4.</w:t>
            </w:r>
            <w:r>
              <w:rPr>
                <w:rFonts w:hint="eastAsia" w:ascii="仿宋" w:hAnsi="仿宋" w:eastAsia="仿宋" w:cs="仿宋"/>
                <w:b w:val="0"/>
                <w:bCs w:val="0"/>
                <w:color w:val="auto"/>
                <w:kern w:val="0"/>
                <w:sz w:val="21"/>
                <w:szCs w:val="21"/>
                <w:lang w:val="en-US" w:eastAsia="zh-CN"/>
              </w:rPr>
              <w:t>检查盘型闸间隙是否在规定范围内</w:t>
            </w:r>
          </w:p>
        </w:tc>
      </w:tr>
      <w:tr w14:paraId="17CC1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3ECA1E9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5.</w:t>
            </w:r>
            <w:r>
              <w:rPr>
                <w:rFonts w:hint="eastAsia" w:ascii="仿宋" w:hAnsi="仿宋" w:eastAsia="仿宋" w:cs="仿宋"/>
                <w:b w:val="0"/>
                <w:bCs w:val="0"/>
                <w:color w:val="auto"/>
                <w:kern w:val="0"/>
                <w:sz w:val="21"/>
                <w:szCs w:val="21"/>
                <w:lang w:val="en-US" w:eastAsia="zh-CN"/>
              </w:rPr>
              <w:t>检查钢丝绳、绳槽情况</w:t>
            </w:r>
          </w:p>
        </w:tc>
      </w:tr>
      <w:tr w14:paraId="6D43C8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264A6FD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6.</w:t>
            </w:r>
            <w:r>
              <w:rPr>
                <w:rFonts w:hint="eastAsia" w:ascii="仿宋" w:hAnsi="仿宋" w:eastAsia="仿宋" w:cs="仿宋"/>
                <w:b w:val="0"/>
                <w:bCs w:val="0"/>
                <w:color w:val="auto"/>
                <w:kern w:val="0"/>
                <w:sz w:val="21"/>
                <w:szCs w:val="21"/>
                <w:lang w:val="en-US" w:eastAsia="zh-CN"/>
              </w:rPr>
              <w:t>检查天轮、绳槽情况</w:t>
            </w:r>
          </w:p>
        </w:tc>
      </w:tr>
      <w:tr w14:paraId="20554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3F7F8A2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7.</w:t>
            </w:r>
            <w:r>
              <w:rPr>
                <w:rFonts w:hint="eastAsia" w:ascii="仿宋" w:hAnsi="仿宋" w:eastAsia="仿宋" w:cs="仿宋"/>
                <w:b w:val="0"/>
                <w:bCs w:val="0"/>
                <w:color w:val="auto"/>
                <w:kern w:val="0"/>
                <w:sz w:val="21"/>
                <w:szCs w:val="21"/>
                <w:lang w:val="en-US" w:eastAsia="zh-CN"/>
              </w:rPr>
              <w:t>检查罐笼是否完好</w:t>
            </w:r>
          </w:p>
        </w:tc>
      </w:tr>
      <w:tr w14:paraId="60E85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152FC60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8.</w:t>
            </w:r>
            <w:r>
              <w:rPr>
                <w:rFonts w:hint="eastAsia" w:ascii="仿宋" w:hAnsi="仿宋" w:eastAsia="仿宋" w:cs="仿宋"/>
                <w:b w:val="0"/>
                <w:bCs w:val="0"/>
                <w:color w:val="auto"/>
                <w:kern w:val="0"/>
                <w:sz w:val="21"/>
                <w:szCs w:val="21"/>
                <w:lang w:val="en-US" w:eastAsia="zh-CN"/>
              </w:rPr>
              <w:t>检查操车系统是否正常</w:t>
            </w:r>
          </w:p>
        </w:tc>
      </w:tr>
      <w:tr w14:paraId="64E24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5660743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9.</w:t>
            </w:r>
            <w:r>
              <w:rPr>
                <w:rFonts w:hint="eastAsia" w:ascii="仿宋" w:hAnsi="仿宋" w:eastAsia="仿宋" w:cs="仿宋"/>
                <w:b w:val="0"/>
                <w:bCs w:val="0"/>
                <w:color w:val="auto"/>
                <w:kern w:val="0"/>
                <w:sz w:val="21"/>
                <w:szCs w:val="21"/>
                <w:lang w:val="en-US" w:eastAsia="zh-CN"/>
              </w:rPr>
              <w:t>检查井筒装备是否完好</w:t>
            </w:r>
          </w:p>
        </w:tc>
      </w:tr>
      <w:tr w14:paraId="3F98E8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17B9A3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10.</w:t>
            </w:r>
            <w:r>
              <w:rPr>
                <w:rFonts w:hint="eastAsia" w:ascii="仿宋" w:hAnsi="仿宋" w:eastAsia="仿宋" w:cs="仿宋"/>
                <w:b w:val="0"/>
                <w:bCs w:val="0"/>
                <w:color w:val="auto"/>
                <w:kern w:val="0"/>
                <w:sz w:val="21"/>
                <w:szCs w:val="21"/>
                <w:lang w:val="en-US" w:eastAsia="zh-CN"/>
              </w:rPr>
              <w:t>检查提升机运行是否正常</w:t>
            </w:r>
          </w:p>
        </w:tc>
      </w:tr>
      <w:tr w14:paraId="3C30CE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049E021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11.</w:t>
            </w:r>
            <w:r>
              <w:rPr>
                <w:rFonts w:hint="eastAsia" w:ascii="仿宋" w:hAnsi="仿宋" w:eastAsia="仿宋" w:cs="仿宋"/>
                <w:b w:val="0"/>
                <w:bCs w:val="0"/>
                <w:color w:val="auto"/>
                <w:kern w:val="0"/>
                <w:sz w:val="21"/>
                <w:szCs w:val="21"/>
                <w:lang w:val="en-US" w:eastAsia="zh-CN"/>
              </w:rPr>
              <w:t>检查现场标准化是否完好</w:t>
            </w:r>
          </w:p>
        </w:tc>
      </w:tr>
      <w:tr w14:paraId="700C1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14:paraId="5763B79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rPr>
              <w:t>注：</w:t>
            </w:r>
            <w:r>
              <w:rPr>
                <w:rFonts w:hint="default" w:ascii="仿宋" w:hAnsi="仿宋" w:eastAsia="仿宋" w:cs="仿宋"/>
                <w:b w:val="0"/>
                <w:bCs w:val="0"/>
                <w:color w:val="auto"/>
                <w:kern w:val="0"/>
                <w:sz w:val="21"/>
                <w:szCs w:val="21"/>
                <w:lang w:eastAsia="zh-CN"/>
              </w:rPr>
              <w:t>1.</w:t>
            </w:r>
            <w:r>
              <w:rPr>
                <w:rFonts w:hint="eastAsia" w:ascii="仿宋" w:hAnsi="仿宋" w:eastAsia="仿宋" w:cs="仿宋"/>
                <w:b w:val="0"/>
                <w:bCs w:val="0"/>
                <w:color w:val="auto"/>
                <w:kern w:val="0"/>
                <w:sz w:val="21"/>
                <w:szCs w:val="21"/>
              </w:rPr>
              <w:t>患有高血压、心脏病、</w:t>
            </w:r>
            <w:r>
              <w:rPr>
                <w:rFonts w:hint="eastAsia" w:ascii="仿宋" w:hAnsi="仿宋" w:eastAsia="仿宋" w:cs="仿宋"/>
                <w:b w:val="0"/>
                <w:bCs w:val="0"/>
                <w:color w:val="auto"/>
                <w:kern w:val="0"/>
                <w:sz w:val="21"/>
                <w:szCs w:val="21"/>
                <w:lang w:val="en-US" w:eastAsia="zh-CN"/>
              </w:rPr>
              <w:t>癫痫病、恐高症、</w:t>
            </w:r>
            <w:r>
              <w:rPr>
                <w:rFonts w:hint="eastAsia" w:ascii="仿宋" w:hAnsi="仿宋" w:eastAsia="仿宋" w:cs="仿宋"/>
                <w:b w:val="0"/>
                <w:bCs w:val="0"/>
                <w:color w:val="auto"/>
                <w:kern w:val="0"/>
                <w:sz w:val="21"/>
                <w:szCs w:val="21"/>
              </w:rPr>
              <w:t>听力障碍等疾病的人，不得从事</w:t>
            </w:r>
            <w:r>
              <w:rPr>
                <w:rFonts w:hint="eastAsia" w:ascii="仿宋" w:hAnsi="仿宋" w:eastAsia="仿宋" w:cs="仿宋"/>
                <w:b w:val="0"/>
                <w:bCs w:val="0"/>
                <w:color w:val="auto"/>
                <w:kern w:val="0"/>
                <w:sz w:val="21"/>
                <w:szCs w:val="21"/>
                <w:lang w:val="en-US" w:eastAsia="zh-CN"/>
              </w:rPr>
              <w:t>大型设备维修工</w:t>
            </w:r>
            <w:r>
              <w:rPr>
                <w:rFonts w:hint="eastAsia" w:ascii="仿宋" w:hAnsi="仿宋" w:eastAsia="仿宋" w:cs="仿宋"/>
                <w:b w:val="0"/>
                <w:bCs w:val="0"/>
                <w:color w:val="auto"/>
                <w:kern w:val="0"/>
                <w:sz w:val="21"/>
                <w:szCs w:val="21"/>
              </w:rPr>
              <w:t>作业。</w:t>
            </w:r>
          </w:p>
          <w:p w14:paraId="563D32C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rPr>
              <w:t xml:space="preserve">    </w:t>
            </w:r>
            <w:r>
              <w:rPr>
                <w:rFonts w:hint="default" w:ascii="仿宋" w:hAnsi="仿宋" w:eastAsia="仿宋" w:cs="仿宋"/>
                <w:b w:val="0"/>
                <w:bCs w:val="0"/>
                <w:color w:val="auto"/>
                <w:kern w:val="0"/>
                <w:sz w:val="21"/>
                <w:szCs w:val="21"/>
              </w:rPr>
              <w:t>2.</w:t>
            </w:r>
            <w:r>
              <w:rPr>
                <w:rFonts w:hint="eastAsia" w:ascii="仿宋" w:hAnsi="仿宋" w:eastAsia="仿宋" w:cs="仿宋"/>
                <w:b w:val="0"/>
                <w:bCs w:val="0"/>
                <w:color w:val="auto"/>
                <w:kern w:val="0"/>
                <w:sz w:val="21"/>
                <w:szCs w:val="21"/>
                <w:lang w:val="en-US" w:eastAsia="zh-CN"/>
              </w:rPr>
              <w:t>从事大型设备维修</w:t>
            </w:r>
            <w:r>
              <w:rPr>
                <w:rFonts w:hint="eastAsia" w:ascii="仿宋" w:hAnsi="仿宋" w:eastAsia="仿宋" w:cs="仿宋"/>
                <w:b w:val="0"/>
                <w:bCs w:val="0"/>
                <w:color w:val="auto"/>
                <w:kern w:val="0"/>
                <w:sz w:val="21"/>
                <w:szCs w:val="21"/>
              </w:rPr>
              <w:t>作业人员，经过安全技术培训和考试合格，取得</w:t>
            </w:r>
            <w:r>
              <w:rPr>
                <w:rFonts w:hint="eastAsia" w:ascii="仿宋" w:hAnsi="仿宋" w:eastAsia="仿宋" w:cs="仿宋"/>
                <w:b w:val="0"/>
                <w:bCs w:val="0"/>
                <w:color w:val="auto"/>
                <w:kern w:val="0"/>
                <w:sz w:val="21"/>
                <w:szCs w:val="21"/>
                <w:lang w:val="en-US" w:eastAsia="zh-CN"/>
              </w:rPr>
              <w:t>资格证书</w:t>
            </w:r>
            <w:r>
              <w:rPr>
                <w:rFonts w:hint="eastAsia" w:ascii="仿宋" w:hAnsi="仿宋" w:eastAsia="仿宋" w:cs="仿宋"/>
                <w:b w:val="0"/>
                <w:bCs w:val="0"/>
                <w:color w:val="auto"/>
                <w:kern w:val="0"/>
                <w:sz w:val="21"/>
                <w:szCs w:val="21"/>
              </w:rPr>
              <w:t>，方可进行上岗作业。</w:t>
            </w:r>
          </w:p>
        </w:tc>
      </w:tr>
    </w:tbl>
    <w:p w14:paraId="42C97838">
      <w:pPr>
        <w:pageBreakBefore w:val="0"/>
        <w:numPr>
          <w:ilvl w:val="0"/>
          <w:numId w:val="0"/>
        </w:numPr>
        <w:kinsoku/>
        <w:wordWrap/>
        <w:overflowPunct/>
        <w:topLinePunct w:val="0"/>
        <w:autoSpaceDE/>
        <w:autoSpaceDN/>
        <w:bidi w:val="0"/>
        <w:adjustRightInd/>
        <w:snapToGrid/>
        <w:spacing w:line="240" w:lineRule="auto"/>
        <w:outlineLvl w:val="9"/>
        <w:rPr>
          <w:rFonts w:hint="eastAsia" w:ascii="仿宋" w:hAnsi="仿宋" w:eastAsia="仿宋" w:cs="仿宋"/>
          <w:color w:val="auto"/>
          <w:sz w:val="21"/>
          <w:szCs w:val="21"/>
        </w:rPr>
      </w:pPr>
    </w:p>
    <w:p w14:paraId="5DCC6AD2">
      <w:pPr>
        <w:pStyle w:val="4"/>
        <w:pageBreakBefore w:val="0"/>
        <w:kinsoku/>
        <w:wordWrap/>
        <w:overflowPunct/>
        <w:topLinePunct w:val="0"/>
        <w:autoSpaceDE/>
        <w:autoSpaceDN/>
        <w:bidi w:val="0"/>
        <w:adjustRightInd/>
        <w:snapToGrid/>
        <w:spacing w:line="240" w:lineRule="auto"/>
        <w:outlineLvl w:val="9"/>
        <w:rPr>
          <w:rFonts w:hint="eastAsia" w:ascii="仿宋" w:hAnsi="仿宋" w:eastAsia="仿宋" w:cs="仿宋"/>
          <w:color w:val="auto"/>
          <w:sz w:val="21"/>
          <w:szCs w:val="21"/>
        </w:rPr>
      </w:pPr>
    </w:p>
    <w:tbl>
      <w:tblPr>
        <w:tblStyle w:val="12"/>
        <w:tblW w:w="9354" w:type="dxa"/>
        <w:jc w:val="center"/>
        <w:tblLayout w:type="fixed"/>
        <w:tblCellMar>
          <w:top w:w="0" w:type="dxa"/>
          <w:left w:w="108" w:type="dxa"/>
          <w:bottom w:w="0" w:type="dxa"/>
          <w:right w:w="108" w:type="dxa"/>
        </w:tblCellMar>
      </w:tblPr>
      <w:tblGrid>
        <w:gridCol w:w="677"/>
        <w:gridCol w:w="1684"/>
        <w:gridCol w:w="6993"/>
      </w:tblGrid>
      <w:tr w14:paraId="27C44943">
        <w:tblPrEx>
          <w:tblCellMar>
            <w:top w:w="0" w:type="dxa"/>
            <w:left w:w="108" w:type="dxa"/>
            <w:bottom w:w="0" w:type="dxa"/>
            <w:right w:w="108" w:type="dxa"/>
          </w:tblCellMar>
        </w:tblPrEx>
        <w:trPr>
          <w:trHeight w:val="338" w:hRule="atLeast"/>
          <w:jc w:val="center"/>
        </w:trPr>
        <w:tc>
          <w:tcPr>
            <w:tcW w:w="9354" w:type="dxa"/>
            <w:gridSpan w:val="3"/>
            <w:tcBorders>
              <w:top w:val="single" w:color="auto" w:sz="4" w:space="0"/>
              <w:left w:val="single" w:color="auto" w:sz="4" w:space="0"/>
              <w:bottom w:val="single" w:color="auto" w:sz="4" w:space="0"/>
              <w:right w:val="single" w:color="auto" w:sz="4" w:space="0"/>
            </w:tcBorders>
            <w:vAlign w:val="center"/>
          </w:tcPr>
          <w:p w14:paraId="6FDE540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val="en-US" w:eastAsia="zh-CN"/>
              </w:rPr>
              <w:t>大型设备维修钳工操作过程注意事项</w:t>
            </w:r>
          </w:p>
        </w:tc>
      </w:tr>
      <w:tr w14:paraId="104C7146">
        <w:tblPrEx>
          <w:tblCellMar>
            <w:top w:w="0" w:type="dxa"/>
            <w:left w:w="108" w:type="dxa"/>
            <w:bottom w:w="0" w:type="dxa"/>
            <w:right w:w="108" w:type="dxa"/>
          </w:tblCellMar>
        </w:tblPrEx>
        <w:trPr>
          <w:trHeight w:val="1023" w:hRule="atLeast"/>
          <w:jc w:val="center"/>
        </w:trPr>
        <w:tc>
          <w:tcPr>
            <w:tcW w:w="677" w:type="dxa"/>
            <w:tcBorders>
              <w:top w:val="nil"/>
              <w:left w:val="single" w:color="auto" w:sz="4" w:space="0"/>
              <w:bottom w:val="single" w:color="auto" w:sz="4" w:space="0"/>
              <w:right w:val="single" w:color="auto" w:sz="4" w:space="0"/>
            </w:tcBorders>
            <w:vAlign w:val="center"/>
          </w:tcPr>
          <w:p w14:paraId="2350CA6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序号</w:t>
            </w:r>
          </w:p>
        </w:tc>
        <w:tc>
          <w:tcPr>
            <w:tcW w:w="1684" w:type="dxa"/>
            <w:tcBorders>
              <w:top w:val="nil"/>
              <w:left w:val="nil"/>
              <w:bottom w:val="single" w:color="auto" w:sz="4" w:space="0"/>
              <w:right w:val="single" w:color="auto" w:sz="4" w:space="0"/>
            </w:tcBorders>
            <w:vAlign w:val="center"/>
          </w:tcPr>
          <w:p w14:paraId="07D7BE4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提示词</w:t>
            </w:r>
          </w:p>
        </w:tc>
        <w:tc>
          <w:tcPr>
            <w:tcW w:w="6993" w:type="dxa"/>
            <w:tcBorders>
              <w:top w:val="nil"/>
              <w:left w:val="nil"/>
              <w:bottom w:val="single" w:color="auto" w:sz="4" w:space="0"/>
              <w:right w:val="single" w:color="auto" w:sz="4" w:space="0"/>
            </w:tcBorders>
            <w:vAlign w:val="center"/>
          </w:tcPr>
          <w:p w14:paraId="40DDD32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主要内容</w:t>
            </w:r>
          </w:p>
        </w:tc>
      </w:tr>
      <w:tr w14:paraId="6024CB34">
        <w:tblPrEx>
          <w:tblCellMar>
            <w:top w:w="0" w:type="dxa"/>
            <w:left w:w="108" w:type="dxa"/>
            <w:bottom w:w="0" w:type="dxa"/>
            <w:right w:w="108" w:type="dxa"/>
          </w:tblCellMar>
        </w:tblPrEx>
        <w:trPr>
          <w:trHeight w:val="338" w:hRule="atLeast"/>
          <w:jc w:val="center"/>
        </w:trPr>
        <w:tc>
          <w:tcPr>
            <w:tcW w:w="677" w:type="dxa"/>
            <w:tcBorders>
              <w:top w:val="nil"/>
              <w:left w:val="single" w:color="auto" w:sz="4" w:space="0"/>
              <w:bottom w:val="single" w:color="000000" w:sz="4" w:space="0"/>
              <w:right w:val="single" w:color="auto" w:sz="4" w:space="0"/>
            </w:tcBorders>
            <w:vAlign w:val="center"/>
          </w:tcPr>
          <w:p w14:paraId="0872A78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1</w:t>
            </w:r>
          </w:p>
        </w:tc>
        <w:tc>
          <w:tcPr>
            <w:tcW w:w="1684" w:type="dxa"/>
            <w:tcBorders>
              <w:top w:val="nil"/>
              <w:left w:val="nil"/>
              <w:bottom w:val="single" w:color="auto" w:sz="4" w:space="0"/>
              <w:right w:val="single" w:color="auto" w:sz="4" w:space="0"/>
            </w:tcBorders>
            <w:vAlign w:val="center"/>
          </w:tcPr>
          <w:p w14:paraId="760A313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i w:val="0"/>
                <w:iCs w:val="0"/>
                <w:color w:val="auto"/>
                <w:kern w:val="0"/>
                <w:sz w:val="22"/>
                <w:szCs w:val="22"/>
                <w:highlight w:val="none"/>
                <w:u w:val="none"/>
                <w:lang w:val="en-US" w:eastAsia="zh-CN" w:bidi="ar"/>
              </w:rPr>
              <w:t>看环境</w:t>
            </w:r>
          </w:p>
        </w:tc>
        <w:tc>
          <w:tcPr>
            <w:tcW w:w="6993" w:type="dxa"/>
            <w:tcBorders>
              <w:top w:val="nil"/>
              <w:left w:val="nil"/>
              <w:bottom w:val="single" w:color="auto" w:sz="4" w:space="0"/>
              <w:right w:val="single" w:color="auto" w:sz="4" w:space="0"/>
            </w:tcBorders>
            <w:vAlign w:val="center"/>
          </w:tcPr>
          <w:p w14:paraId="6229228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i w:val="0"/>
                <w:iCs w:val="0"/>
                <w:color w:val="auto"/>
                <w:sz w:val="22"/>
                <w:szCs w:val="22"/>
                <w:highlight w:val="none"/>
                <w:u w:val="none"/>
                <w:lang w:val="en-US"/>
              </w:rPr>
              <w:t>作业前排查周围环境。</w:t>
            </w:r>
          </w:p>
        </w:tc>
      </w:tr>
      <w:tr w14:paraId="3E5DFB66">
        <w:tblPrEx>
          <w:tblCellMar>
            <w:top w:w="0" w:type="dxa"/>
            <w:left w:w="108" w:type="dxa"/>
            <w:bottom w:w="0" w:type="dxa"/>
            <w:right w:w="108" w:type="dxa"/>
          </w:tblCellMar>
        </w:tblPrEx>
        <w:trPr>
          <w:trHeight w:val="556" w:hRule="atLeast"/>
          <w:jc w:val="center"/>
        </w:trPr>
        <w:tc>
          <w:tcPr>
            <w:tcW w:w="677" w:type="dxa"/>
            <w:tcBorders>
              <w:top w:val="nil"/>
              <w:left w:val="single" w:color="auto" w:sz="4" w:space="0"/>
              <w:bottom w:val="single" w:color="000000" w:sz="4" w:space="0"/>
              <w:right w:val="single" w:color="auto" w:sz="4" w:space="0"/>
            </w:tcBorders>
            <w:vAlign w:val="center"/>
          </w:tcPr>
          <w:p w14:paraId="72B2666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2</w:t>
            </w:r>
          </w:p>
        </w:tc>
        <w:tc>
          <w:tcPr>
            <w:tcW w:w="1684" w:type="dxa"/>
            <w:tcBorders>
              <w:top w:val="nil"/>
              <w:left w:val="nil"/>
              <w:bottom w:val="single" w:color="auto" w:sz="4" w:space="0"/>
              <w:right w:val="single" w:color="auto" w:sz="4" w:space="0"/>
            </w:tcBorders>
            <w:vAlign w:val="center"/>
          </w:tcPr>
          <w:p w14:paraId="45CF726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2"/>
                <w:szCs w:val="22"/>
              </w:rPr>
            </w:pPr>
            <w:r>
              <w:rPr>
                <w:rFonts w:hint="eastAsia" w:ascii="仿宋" w:hAnsi="仿宋" w:eastAsia="仿宋" w:cs="仿宋"/>
                <w:i w:val="0"/>
                <w:iCs w:val="0"/>
                <w:color w:val="auto"/>
                <w:sz w:val="22"/>
                <w:szCs w:val="22"/>
                <w:highlight w:val="none"/>
                <w:u w:val="none"/>
                <w:lang w:val="en-US" w:eastAsia="zh-CN"/>
              </w:rPr>
              <w:t>佩戴防护用具</w:t>
            </w:r>
          </w:p>
        </w:tc>
        <w:tc>
          <w:tcPr>
            <w:tcW w:w="6993" w:type="dxa"/>
            <w:tcBorders>
              <w:top w:val="nil"/>
              <w:left w:val="nil"/>
              <w:bottom w:val="single" w:color="auto" w:sz="4" w:space="0"/>
              <w:right w:val="single" w:color="auto" w:sz="4" w:space="0"/>
            </w:tcBorders>
            <w:vAlign w:val="center"/>
          </w:tcPr>
          <w:p w14:paraId="4DCC4FB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2"/>
                <w:szCs w:val="22"/>
              </w:rPr>
            </w:pPr>
            <w:r>
              <w:rPr>
                <w:rFonts w:hint="eastAsia" w:ascii="仿宋" w:hAnsi="仿宋" w:eastAsia="仿宋" w:cs="仿宋"/>
                <w:i w:val="0"/>
                <w:iCs w:val="0"/>
                <w:color w:val="auto"/>
                <w:sz w:val="22"/>
                <w:szCs w:val="22"/>
                <w:highlight w:val="none"/>
                <w:u w:val="none"/>
                <w:lang w:val="en-US" w:eastAsia="zh-CN"/>
              </w:rPr>
              <w:t>作业前</w:t>
            </w:r>
            <w:r>
              <w:rPr>
                <w:rFonts w:hint="eastAsia" w:ascii="仿宋" w:hAnsi="仿宋" w:eastAsia="仿宋" w:cs="仿宋"/>
                <w:i w:val="0"/>
                <w:iCs w:val="0"/>
                <w:color w:val="auto"/>
                <w:sz w:val="22"/>
                <w:szCs w:val="22"/>
                <w:highlight w:val="none"/>
                <w:u w:val="none"/>
              </w:rPr>
              <w:t>必须按照要求佩戴好个人防护用具。</w:t>
            </w:r>
          </w:p>
        </w:tc>
      </w:tr>
      <w:tr w14:paraId="4ED54BDF">
        <w:tblPrEx>
          <w:tblCellMar>
            <w:top w:w="0" w:type="dxa"/>
            <w:left w:w="108" w:type="dxa"/>
            <w:bottom w:w="0" w:type="dxa"/>
            <w:right w:w="108" w:type="dxa"/>
          </w:tblCellMar>
        </w:tblPrEx>
        <w:trPr>
          <w:trHeight w:val="556" w:hRule="atLeast"/>
          <w:jc w:val="center"/>
        </w:trPr>
        <w:tc>
          <w:tcPr>
            <w:tcW w:w="677" w:type="dxa"/>
            <w:tcBorders>
              <w:top w:val="nil"/>
              <w:left w:val="single" w:color="auto" w:sz="4" w:space="0"/>
              <w:bottom w:val="single" w:color="000000" w:sz="4" w:space="0"/>
              <w:right w:val="single" w:color="auto" w:sz="4" w:space="0"/>
            </w:tcBorders>
            <w:vAlign w:val="center"/>
          </w:tcPr>
          <w:p w14:paraId="7E0D712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3</w:t>
            </w:r>
          </w:p>
        </w:tc>
        <w:tc>
          <w:tcPr>
            <w:tcW w:w="1684" w:type="dxa"/>
            <w:tcBorders>
              <w:top w:val="nil"/>
              <w:left w:val="nil"/>
              <w:bottom w:val="single" w:color="auto" w:sz="4" w:space="0"/>
              <w:right w:val="single" w:color="auto" w:sz="4" w:space="0"/>
            </w:tcBorders>
            <w:vAlign w:val="center"/>
          </w:tcPr>
          <w:p w14:paraId="6552BC3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维修前确认</w:t>
            </w:r>
          </w:p>
        </w:tc>
        <w:tc>
          <w:tcPr>
            <w:tcW w:w="6993" w:type="dxa"/>
            <w:tcBorders>
              <w:top w:val="nil"/>
              <w:left w:val="nil"/>
              <w:bottom w:val="single" w:color="auto" w:sz="4" w:space="0"/>
              <w:right w:val="single" w:color="auto" w:sz="4" w:space="0"/>
            </w:tcBorders>
            <w:vAlign w:val="center"/>
          </w:tcPr>
          <w:p w14:paraId="6309E3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检查设备是否断电、是否安排人员监护。</w:t>
            </w:r>
          </w:p>
        </w:tc>
      </w:tr>
      <w:tr w14:paraId="427E7AD6">
        <w:tblPrEx>
          <w:tblCellMar>
            <w:top w:w="0" w:type="dxa"/>
            <w:left w:w="108" w:type="dxa"/>
            <w:bottom w:w="0" w:type="dxa"/>
            <w:right w:w="108" w:type="dxa"/>
          </w:tblCellMar>
        </w:tblPrEx>
        <w:trPr>
          <w:trHeight w:val="556" w:hRule="atLeast"/>
          <w:jc w:val="center"/>
        </w:trPr>
        <w:tc>
          <w:tcPr>
            <w:tcW w:w="677" w:type="dxa"/>
            <w:tcBorders>
              <w:top w:val="nil"/>
              <w:left w:val="single" w:color="auto" w:sz="4" w:space="0"/>
              <w:bottom w:val="single" w:color="000000" w:sz="4" w:space="0"/>
              <w:right w:val="single" w:color="auto" w:sz="4" w:space="0"/>
            </w:tcBorders>
            <w:vAlign w:val="center"/>
          </w:tcPr>
          <w:p w14:paraId="6E3D195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4</w:t>
            </w:r>
          </w:p>
        </w:tc>
        <w:tc>
          <w:tcPr>
            <w:tcW w:w="1684" w:type="dxa"/>
            <w:tcBorders>
              <w:top w:val="nil"/>
              <w:left w:val="nil"/>
              <w:bottom w:val="single" w:color="auto" w:sz="4" w:space="0"/>
              <w:right w:val="single" w:color="auto" w:sz="4" w:space="0"/>
            </w:tcBorders>
            <w:vAlign w:val="center"/>
          </w:tcPr>
          <w:p w14:paraId="2DADEB6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color w:val="auto"/>
                <w:kern w:val="0"/>
                <w:sz w:val="22"/>
                <w:szCs w:val="22"/>
                <w:lang w:val="en-US" w:eastAsia="zh-CN"/>
              </w:rPr>
              <w:t>维修确认</w:t>
            </w:r>
          </w:p>
        </w:tc>
        <w:tc>
          <w:tcPr>
            <w:tcW w:w="6993" w:type="dxa"/>
            <w:tcBorders>
              <w:top w:val="nil"/>
              <w:left w:val="nil"/>
              <w:bottom w:val="single" w:color="auto" w:sz="4" w:space="0"/>
              <w:right w:val="single" w:color="auto" w:sz="4" w:space="0"/>
            </w:tcBorders>
            <w:vAlign w:val="center"/>
          </w:tcPr>
          <w:p w14:paraId="7F334C7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color w:val="auto"/>
                <w:sz w:val="22"/>
                <w:szCs w:val="22"/>
                <w:lang w:val="en-US" w:eastAsia="zh-CN"/>
              </w:rPr>
              <w:t>检查设备维修质量。</w:t>
            </w:r>
          </w:p>
        </w:tc>
      </w:tr>
      <w:tr w14:paraId="37C651B8">
        <w:tblPrEx>
          <w:tblCellMar>
            <w:top w:w="0" w:type="dxa"/>
            <w:left w:w="108" w:type="dxa"/>
            <w:bottom w:w="0" w:type="dxa"/>
            <w:right w:w="108" w:type="dxa"/>
          </w:tblCellMar>
        </w:tblPrEx>
        <w:trPr>
          <w:trHeight w:val="338" w:hRule="atLeast"/>
          <w:jc w:val="center"/>
        </w:trPr>
        <w:tc>
          <w:tcPr>
            <w:tcW w:w="677" w:type="dxa"/>
            <w:tcBorders>
              <w:top w:val="nil"/>
              <w:left w:val="single" w:color="auto" w:sz="4" w:space="0"/>
              <w:bottom w:val="single" w:color="000000" w:sz="4" w:space="0"/>
              <w:right w:val="single" w:color="auto" w:sz="4" w:space="0"/>
            </w:tcBorders>
            <w:vAlign w:val="center"/>
          </w:tcPr>
          <w:p w14:paraId="331A55E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5</w:t>
            </w:r>
          </w:p>
        </w:tc>
        <w:tc>
          <w:tcPr>
            <w:tcW w:w="1684" w:type="dxa"/>
            <w:tcBorders>
              <w:top w:val="nil"/>
              <w:left w:val="nil"/>
              <w:bottom w:val="single" w:color="auto" w:sz="4" w:space="0"/>
              <w:right w:val="single" w:color="auto" w:sz="4" w:space="0"/>
            </w:tcBorders>
            <w:vAlign w:val="center"/>
          </w:tcPr>
          <w:p w14:paraId="1E541F7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登高作业</w:t>
            </w:r>
          </w:p>
        </w:tc>
        <w:tc>
          <w:tcPr>
            <w:tcW w:w="6993" w:type="dxa"/>
            <w:tcBorders>
              <w:top w:val="nil"/>
              <w:left w:val="nil"/>
              <w:bottom w:val="single" w:color="auto" w:sz="4" w:space="0"/>
              <w:right w:val="single" w:color="auto" w:sz="4" w:space="0"/>
            </w:tcBorders>
            <w:vAlign w:val="center"/>
          </w:tcPr>
          <w:p w14:paraId="1E91A3F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检查保险带系挂，需要移动时不要误摘他人的。</w:t>
            </w:r>
          </w:p>
        </w:tc>
      </w:tr>
      <w:tr w14:paraId="5363E1F7">
        <w:tblPrEx>
          <w:tblCellMar>
            <w:top w:w="0" w:type="dxa"/>
            <w:left w:w="108" w:type="dxa"/>
            <w:bottom w:w="0" w:type="dxa"/>
            <w:right w:w="108" w:type="dxa"/>
          </w:tblCellMar>
        </w:tblPrEx>
        <w:trPr>
          <w:trHeight w:val="556" w:hRule="atLeast"/>
          <w:jc w:val="center"/>
        </w:trPr>
        <w:tc>
          <w:tcPr>
            <w:tcW w:w="677" w:type="dxa"/>
            <w:tcBorders>
              <w:top w:val="nil"/>
              <w:left w:val="single" w:color="auto" w:sz="4" w:space="0"/>
              <w:bottom w:val="single" w:color="auto" w:sz="4" w:space="0"/>
              <w:right w:val="single" w:color="auto" w:sz="4" w:space="0"/>
            </w:tcBorders>
            <w:vAlign w:val="center"/>
          </w:tcPr>
          <w:p w14:paraId="1207DCA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6</w:t>
            </w:r>
          </w:p>
        </w:tc>
        <w:tc>
          <w:tcPr>
            <w:tcW w:w="1684" w:type="dxa"/>
            <w:tcBorders>
              <w:top w:val="nil"/>
              <w:left w:val="nil"/>
              <w:bottom w:val="single" w:color="auto" w:sz="4" w:space="0"/>
              <w:right w:val="single" w:color="auto" w:sz="4" w:space="0"/>
            </w:tcBorders>
            <w:vAlign w:val="center"/>
          </w:tcPr>
          <w:p w14:paraId="2348AB5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2"/>
                <w:szCs w:val="22"/>
                <w:lang w:val="en-US" w:eastAsia="zh-CN"/>
              </w:rPr>
            </w:pPr>
            <w:r>
              <w:rPr>
                <w:rFonts w:hint="eastAsia" w:ascii="仿宋" w:hAnsi="仿宋" w:eastAsia="仿宋" w:cs="仿宋"/>
                <w:color w:val="auto"/>
                <w:sz w:val="22"/>
                <w:szCs w:val="22"/>
                <w:lang w:val="en-US" w:eastAsia="zh-CN"/>
              </w:rPr>
              <w:t>收尾工作</w:t>
            </w:r>
          </w:p>
        </w:tc>
        <w:tc>
          <w:tcPr>
            <w:tcW w:w="6993" w:type="dxa"/>
            <w:tcBorders>
              <w:top w:val="nil"/>
              <w:left w:val="nil"/>
              <w:bottom w:val="single" w:color="auto" w:sz="4" w:space="0"/>
              <w:right w:val="single" w:color="auto" w:sz="4" w:space="0"/>
            </w:tcBorders>
            <w:vAlign w:val="center"/>
          </w:tcPr>
          <w:p w14:paraId="2F6BF13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2"/>
                <w:szCs w:val="22"/>
              </w:rPr>
            </w:pPr>
            <w:r>
              <w:rPr>
                <w:rFonts w:hint="eastAsia" w:ascii="仿宋" w:hAnsi="仿宋" w:eastAsia="仿宋" w:cs="仿宋"/>
                <w:i w:val="0"/>
                <w:iCs w:val="0"/>
                <w:color w:val="auto"/>
                <w:sz w:val="22"/>
                <w:szCs w:val="22"/>
                <w:highlight w:val="none"/>
                <w:u w:val="none"/>
                <w:lang w:val="en-US" w:eastAsia="zh-CN"/>
              </w:rPr>
              <w:t>清理现场卫生，填写记录。</w:t>
            </w:r>
          </w:p>
        </w:tc>
      </w:tr>
    </w:tbl>
    <w:p w14:paraId="018A3CB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562" w:firstLineChars="200"/>
        <w:jc w:val="both"/>
        <w:outlineLvl w:val="9"/>
        <w:rPr>
          <w:rFonts w:hint="default" w:ascii="仿宋" w:hAnsi="仿宋" w:eastAsia="仿宋" w:cs="仿宋"/>
          <w:b/>
          <w:i w:val="0"/>
          <w:caps w:val="0"/>
          <w:color w:val="auto"/>
          <w:spacing w:val="0"/>
          <w:kern w:val="0"/>
          <w:sz w:val="28"/>
          <w:szCs w:val="28"/>
          <w:lang w:val="en-US" w:eastAsia="zh-CN" w:bidi="ar"/>
        </w:rPr>
      </w:pPr>
    </w:p>
    <w:p w14:paraId="5D478EA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一、（一）一般规定</w:t>
      </w:r>
    </w:p>
    <w:p w14:paraId="2155FF5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1.严格遵守安全生产规章制度和操作规程，服从管理。</w:t>
      </w:r>
    </w:p>
    <w:p w14:paraId="44F9BDC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2.积极参加安全学习及相关培训,掌握本职工作所需的安全生产知识，提高安全生产技能,必须经培训取得相应资格证书，方可上岗。</w:t>
      </w:r>
    </w:p>
    <w:p w14:paraId="64AE444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3.正确佩戴和使用劳动防护用品。</w:t>
      </w:r>
    </w:p>
    <w:p w14:paraId="3B32E34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4.认真开展岗前、岗中安全隐患排查，确保本岗位作业区域内相关环境及机械设备安全。</w:t>
      </w:r>
    </w:p>
    <w:p w14:paraId="5258586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5.熟悉工作环境，熟知设备参数（特性）。</w:t>
      </w:r>
    </w:p>
    <w:p w14:paraId="50952CE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6.认真做好本职工作，工作时间不准无故脱岗，不做与本职工作无关的事情。</w:t>
      </w:r>
    </w:p>
    <w:p w14:paraId="667623B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7.搞好班组内业资料及所分管卫生区卫生，保持清洁干净。</w:t>
      </w:r>
    </w:p>
    <w:p w14:paraId="4BDD84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8.发生安全生产事故后，事故现场有关人员应当立即报告本单位负责人；发现事故隐患或者其他不安全因素，应当立即向现场安全管理人员或者本单位负责人报告。</w:t>
      </w:r>
    </w:p>
    <w:p w14:paraId="12C1EAF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9.有权对单位安全生产工作中存在的问题提出批评、检举、控告，有权拒绝违章指挥和强令冒险作业。</w:t>
      </w:r>
    </w:p>
    <w:p w14:paraId="7822A34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10.熟悉本岗位的安全生产风险和应急处置措施，发现直接危及人身安全的紧急情况时,有权停止作业或者在采取可能的应急措施后,撤离作业现场。</w:t>
      </w:r>
    </w:p>
    <w:p w14:paraId="0E76250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11.熟练掌握应急逃生知识，提高互救自救能力。</w:t>
      </w:r>
    </w:p>
    <w:p w14:paraId="61F7BC8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（二）入井、乘罐注意事项</w:t>
      </w:r>
      <w:r>
        <w:rPr>
          <w:rFonts w:hint="eastAsia" w:ascii="仿宋" w:hAnsi="仿宋" w:eastAsia="仿宋" w:cs="仿宋"/>
          <w:b w:val="0"/>
          <w:i w:val="0"/>
          <w:caps w:val="0"/>
          <w:color w:val="auto"/>
          <w:spacing w:val="0"/>
          <w:kern w:val="0"/>
          <w:sz w:val="28"/>
          <w:szCs w:val="28"/>
          <w:lang w:val="en-US" w:eastAsia="zh-CN" w:bidi="ar"/>
        </w:rPr>
        <w:t>：</w:t>
      </w:r>
    </w:p>
    <w:p w14:paraId="4B173D5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1.入井人员严禁携带烟草或点火用品，严禁穿化纤衣服，入井前严禁喝酒。</w:t>
      </w:r>
    </w:p>
    <w:p w14:paraId="570EA80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2.入井人员必须戴安全帽，随身携戴自救器和矿灯。</w:t>
      </w:r>
    </w:p>
    <w:p w14:paraId="4BAD733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3.严格执行入井前检身制度。</w:t>
      </w:r>
    </w:p>
    <w:p w14:paraId="569B74A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4.乘坐罐笼按顺序上下，不可拥挤和打闹；罐笼运行中，不要把头和手脚伸到罐外；不准向井筒内扔杂物。</w:t>
      </w:r>
    </w:p>
    <w:p w14:paraId="66D7641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（三）靠近井筒3m范围内及登高作业注意事项</w:t>
      </w:r>
      <w:r>
        <w:rPr>
          <w:rFonts w:hint="eastAsia" w:ascii="仿宋" w:hAnsi="仿宋" w:eastAsia="仿宋" w:cs="仿宋"/>
          <w:b w:val="0"/>
          <w:i w:val="0"/>
          <w:caps w:val="0"/>
          <w:color w:val="auto"/>
          <w:spacing w:val="0"/>
          <w:kern w:val="0"/>
          <w:sz w:val="28"/>
          <w:szCs w:val="28"/>
          <w:lang w:val="en-US" w:eastAsia="zh-CN" w:bidi="ar"/>
        </w:rPr>
        <w:t>：</w:t>
      </w:r>
    </w:p>
    <w:p w14:paraId="6BB3616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1.靠近井筒3m范围，必须系挂保险带，保险带生根。</w:t>
      </w:r>
    </w:p>
    <w:p w14:paraId="393C65C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2.登高作业时，必须系挂保险带，保险带系挂与自身无相对移动的地方生根。</w:t>
      </w:r>
    </w:p>
    <w:p w14:paraId="5796C8C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3.人员需要移动时，保险带严禁误摘他人的。</w:t>
      </w:r>
    </w:p>
    <w:p w14:paraId="1DB3D28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二、薄弱人物排查治理办法</w:t>
      </w:r>
    </w:p>
    <w:p w14:paraId="1C88133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（一）薄弱人物范畴</w:t>
      </w:r>
    </w:p>
    <w:p w14:paraId="2481A5F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1.嗜好饮酒的“迷糊人”：是指爱好喝酒、酗酒甚至容易醉酒的人。</w:t>
      </w:r>
    </w:p>
    <w:p w14:paraId="53D2222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2.婚期前后的“甜蜜人”：是指正在筹备或者刚刚完成婚姻大事的人。</w:t>
      </w:r>
    </w:p>
    <w:p w14:paraId="557E12E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3.家有丧事的“失落人”：是指家庭有亲人离世导致情绪失落波动。</w:t>
      </w:r>
    </w:p>
    <w:p w14:paraId="3318424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4.经常违章的“大胆人”：是指自律能力差，对违章屡教不改的人。</w:t>
      </w:r>
    </w:p>
    <w:p w14:paraId="7D5C3AA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5.挨批受罚的“情绪人”：是指受到批评处罚情绪低落的人。</w:t>
      </w:r>
    </w:p>
    <w:p w14:paraId="60EF013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6.重新上岗的“三长人”：是指长伤、长病、长旷的返岗人员。</w:t>
      </w:r>
    </w:p>
    <w:p w14:paraId="4E91E0F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7.极度疲劳的“硬撑人”：是指班后从事体力劳动极度疲惫的人。</w:t>
      </w:r>
    </w:p>
    <w:p w14:paraId="2BBA0D2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8.临近退休的“老年人”：是指年龄偏大（50岁以上）的老工人。</w:t>
      </w:r>
    </w:p>
    <w:p w14:paraId="05CC6D1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9.随时发病的“体弱人”：是指被医院诊断患有高血压、心脏病、脑血栓、抑郁症等病情的人。</w:t>
      </w:r>
    </w:p>
    <w:p w14:paraId="01247F1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10.家境特殊的“纠结人”：是指频发家庭矛盾影响工作情绪的人。</w:t>
      </w:r>
    </w:p>
    <w:p w14:paraId="19E9E99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11.岗位调整的“转行人”：是指转换了工作岗位、改变了工作性质的人。</w:t>
      </w:r>
    </w:p>
    <w:p w14:paraId="7B002D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12.初来乍到的“新工人”：是指刚入矿或者从外单位调入的人。</w:t>
      </w:r>
    </w:p>
    <w:p w14:paraId="0B12776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13.班前教育的“落空人”：是指未参加班前会的人。</w:t>
      </w:r>
    </w:p>
    <w:p w14:paraId="400CE8D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14.心力交瘁的“上访人”：是指由于社会矛盾得不到及时解决有上访倾向的人。</w:t>
      </w:r>
    </w:p>
    <w:p w14:paraId="2BF7C71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15.八小时以外的“网络人”：是指工作之余，喜欢上网的年轻员工，班前休息不好，上班精力不集中。</w:t>
      </w:r>
    </w:p>
    <w:p w14:paraId="6C3E583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16.性格粗暴的“鲁莽人”：是指性格简单粗暴的员工，工作急躁毛躁浮躁。</w:t>
      </w:r>
    </w:p>
    <w:p w14:paraId="5E2A709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17.反应迟钝的“麻木人”：是指工作麻痹大意、马虎凑付不在乎、反应迟钝的员工。</w:t>
      </w:r>
    </w:p>
    <w:p w14:paraId="79751DB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18.不安心工作的“跳槽人”：是指不安心本职工作，意欲调动工作的人。</w:t>
      </w:r>
    </w:p>
    <w:p w14:paraId="34E8934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19.不服从管理的“顶牛人”：是指与管理人员或员工有矛盾，不服从管理的员工。</w:t>
      </w:r>
    </w:p>
    <w:p w14:paraId="397F408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20</w:t>
      </w:r>
      <w:r>
        <w:rPr>
          <w:rFonts w:hint="eastAsia" w:ascii="仿宋" w:hAnsi="仿宋" w:eastAsia="仿宋" w:cs="仿宋"/>
          <w:b w:val="0"/>
          <w:i w:val="0"/>
          <w:caps w:val="0"/>
          <w:color w:val="auto"/>
          <w:spacing w:val="0"/>
          <w:kern w:val="0"/>
          <w:sz w:val="28"/>
          <w:szCs w:val="28"/>
          <w:lang w:val="en-US" w:eastAsia="zh-CN" w:bidi="ar"/>
        </w:rPr>
        <w:t>.</w:t>
      </w:r>
      <w:r>
        <w:rPr>
          <w:rFonts w:hint="default" w:ascii="仿宋" w:hAnsi="仿宋" w:eastAsia="仿宋" w:cs="仿宋"/>
          <w:b w:val="0"/>
          <w:i w:val="0"/>
          <w:caps w:val="0"/>
          <w:color w:val="auto"/>
          <w:spacing w:val="0"/>
          <w:kern w:val="0"/>
          <w:sz w:val="28"/>
          <w:szCs w:val="28"/>
          <w:lang w:val="en-US" w:eastAsia="zh-CN" w:bidi="ar"/>
        </w:rPr>
        <w:t>肩负第二职业的“经济人”：是指挣钱不要命，工作之余另有第二职业的人。</w:t>
      </w:r>
    </w:p>
    <w:p w14:paraId="11A7EDB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（二）实施建档管理</w:t>
      </w:r>
    </w:p>
    <w:p w14:paraId="758E9A8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19C166E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（三）具体排查方式</w:t>
      </w:r>
    </w:p>
    <w:p w14:paraId="74EF33F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2339A0D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7C3E923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63880D9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26E2CC4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2ABC1C8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18CF9FA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（四）薄弱人员管控措施</w:t>
      </w:r>
    </w:p>
    <w:p w14:paraId="131E0F1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1.对于岗前饮酒者，坚决禁止上岗作业。轻者责令其回家休息，重者在区队原地休息或者安排人员护送回家。</w:t>
      </w:r>
    </w:p>
    <w:p w14:paraId="604886B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2.对于有喜事或丧事的人员，要通过面谈掌握当事人的心理状态，无异议后方可下井。</w:t>
      </w:r>
    </w:p>
    <w:p w14:paraId="2FF6D88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3.对于经常违章的人员，要加强日常的教育，在班前会上注重提问，安排岗位要合理，原则上做到“疑人不用”。</w:t>
      </w:r>
    </w:p>
    <w:p w14:paraId="07F0442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4.对于受到批评和处罚的员工，要加强心理疏导，让当事人放下思想包袱，解除心里抱怨，避免带着情绪上岗。</w:t>
      </w:r>
    </w:p>
    <w:p w14:paraId="08F5A2B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5.对于“三长”人员，必须加强岗前教育培训，考试合格后方可上岗。上岗过程中，要作为重点的巡查盯靠对象，实施跟踪观察。</w:t>
      </w:r>
    </w:p>
    <w:p w14:paraId="632DCB0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6.对于有高血压、心脏病等病史的人，一旦发现异常情况，应立即安排其原地休息，必要的时候，到医院检查就医,并适时参加矿上统一组织的劳鉴工作。</w:t>
      </w:r>
    </w:p>
    <w:p w14:paraId="68FA0F8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7.对于家庭矛盾突出的员工，应通过谈心或者家访的方式，及时为员工解决家庭矛盾，解开症结，保证员工轻装上岗。</w:t>
      </w:r>
    </w:p>
    <w:p w14:paraId="7B9209A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8.对于临近退休的老工人，在安排岗位上首要考虑安全因素，原则上不安排攀高、抬重、高温等急难险重类型的作业。</w:t>
      </w:r>
    </w:p>
    <w:p w14:paraId="48205CA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9.对于转岗员工当成新工人尽心管理，严格履行以师带徒合同，在老工人的带领下作业。</w:t>
      </w:r>
    </w:p>
    <w:p w14:paraId="41AFAE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562083C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11.凡是没有参加班前会学习教育的人员，一律严禁上岗作业。</w:t>
      </w:r>
    </w:p>
    <w:p w14:paraId="4469078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12.对于喜欢上网的年轻员工，要加强引导，多沟通勤交流，促使他们培养健康向上的生活工作情趣。</w:t>
      </w:r>
    </w:p>
    <w:p w14:paraId="0CFA0DB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13.对于有上访倾向的人，要及时了解情况，掌握思想状态，活血化瘀，必要时可申请法律援助，解决实际困难。</w:t>
      </w:r>
    </w:p>
    <w:p w14:paraId="2320D94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14.对于反应迟钝、工作急躁毛躁浮躁的员工，要加强教育，使其克服缺点，结对子人员，必须安排一名沉稳人员带领，尽量避免让其承担单项工程和零星工程。</w:t>
      </w:r>
    </w:p>
    <w:p w14:paraId="50DDE93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15.对于不服从管理的员工，单位管理人员要及时做好一人一事的思想工作，解决存在的矛盾，使其心悦诚服、心情舒畅的投入工作。</w:t>
      </w:r>
    </w:p>
    <w:p w14:paraId="35F375C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16.对于不安心工作或肩负第二职业的员工，单位主要领导要格外进行关注，进行一对一的帮教，使其回心转意，爱岗敬业，干好本职工作，时刻注意安全。</w:t>
      </w:r>
    </w:p>
    <w:p w14:paraId="745CE7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三、安全风险辨识与管控措施</w:t>
      </w:r>
    </w:p>
    <w:p w14:paraId="3BD6469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i w:val="0"/>
          <w:caps w:val="0"/>
          <w:color w:val="auto"/>
          <w:spacing w:val="0"/>
          <w:kern w:val="0"/>
          <w:sz w:val="28"/>
          <w:szCs w:val="28"/>
        </w:rPr>
      </w:pPr>
      <w:r>
        <w:rPr>
          <w:rFonts w:hint="default" w:ascii="仿宋" w:hAnsi="仿宋" w:eastAsia="仿宋" w:cs="仿宋"/>
          <w:b/>
          <w:bCs/>
          <w:i w:val="0"/>
          <w:caps w:val="0"/>
          <w:color w:val="auto"/>
          <w:spacing w:val="0"/>
          <w:kern w:val="0"/>
          <w:sz w:val="28"/>
          <w:szCs w:val="28"/>
          <w:lang w:val="en-US" w:eastAsia="zh-CN" w:bidi="ar"/>
        </w:rPr>
        <w:t xml:space="preserve">（一）通用部分 </w:t>
      </w:r>
    </w:p>
    <w:p w14:paraId="526CBCD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①风险描述：防护用品不完好，不按规定佩戴，存在人员受伤的风险。</w:t>
      </w:r>
    </w:p>
    <w:p w14:paraId="16746C2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管控措施：检查好防护用品，确保齐全完好，作业前按规定佩戴好安全防护用品。</w:t>
      </w:r>
    </w:p>
    <w:p w14:paraId="445AE63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②风险描述：工具材料不齐全完好，存在设备检修不到位或人员伤亡的风险。</w:t>
      </w:r>
    </w:p>
    <w:p w14:paraId="04E8270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管控措施：操作前，工具材料准备齐全完好。</w:t>
      </w:r>
    </w:p>
    <w:p w14:paraId="4FACE80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③风险描述：检修人员站位不正确，存在设备碰伤人员的风险。</w:t>
      </w:r>
    </w:p>
    <w:p w14:paraId="4A72142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管控措施：检修前规范站位，重物下方及可能倾倒方向严禁有人。</w:t>
      </w:r>
    </w:p>
    <w:p w14:paraId="2F966726">
      <w:pPr>
        <w:keepNext w:val="0"/>
        <w:keepLines w:val="0"/>
        <w:pageBreakBefore w:val="0"/>
        <w:widowControl/>
        <w:numPr>
          <w:ilvl w:val="0"/>
          <w:numId w:val="18"/>
        </w:numPr>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i w:val="0"/>
          <w:caps w:val="0"/>
          <w:color w:val="auto"/>
          <w:spacing w:val="0"/>
          <w:kern w:val="0"/>
          <w:sz w:val="28"/>
          <w:szCs w:val="28"/>
        </w:rPr>
      </w:pPr>
      <w:r>
        <w:rPr>
          <w:rFonts w:hint="default" w:ascii="仿宋" w:hAnsi="仿宋" w:eastAsia="仿宋" w:cs="仿宋"/>
          <w:b/>
          <w:bCs/>
          <w:i w:val="0"/>
          <w:caps w:val="0"/>
          <w:color w:val="auto"/>
          <w:spacing w:val="0"/>
          <w:kern w:val="0"/>
          <w:sz w:val="28"/>
          <w:szCs w:val="28"/>
          <w:lang w:val="en-US" w:eastAsia="zh-CN" w:bidi="ar"/>
        </w:rPr>
        <w:t>专用部分</w:t>
      </w:r>
    </w:p>
    <w:p w14:paraId="59E4A0C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1.维修前</w:t>
      </w:r>
    </w:p>
    <w:p w14:paraId="4893FEC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①风险描述：登高作业未按规定佩戴防护用品，施工前未检查施工现场。</w:t>
      </w:r>
    </w:p>
    <w:p w14:paraId="21E6089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管控措施：登高作业按规定佩戴防护用品，施工前检查施工现场无隐患，确认后方可施工。</w:t>
      </w:r>
    </w:p>
    <w:p w14:paraId="0D8D9F2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2.维修过程中</w:t>
      </w:r>
    </w:p>
    <w:p w14:paraId="2292D4B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①风险描述：吊装作业时，人员站位不当或工具不完好导致受伤。</w:t>
      </w:r>
    </w:p>
    <w:p w14:paraId="38A1F0F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14:paraId="6A40CB0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②风险描述：人员靠近转动部位，护罩或遮拦等不完好，存在转动部位伤人的风险。</w:t>
      </w:r>
    </w:p>
    <w:p w14:paraId="15C09E0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管控措施：保持护罩或遮拦等防护设施完好，运转时保持安全距离。</w:t>
      </w:r>
    </w:p>
    <w:p w14:paraId="716D45A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③风险描述：维修带电设备时，设备未停电，停电未安排人员监护，维修人员存在触电的风险。</w:t>
      </w:r>
    </w:p>
    <w:p w14:paraId="0013A86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管控措施：维修带电设备时必须断电，并安排专人监护。</w:t>
      </w:r>
    </w:p>
    <w:p w14:paraId="6C8478B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3.维修后</w:t>
      </w:r>
    </w:p>
    <w:p w14:paraId="79E567E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①风险描述：设备检修不到位，零部件缺失、连接部位不完好等，设备带病运行，存在设备损坏的风险。</w:t>
      </w:r>
    </w:p>
    <w:p w14:paraId="7FDC5F1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管控措施：设备检修到位，保证检修质量，因特殊原因造成设备未能检修完成时，应及时告知设备运行人员，设备严禁运行。</w:t>
      </w:r>
    </w:p>
    <w:p w14:paraId="2939727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②风险描述：检修完成后工具材料未能及时清点，检修工具材料遗留在设备内，存在设备损坏的风险。</w:t>
      </w:r>
    </w:p>
    <w:p w14:paraId="29D0823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管控措施：检修完成后，对材料工具进行清点，做到工完料净场地清。</w:t>
      </w:r>
    </w:p>
    <w:p w14:paraId="7FD6672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③风险描述：检修完成后未及时清理现场，检修人员存在摔伤的风险。</w:t>
      </w:r>
    </w:p>
    <w:p w14:paraId="518CA3A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管控措施：检修完成后，及时清理施工现场，做到工完料净场地清。</w:t>
      </w:r>
    </w:p>
    <w:p w14:paraId="779659B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rightChars="0" w:firstLine="562"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四、（一）维修前检查</w:t>
      </w:r>
    </w:p>
    <w:p w14:paraId="332C31B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1.防护用品：防护用品齐全完好。</w:t>
      </w:r>
    </w:p>
    <w:p w14:paraId="59509D0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2.工具、材料：工具、材料齐全完好，利刃工已做好防护。</w:t>
      </w:r>
    </w:p>
    <w:p w14:paraId="14DA1C8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3.监护人：监护人到位。</w:t>
      </w:r>
    </w:p>
    <w:p w14:paraId="2E44545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4.站位：人员站位正确，退路畅通。</w:t>
      </w:r>
    </w:p>
    <w:p w14:paraId="4EED45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（二）维修单元格确认</w:t>
      </w:r>
    </w:p>
    <w:p w14:paraId="3FCDD7A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w:t>
      </w:r>
      <w:r>
        <w:rPr>
          <w:rFonts w:hint="eastAsia" w:ascii="仿宋" w:hAnsi="仿宋" w:eastAsia="仿宋" w:cs="仿宋"/>
          <w:b w:val="0"/>
          <w:i w:val="0"/>
          <w:caps w:val="0"/>
          <w:color w:val="auto"/>
          <w:spacing w:val="0"/>
          <w:kern w:val="0"/>
          <w:sz w:val="28"/>
          <w:szCs w:val="28"/>
          <w:lang w:val="en-US" w:eastAsia="zh-CN" w:bidi="ar"/>
        </w:rPr>
        <w:t>.</w:t>
      </w:r>
      <w:r>
        <w:rPr>
          <w:rFonts w:hint="default" w:ascii="仿宋" w:hAnsi="仿宋" w:eastAsia="仿宋" w:cs="仿宋"/>
          <w:b w:val="0"/>
          <w:i w:val="0"/>
          <w:caps w:val="0"/>
          <w:color w:val="auto"/>
          <w:spacing w:val="0"/>
          <w:kern w:val="0"/>
          <w:sz w:val="28"/>
          <w:szCs w:val="28"/>
          <w:lang w:val="en-US" w:eastAsia="zh-CN" w:bidi="ar"/>
        </w:rPr>
        <w:t>检查设备是否完好：设备正常。</w:t>
      </w:r>
    </w:p>
    <w:p w14:paraId="770064D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2.检查液压站油量、油温是否正常：液压站油量适中，油温正常。</w:t>
      </w:r>
    </w:p>
    <w:p w14:paraId="013E0A6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3.检查输油管路是否完好：输油管路无泄漏。</w:t>
      </w:r>
    </w:p>
    <w:p w14:paraId="65CF5DB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4.检查盘型闸间隙是否在规定范围内：盘型闸间隙不超过2mm。</w:t>
      </w:r>
    </w:p>
    <w:p w14:paraId="5E07E43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5.检查钢丝绳、绳槽：钢丝绳、绳槽各项指标在规定范围内。</w:t>
      </w:r>
    </w:p>
    <w:p w14:paraId="5B21851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6.检查天轮、绳槽：天轮及绳槽各项指标在规定范围内。</w:t>
      </w:r>
    </w:p>
    <w:p w14:paraId="23208E7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7.检查罐笼：罐笼完好。</w:t>
      </w:r>
    </w:p>
    <w:p w14:paraId="40EC4DB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8.检查操车系统：操车系统正常。</w:t>
      </w:r>
    </w:p>
    <w:p w14:paraId="4C6BB5F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9.检查井筒装备：井筒装备完好。</w:t>
      </w:r>
    </w:p>
    <w:p w14:paraId="19DFFA7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10.检查提升机运行：提升机运行平稳。</w:t>
      </w:r>
    </w:p>
    <w:p w14:paraId="529A627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11.检查现场化：现场化达标，记录填写规范。</w:t>
      </w:r>
    </w:p>
    <w:p w14:paraId="1294726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五、大型设备维修钳工正规操作</w:t>
      </w:r>
    </w:p>
    <w:p w14:paraId="370577D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（一）大型设备维修钳工操作顺序：</w:t>
      </w:r>
    </w:p>
    <w:p w14:paraId="5D18627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巡检→系挂保险带→检查、调整滚动罐耳→检查液压站油量、油温→检查、调整盘型闸间隙→记录填写</w:t>
      </w:r>
      <w:r>
        <w:rPr>
          <w:rFonts w:hint="eastAsia" w:ascii="仿宋" w:hAnsi="仿宋" w:eastAsia="仿宋" w:cs="仿宋"/>
          <w:i w:val="0"/>
          <w:caps w:val="0"/>
          <w:color w:val="auto"/>
          <w:spacing w:val="0"/>
          <w:kern w:val="0"/>
          <w:sz w:val="28"/>
          <w:szCs w:val="28"/>
          <w:lang w:val="en-US" w:eastAsia="zh-CN" w:bidi="ar"/>
        </w:rPr>
        <w:t>。</w:t>
      </w:r>
    </w:p>
    <w:p w14:paraId="3A3613B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（二）大型设备维修钳工正规操作：</w:t>
      </w:r>
    </w:p>
    <w:p w14:paraId="347DEC4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1.巡检：上下井口操车系统、清理斜巷水泵、尾绳保护架、天轮、巡检，发现问题及时处理并汇报。</w:t>
      </w:r>
    </w:p>
    <w:p w14:paraId="309C186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2.系挂保险带：登高超过2m、靠近井筒3m必须系挂保险带。</w:t>
      </w:r>
    </w:p>
    <w:p w14:paraId="42D22A0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3.检查、调整滚动罐耳：检查滚动罐耳间隙，对不在规定范围内的予以调整。</w:t>
      </w:r>
    </w:p>
    <w:p w14:paraId="09BD1CA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4.检查液压站油量、油温：检查液压站油量适中，油温达标。</w:t>
      </w:r>
    </w:p>
    <w:p w14:paraId="7AC7796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5.检查、调整盘型闸间隙：用塞尺检查盘型闸间隙，对不合格的予以调整。</w:t>
      </w:r>
    </w:p>
    <w:p w14:paraId="37378A2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6.记录填写：所有项目检完毕，打扫车房卫生，填写记录。</w:t>
      </w:r>
    </w:p>
    <w:p w14:paraId="663264F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六、大型设备维修钳工巡检及检修过程中的注意事项</w:t>
      </w:r>
    </w:p>
    <w:p w14:paraId="377081A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1.巡检：认真检查各部位，发现异常及时处理并汇报。</w:t>
      </w:r>
    </w:p>
    <w:p w14:paraId="7012B12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2.检修：登高超过2m，靠近井筒3m系挂保险带。</w:t>
      </w:r>
    </w:p>
    <w:p w14:paraId="2FCCDA8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七、作业后确认</w:t>
      </w:r>
    </w:p>
    <w:p w14:paraId="180AE3A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1.检修质量：罐耳调整后人员要乘罐检查；盘型闸间隙调整后，要做松、紧闸试验。</w:t>
      </w:r>
    </w:p>
    <w:p w14:paraId="21D438A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2.现场标准化：做好现场标准化达标。</w:t>
      </w:r>
    </w:p>
    <w:p w14:paraId="524B96B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3.记录填写：所有记录要按照现场数据如实填写，所有检修内容都要写在记录本上。</w:t>
      </w:r>
    </w:p>
    <w:p w14:paraId="5FE634B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八、全部注意事项</w:t>
      </w:r>
    </w:p>
    <w:p w14:paraId="3C31233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1.检查：认真检查部位，检查过程中做好互保联保。</w:t>
      </w:r>
    </w:p>
    <w:p w14:paraId="46C77F9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2.登高：登高超过2m，靠近井筒3m范围必须系挂保险带，</w:t>
      </w:r>
      <w:r>
        <w:rPr>
          <w:rFonts w:hint="default" w:ascii="仿宋" w:hAnsi="仿宋" w:eastAsia="仿宋" w:cs="仿宋"/>
          <w:b w:val="0"/>
          <w:i w:val="0"/>
          <w:caps w:val="0"/>
          <w:color w:val="auto"/>
          <w:spacing w:val="0"/>
          <w:kern w:val="0"/>
          <w:sz w:val="28"/>
          <w:szCs w:val="28"/>
          <w:lang w:val="en-US" w:eastAsia="zh-CN" w:bidi="ar"/>
        </w:rPr>
        <w:t>，保险带生根，摘时不要误摘他人的。</w:t>
      </w:r>
    </w:p>
    <w:p w14:paraId="2F38AE4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3.检修：检修时做好请示汇报，做好上下井口及绞车房信号联系。</w:t>
      </w:r>
    </w:p>
    <w:p w14:paraId="10FFDA6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4.检修带电设备：检修带电设备前，必须切断电源，并安排专人监护。</w:t>
      </w:r>
    </w:p>
    <w:p w14:paraId="7B12D57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5.平行作业：严禁平行作业。</w:t>
      </w:r>
    </w:p>
    <w:p w14:paraId="5DD5891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6.记录填写：所有参与检修人员本人如实填写检修记录，不得涂改。</w:t>
      </w:r>
    </w:p>
    <w:p w14:paraId="3615DBB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九、事故案例</w:t>
      </w:r>
    </w:p>
    <w:p w14:paraId="78CE28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（一）事故经过</w:t>
      </w:r>
    </w:p>
    <w:p w14:paraId="3629398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1991年3月9日，工程处安装工区在梁家矿副井下井口安装阻车系统。中午12时后，万财富同李世亮安装第三路管子时，万在一端扶着管子、李在另一端调整位置。调整过程中，李发现万负责的那一头已经用铁丝绑在管子上，见万揣着手，矿灯搭在手臂上，另一名工人解云龙用管钳拧管子。只剩下一扣丝时，李听见身后“哎呀”一声，回头不见万。解由清理斜巷到仰井，发现万摔在地上。经抢救无效死亡。</w:t>
      </w:r>
    </w:p>
    <w:p w14:paraId="714B774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（二）事故原因</w:t>
      </w:r>
    </w:p>
    <w:p w14:paraId="5E84AEE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1.受害者身为大班长，自主保安意识差，不佩戴安全带，且在完成工作后未及时躲避到安全地点，致使本人不慎坠井。</w:t>
      </w:r>
    </w:p>
    <w:p w14:paraId="036183D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2.现场管理混乱，物料堆放不规整，没有安全行走空间，留下事故隐患。</w:t>
      </w:r>
    </w:p>
    <w:p w14:paraId="5B23C1E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3.作业人员安全意识淡薄，只注重工程进度，不考虑生产安全。</w:t>
      </w:r>
    </w:p>
    <w:p w14:paraId="3D7BB8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（三）防范措施</w:t>
      </w:r>
    </w:p>
    <w:p w14:paraId="1C6988F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1.搞好安全生产技术措施的贯彻、执行，教育作业人员严格按措施及其它有关规定操作。</w:t>
      </w:r>
    </w:p>
    <w:p w14:paraId="5C485A8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2.开展文明活动，搞好现场管理，特别是现场物料要堆放整齐，留出安全退路，给井下作业人员提供安全、整洁的作</w:t>
      </w:r>
      <w:r>
        <w:rPr>
          <w:rFonts w:hint="eastAsia" w:ascii="仿宋" w:hAnsi="仿宋" w:eastAsia="仿宋" w:cs="仿宋"/>
          <w:b w:val="0"/>
          <w:i w:val="0"/>
          <w:caps w:val="0"/>
          <w:color w:val="auto"/>
          <w:spacing w:val="0"/>
          <w:kern w:val="0"/>
          <w:sz w:val="28"/>
          <w:szCs w:val="28"/>
          <w:lang w:val="en-US" w:eastAsia="zh-CN" w:bidi="ar"/>
        </w:rPr>
        <w:t>。</w:t>
      </w:r>
    </w:p>
    <w:p w14:paraId="614C3F6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3.加强施工安全监管，区队领导、安监人员要充分发挥职能作用，狠抓安全薄弱环节绝事故发生。</w:t>
      </w:r>
    </w:p>
    <w:p w14:paraId="7738634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十、常见三违</w:t>
      </w:r>
    </w:p>
    <w:p w14:paraId="5C686B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（一）安排过规程、措施学习考试、签字的职工上岗作业</w:t>
      </w:r>
      <w:r>
        <w:rPr>
          <w:rFonts w:hint="eastAsia" w:ascii="仿宋" w:hAnsi="仿宋" w:eastAsia="仿宋" w:cs="仿宋"/>
          <w:b w:val="0"/>
          <w:i w:val="0"/>
          <w:caps w:val="0"/>
          <w:color w:val="auto"/>
          <w:spacing w:val="0"/>
          <w:kern w:val="0"/>
          <w:sz w:val="28"/>
          <w:szCs w:val="28"/>
          <w:lang w:val="en-US" w:eastAsia="zh-CN" w:bidi="ar"/>
        </w:rPr>
        <w:t>；</w:t>
      </w:r>
    </w:p>
    <w:p w14:paraId="45D275B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w:t>
      </w:r>
      <w:r>
        <w:rPr>
          <w:rFonts w:hint="eastAsia" w:ascii="仿宋" w:hAnsi="仿宋" w:eastAsia="仿宋" w:cs="仿宋"/>
          <w:b w:val="0"/>
          <w:i w:val="0"/>
          <w:caps w:val="0"/>
          <w:color w:val="auto"/>
          <w:spacing w:val="0"/>
          <w:kern w:val="0"/>
          <w:sz w:val="28"/>
          <w:szCs w:val="28"/>
          <w:lang w:val="en-US" w:eastAsia="zh-CN" w:bidi="ar"/>
        </w:rPr>
        <w:t>）</w:t>
      </w:r>
      <w:r>
        <w:rPr>
          <w:rFonts w:hint="default" w:ascii="仿宋" w:hAnsi="仿宋" w:eastAsia="仿宋" w:cs="仿宋"/>
          <w:b w:val="0"/>
          <w:i w:val="0"/>
          <w:caps w:val="0"/>
          <w:color w:val="auto"/>
          <w:spacing w:val="0"/>
          <w:kern w:val="0"/>
          <w:sz w:val="28"/>
          <w:szCs w:val="28"/>
          <w:lang w:val="en-US" w:eastAsia="zh-CN" w:bidi="ar"/>
        </w:rPr>
        <w:t>抵制或举报制止违章的人员进行打击报复</w:t>
      </w:r>
      <w:r>
        <w:rPr>
          <w:rFonts w:hint="eastAsia" w:ascii="仿宋" w:hAnsi="仿宋" w:eastAsia="仿宋" w:cs="仿宋"/>
          <w:b w:val="0"/>
          <w:i w:val="0"/>
          <w:caps w:val="0"/>
          <w:color w:val="auto"/>
          <w:spacing w:val="0"/>
          <w:kern w:val="0"/>
          <w:sz w:val="28"/>
          <w:szCs w:val="28"/>
          <w:lang w:val="en-US" w:eastAsia="zh-CN" w:bidi="ar"/>
        </w:rPr>
        <w:t>；</w:t>
      </w:r>
    </w:p>
    <w:p w14:paraId="7AAAECC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（三）现场存在处理，强令工人冒险作业</w:t>
      </w:r>
      <w:r>
        <w:rPr>
          <w:rFonts w:hint="eastAsia" w:ascii="仿宋" w:hAnsi="仿宋" w:eastAsia="仿宋" w:cs="仿宋"/>
          <w:b w:val="0"/>
          <w:i w:val="0"/>
          <w:caps w:val="0"/>
          <w:color w:val="auto"/>
          <w:spacing w:val="0"/>
          <w:kern w:val="0"/>
          <w:sz w:val="28"/>
          <w:szCs w:val="28"/>
          <w:lang w:val="en-US" w:eastAsia="zh-CN" w:bidi="ar"/>
        </w:rPr>
        <w:t>；</w:t>
      </w:r>
    </w:p>
    <w:p w14:paraId="42705F0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eastAsia" w:ascii="仿宋" w:hAnsi="仿宋" w:eastAsia="仿宋" w:cs="仿宋"/>
          <w:b w:val="0"/>
          <w:i w:val="0"/>
          <w:caps w:val="0"/>
          <w:color w:val="auto"/>
          <w:spacing w:val="0"/>
          <w:kern w:val="0"/>
          <w:sz w:val="28"/>
          <w:szCs w:val="28"/>
          <w:lang w:eastAsia="zh-CN" w:bidi="ar"/>
        </w:rPr>
        <w:t>（四</w:t>
      </w:r>
      <w:r>
        <w:rPr>
          <w:rFonts w:hint="default" w:ascii="仿宋" w:hAnsi="仿宋" w:eastAsia="仿宋" w:cs="仿宋"/>
          <w:b w:val="0"/>
          <w:i w:val="0"/>
          <w:caps w:val="0"/>
          <w:color w:val="auto"/>
          <w:spacing w:val="0"/>
          <w:kern w:val="0"/>
          <w:sz w:val="28"/>
          <w:szCs w:val="28"/>
          <w:lang w:val="en-US" w:eastAsia="zh-CN" w:bidi="ar"/>
        </w:rPr>
        <w:t>）携带烟草和点火物品（手机），穿化纤衣服入井或入井前饮酒的；</w:t>
      </w:r>
    </w:p>
    <w:p w14:paraId="5316251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eastAsia" w:ascii="仿宋" w:hAnsi="仿宋" w:eastAsia="仿宋" w:cs="仿宋"/>
          <w:b w:val="0"/>
          <w:i w:val="0"/>
          <w:caps w:val="0"/>
          <w:color w:val="auto"/>
          <w:spacing w:val="0"/>
          <w:kern w:val="0"/>
          <w:sz w:val="28"/>
          <w:szCs w:val="28"/>
          <w:lang w:eastAsia="zh-CN" w:bidi="ar"/>
        </w:rPr>
        <w:t>（五</w:t>
      </w:r>
      <w:r>
        <w:rPr>
          <w:rFonts w:hint="default" w:ascii="仿宋" w:hAnsi="仿宋" w:eastAsia="仿宋" w:cs="仿宋"/>
          <w:b w:val="0"/>
          <w:i w:val="0"/>
          <w:caps w:val="0"/>
          <w:color w:val="auto"/>
          <w:spacing w:val="0"/>
          <w:kern w:val="0"/>
          <w:sz w:val="28"/>
          <w:szCs w:val="28"/>
          <w:lang w:val="en-US" w:eastAsia="zh-CN" w:bidi="ar"/>
        </w:rPr>
        <w:t>）无证上岗、证件过期的；</w:t>
      </w:r>
    </w:p>
    <w:p w14:paraId="26E3F71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eastAsia" w:ascii="仿宋" w:hAnsi="仿宋" w:eastAsia="仿宋" w:cs="仿宋"/>
          <w:b w:val="0"/>
          <w:i w:val="0"/>
          <w:caps w:val="0"/>
          <w:color w:val="auto"/>
          <w:spacing w:val="0"/>
          <w:kern w:val="0"/>
          <w:sz w:val="28"/>
          <w:szCs w:val="28"/>
          <w:lang w:val="en-US" w:eastAsia="zh-CN" w:bidi="ar"/>
        </w:rPr>
        <w:t>（六）</w:t>
      </w:r>
      <w:r>
        <w:rPr>
          <w:rFonts w:hint="default" w:ascii="仿宋" w:hAnsi="仿宋" w:eastAsia="仿宋" w:cs="仿宋"/>
          <w:b w:val="0"/>
          <w:i w:val="0"/>
          <w:caps w:val="0"/>
          <w:color w:val="auto"/>
          <w:spacing w:val="0"/>
          <w:kern w:val="0"/>
          <w:sz w:val="28"/>
          <w:szCs w:val="28"/>
          <w:lang w:val="en-US" w:eastAsia="zh-CN" w:bidi="ar"/>
        </w:rPr>
        <w:t xml:space="preserve">设触设备的机械转动和传动部位或带电体的； </w:t>
      </w:r>
    </w:p>
    <w:p w14:paraId="62F6A18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eastAsia"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（七）无措施施工或不按措施施工造成严重后果的</w:t>
      </w:r>
      <w:r>
        <w:rPr>
          <w:rFonts w:hint="eastAsia" w:ascii="仿宋" w:hAnsi="仿宋" w:eastAsia="仿宋" w:cs="仿宋"/>
          <w:b w:val="0"/>
          <w:i w:val="0"/>
          <w:caps w:val="0"/>
          <w:color w:val="auto"/>
          <w:spacing w:val="0"/>
          <w:kern w:val="0"/>
          <w:sz w:val="28"/>
          <w:szCs w:val="28"/>
          <w:lang w:val="en-US" w:eastAsia="zh-CN" w:bidi="ar"/>
        </w:rPr>
        <w:t>；</w:t>
      </w:r>
    </w:p>
    <w:p w14:paraId="698282F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（八）因违章作业或现场存在隐患被悬挂“停止作业”牌续作业或私自摘掉“停止作业”牌的；</w:t>
      </w:r>
    </w:p>
    <w:p w14:paraId="5A8E16A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（九）对“三违”处罚无理取辱骂安监员、管理人员的；</w:t>
      </w:r>
    </w:p>
    <w:p w14:paraId="337E45A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（十）起吊或拉移重物时，在重物下方或可能倒向的位置工作留的；</w:t>
      </w:r>
    </w:p>
    <w:p w14:paraId="20FAFC2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（十一）违章指挥的；</w:t>
      </w:r>
    </w:p>
    <w:p w14:paraId="4BAB257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w:t>
      </w:r>
      <w:r>
        <w:rPr>
          <w:rFonts w:hint="eastAsia" w:ascii="仿宋" w:hAnsi="仿宋" w:eastAsia="仿宋" w:cs="仿宋"/>
          <w:b w:val="0"/>
          <w:i w:val="0"/>
          <w:caps w:val="0"/>
          <w:color w:val="auto"/>
          <w:spacing w:val="0"/>
          <w:kern w:val="0"/>
          <w:sz w:val="28"/>
          <w:szCs w:val="28"/>
          <w:lang w:val="en-US" w:eastAsia="zh-CN" w:bidi="ar"/>
        </w:rPr>
        <w:t>十二</w:t>
      </w:r>
      <w:r>
        <w:rPr>
          <w:rFonts w:hint="default" w:ascii="仿宋" w:hAnsi="仿宋" w:eastAsia="仿宋" w:cs="仿宋"/>
          <w:b w:val="0"/>
          <w:i w:val="0"/>
          <w:caps w:val="0"/>
          <w:color w:val="auto"/>
          <w:spacing w:val="0"/>
          <w:kern w:val="0"/>
          <w:sz w:val="28"/>
          <w:szCs w:val="28"/>
          <w:lang w:val="en-US" w:eastAsia="zh-CN" w:bidi="ar"/>
        </w:rPr>
        <w:t>）乘罐或行走期间起哄，人为造成人员拥挤的；</w:t>
      </w:r>
    </w:p>
    <w:p w14:paraId="50760F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eastAsia" w:ascii="仿宋" w:hAnsi="仿宋" w:eastAsia="仿宋" w:cs="仿宋"/>
          <w:b w:val="0"/>
          <w:i w:val="0"/>
          <w:caps w:val="0"/>
          <w:color w:val="auto"/>
          <w:spacing w:val="0"/>
          <w:kern w:val="0"/>
          <w:sz w:val="28"/>
          <w:szCs w:val="28"/>
          <w:lang w:eastAsia="zh-CN" w:bidi="ar"/>
        </w:rPr>
        <w:t>（十三）</w:t>
      </w:r>
      <w:r>
        <w:rPr>
          <w:rFonts w:hint="default" w:ascii="仿宋" w:hAnsi="仿宋" w:eastAsia="仿宋" w:cs="仿宋"/>
          <w:b w:val="0"/>
          <w:i w:val="0"/>
          <w:caps w:val="0"/>
          <w:color w:val="auto"/>
          <w:spacing w:val="0"/>
          <w:kern w:val="0"/>
          <w:sz w:val="28"/>
          <w:szCs w:val="28"/>
          <w:lang w:val="en-US" w:eastAsia="zh-CN" w:bidi="ar"/>
        </w:rPr>
        <w:t>作按钮失灵继续使用或未按规定使用的；</w:t>
      </w:r>
    </w:p>
    <w:p w14:paraId="0D68F77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（十四）高空和井筒作业时，未戴安和佩戴保险带的；</w:t>
      </w:r>
    </w:p>
    <w:p w14:paraId="2D82ACC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（十五）设备运转部位及变速箱未按规定定期加油质不合格，无加油记录的；</w:t>
      </w:r>
    </w:p>
    <w:p w14:paraId="3178139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（十六）吊挂点、起吊设备、起吊工具或绳索等强度不够起吊重物的；</w:t>
      </w:r>
    </w:p>
    <w:p w14:paraId="27F9FD0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（十七）其他违反《煤矿安全规程》、《操作规程》及《作业规程》等有关规定的。</w:t>
      </w:r>
    </w:p>
    <w:p w14:paraId="58D7FC9F">
      <w:pPr>
        <w:rPr>
          <w:rFonts w:hint="default" w:cs="Times New Roman"/>
          <w:color w:val="auto"/>
          <w:lang w:val="en-US" w:eastAsia="zh-CN"/>
        </w:rPr>
      </w:pPr>
      <w:bookmarkStart w:id="369" w:name="_Toc16607"/>
      <w:bookmarkStart w:id="370" w:name="_Toc18637"/>
      <w:bookmarkStart w:id="371" w:name="_Toc9751"/>
      <w:r>
        <w:rPr>
          <w:rFonts w:hint="default" w:cs="Times New Roman"/>
          <w:color w:val="auto"/>
          <w:lang w:val="en-US" w:eastAsia="zh-CN"/>
        </w:rPr>
        <w:br w:type="page"/>
      </w:r>
    </w:p>
    <w:p w14:paraId="1F03B19B">
      <w:pPr>
        <w:pStyle w:val="17"/>
        <w:bidi w:val="0"/>
        <w:outlineLvl w:val="1"/>
        <w:rPr>
          <w:rFonts w:hint="default" w:cs="Times New Roman"/>
          <w:color w:val="auto"/>
          <w:lang w:val="en-US" w:eastAsia="zh-CN"/>
        </w:rPr>
      </w:pPr>
      <w:bookmarkStart w:id="372" w:name="_Toc7300"/>
      <w:r>
        <w:rPr>
          <w:rFonts w:hint="default" w:cs="Times New Roman"/>
          <w:color w:val="auto"/>
          <w:lang w:val="en-US" w:eastAsia="zh-CN"/>
        </w:rPr>
        <w:t>井下电钳工</w:t>
      </w:r>
      <w:bookmarkEnd w:id="369"/>
      <w:bookmarkEnd w:id="370"/>
      <w:bookmarkEnd w:id="371"/>
      <w:bookmarkEnd w:id="372"/>
    </w:p>
    <w:tbl>
      <w:tblPr>
        <w:tblStyle w:val="12"/>
        <w:tblW w:w="96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49"/>
        <w:gridCol w:w="2309"/>
        <w:gridCol w:w="1507"/>
        <w:gridCol w:w="4775"/>
      </w:tblGrid>
      <w:tr w14:paraId="2AD51A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9" w:hRule="atLeast"/>
          <w:jc w:val="center"/>
        </w:trPr>
        <w:tc>
          <w:tcPr>
            <w:tcW w:w="964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266E260C">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val="0"/>
                <w:bCs w:val="0"/>
                <w:color w:val="auto"/>
                <w:kern w:val="2"/>
                <w:sz w:val="21"/>
                <w:szCs w:val="21"/>
                <w:lang w:val="en-US" w:eastAsia="zh-CN" w:bidi="ar"/>
              </w:rPr>
              <w:t>井下电钳工岗位风险告知卡</w:t>
            </w:r>
          </w:p>
        </w:tc>
      </w:tr>
      <w:tr w14:paraId="77BCB9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39" w:hRule="atLeast"/>
          <w:jc w:val="center"/>
        </w:trPr>
        <w:tc>
          <w:tcPr>
            <w:tcW w:w="1049" w:type="dxa"/>
            <w:tcBorders>
              <w:top w:val="nil"/>
              <w:left w:val="single" w:color="auto" w:sz="4" w:space="0"/>
              <w:bottom w:val="single" w:color="auto" w:sz="4" w:space="0"/>
              <w:right w:val="single" w:color="auto" w:sz="4" w:space="0"/>
            </w:tcBorders>
            <w:shd w:val="clear" w:color="auto" w:fill="auto"/>
            <w:vAlign w:val="center"/>
          </w:tcPr>
          <w:p w14:paraId="6886DC4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风险</w:t>
            </w:r>
          </w:p>
          <w:p w14:paraId="3CE7C70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类型</w:t>
            </w:r>
          </w:p>
        </w:tc>
        <w:tc>
          <w:tcPr>
            <w:tcW w:w="2309" w:type="dxa"/>
            <w:tcBorders>
              <w:top w:val="nil"/>
              <w:left w:val="nil"/>
              <w:bottom w:val="single" w:color="auto" w:sz="4" w:space="0"/>
              <w:right w:val="single" w:color="auto" w:sz="4" w:space="0"/>
            </w:tcBorders>
            <w:shd w:val="clear" w:color="auto" w:fill="auto"/>
            <w:vAlign w:val="center"/>
          </w:tcPr>
          <w:p w14:paraId="10D4795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冒顶（片帮）、机电、物体打击</w:t>
            </w:r>
          </w:p>
        </w:tc>
        <w:tc>
          <w:tcPr>
            <w:tcW w:w="1507" w:type="dxa"/>
            <w:tcBorders>
              <w:top w:val="nil"/>
              <w:left w:val="nil"/>
              <w:bottom w:val="single" w:color="auto" w:sz="4" w:space="0"/>
              <w:right w:val="single" w:color="auto" w:sz="4" w:space="0"/>
            </w:tcBorders>
            <w:shd w:val="clear" w:color="auto" w:fill="auto"/>
            <w:vAlign w:val="center"/>
          </w:tcPr>
          <w:p w14:paraId="26ED612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事故</w:t>
            </w:r>
          </w:p>
          <w:p w14:paraId="5A75863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报告</w:t>
            </w:r>
          </w:p>
        </w:tc>
        <w:tc>
          <w:tcPr>
            <w:tcW w:w="4775" w:type="dxa"/>
            <w:tcBorders>
              <w:top w:val="nil"/>
              <w:left w:val="nil"/>
              <w:bottom w:val="single" w:color="auto" w:sz="4" w:space="0"/>
              <w:right w:val="single" w:color="auto" w:sz="4" w:space="0"/>
            </w:tcBorders>
            <w:shd w:val="clear" w:color="auto" w:fill="auto"/>
            <w:vAlign w:val="center"/>
          </w:tcPr>
          <w:p w14:paraId="3FD28F9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调度</w:t>
            </w:r>
            <w:r>
              <w:rPr>
                <w:rFonts w:hint="eastAsia" w:ascii="仿宋" w:hAnsi="仿宋" w:eastAsia="仿宋" w:cs="仿宋"/>
                <w:color w:val="auto"/>
                <w:kern w:val="0"/>
                <w:sz w:val="21"/>
                <w:szCs w:val="21"/>
                <w:lang w:val="en-US" w:eastAsia="zh-CN" w:bidi="ar"/>
              </w:rPr>
              <w:t>室</w:t>
            </w:r>
            <w:r>
              <w:rPr>
                <w:rFonts w:hint="default" w:ascii="仿宋" w:hAnsi="仿宋" w:eastAsia="仿宋" w:cs="仿宋"/>
                <w:color w:val="auto"/>
                <w:kern w:val="0"/>
                <w:sz w:val="21"/>
                <w:szCs w:val="21"/>
                <w:lang w:val="en-US" w:eastAsia="zh-CN" w:bidi="ar"/>
              </w:rPr>
              <w:t>：8650200、8650202、“#”</w:t>
            </w:r>
            <w:r>
              <w:rPr>
                <w:rFonts w:hint="default" w:ascii="仿宋" w:hAnsi="仿宋" w:eastAsia="仿宋" w:cs="仿宋"/>
                <w:color w:val="auto"/>
                <w:kern w:val="0"/>
                <w:sz w:val="21"/>
                <w:szCs w:val="21"/>
                <w:lang w:val="en-US" w:eastAsia="zh-CN" w:bidi="ar"/>
              </w:rPr>
              <w:br w:type="textWrapping"/>
            </w:r>
            <w:r>
              <w:rPr>
                <w:rFonts w:hint="default" w:ascii="仿宋" w:hAnsi="仿宋" w:eastAsia="仿宋" w:cs="仿宋"/>
                <w:color w:val="auto"/>
                <w:kern w:val="0"/>
                <w:sz w:val="21"/>
                <w:szCs w:val="21"/>
                <w:lang w:val="en-US" w:eastAsia="zh-CN" w:bidi="ar"/>
              </w:rPr>
              <w:t xml:space="preserve">工区值班：8650473 </w:t>
            </w:r>
            <w:r>
              <w:rPr>
                <w:rFonts w:hint="default" w:ascii="仿宋" w:hAnsi="仿宋" w:eastAsia="仿宋" w:cs="仿宋"/>
                <w:color w:val="auto"/>
                <w:kern w:val="0"/>
                <w:sz w:val="21"/>
                <w:szCs w:val="21"/>
                <w:lang w:val="en-US" w:eastAsia="zh-CN" w:bidi="ar"/>
              </w:rPr>
              <w:br w:type="textWrapping"/>
            </w:r>
            <w:r>
              <w:rPr>
                <w:rFonts w:hint="eastAsia" w:ascii="仿宋" w:hAnsi="仿宋" w:eastAsia="仿宋" w:cs="仿宋"/>
                <w:color w:val="auto"/>
                <w:kern w:val="0"/>
                <w:sz w:val="21"/>
                <w:szCs w:val="21"/>
                <w:lang w:val="en-US" w:eastAsia="zh-CN" w:bidi="ar"/>
              </w:rPr>
              <w:t>安监科</w:t>
            </w:r>
            <w:r>
              <w:rPr>
                <w:rFonts w:hint="default" w:ascii="仿宋" w:hAnsi="仿宋" w:eastAsia="仿宋" w:cs="仿宋"/>
                <w:color w:val="auto"/>
                <w:kern w:val="0"/>
                <w:sz w:val="21"/>
                <w:szCs w:val="21"/>
                <w:lang w:val="en-US" w:eastAsia="zh-CN" w:bidi="ar"/>
              </w:rPr>
              <w:t>值班：8650512</w:t>
            </w:r>
          </w:p>
        </w:tc>
      </w:tr>
      <w:tr w14:paraId="6B93B6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19"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0986F2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主要危害因素</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14:paraId="4C9ADBE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管控措施</w:t>
            </w:r>
          </w:p>
        </w:tc>
      </w:tr>
      <w:tr w14:paraId="43AC7A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83"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C9827E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1.未持证上岗；未佩戴防护用品；空顶作业；瓦斯超限作业。</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14:paraId="54A9E34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1.经培训合格后，持证上岗；佩戴好安全帽、口罩、耳塞，必须穿绝缘靴且完好无破损；检查好顶帮支护情况，确保顶帮支护合格后方可上岗作业；瓦斯浓度达到1%时，立即停止作业。</w:t>
            </w:r>
          </w:p>
        </w:tc>
      </w:tr>
      <w:tr w14:paraId="42646D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8"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BCEA3B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2.工具、仪表、配件携带不齐全；带电搬迁，触电伤人、损坏设备。</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14:paraId="348FDE5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2.检查备齐工具、检测仪表齐全完好，材料、配件充足，型号相符；施工前将带电设备上级电源停电，无误后方可施工，严禁带电搬迁电气设备。</w:t>
            </w:r>
          </w:p>
        </w:tc>
      </w:tr>
      <w:tr w14:paraId="1D2A65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52"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7405D3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3.作业前未停电闭锁；未挂停电牌；未执行验放电程序。</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14:paraId="060E091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作业前，先将开关把手扳到停电位置并闭锁；在开关上挂“有人工作，不准送电”警示牌，必要时设专人看护，严禁带电操作；电气接线或使用工具前，必须检查验电笔是否与电压等级相符；放电时先接接地端，后触碰导电端，断电后开盖验电、放电。</w:t>
            </w:r>
          </w:p>
        </w:tc>
      </w:tr>
      <w:tr w14:paraId="41D1E5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9"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5110FB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4.各零部件不齐全，连接不牢固；电缆破损、漏电。</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14:paraId="5B49A24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4.检查设备各零部件是否齐全，连接是否牢固；加强巡查，电缆外皮破损及时进行修复。</w:t>
            </w:r>
          </w:p>
        </w:tc>
      </w:tr>
      <w:tr w14:paraId="480B86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4" w:hRule="atLeast"/>
          <w:jc w:val="center"/>
        </w:trPr>
        <w:tc>
          <w:tcPr>
            <w:tcW w:w="1049" w:type="dxa"/>
            <w:tcBorders>
              <w:top w:val="nil"/>
              <w:left w:val="single" w:color="auto" w:sz="4" w:space="0"/>
              <w:bottom w:val="single" w:color="auto" w:sz="4" w:space="0"/>
              <w:right w:val="single" w:color="auto" w:sz="4" w:space="0"/>
            </w:tcBorders>
            <w:shd w:val="clear" w:color="auto" w:fill="auto"/>
            <w:vAlign w:val="center"/>
          </w:tcPr>
          <w:p w14:paraId="0B8C4FEB">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7DE77883">
            <w:pPr>
              <w:keepNext w:val="0"/>
              <w:keepLines w:val="0"/>
              <w:pageBreakBefore w:val="0"/>
              <w:widowControl/>
              <w:kinsoku/>
              <w:wordWrap/>
              <w:overflowPunct/>
              <w:topLinePunct w:val="0"/>
              <w:bidi w:val="0"/>
              <w:jc w:val="center"/>
              <w:outlineLvl w:val="9"/>
              <w:rPr>
                <w:rFonts w:hint="default"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591" w:type="dxa"/>
            <w:gridSpan w:val="3"/>
            <w:tcBorders>
              <w:top w:val="single" w:color="auto" w:sz="4" w:space="0"/>
              <w:left w:val="nil"/>
              <w:bottom w:val="single" w:color="auto" w:sz="4" w:space="0"/>
              <w:right w:val="single" w:color="auto" w:sz="4" w:space="0"/>
            </w:tcBorders>
            <w:shd w:val="clear" w:color="auto" w:fill="auto"/>
            <w:vAlign w:val="center"/>
          </w:tcPr>
          <w:p w14:paraId="3893574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6C7BDDB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4193C7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8" w:hRule="atLeast"/>
          <w:jc w:val="center"/>
        </w:trPr>
        <w:tc>
          <w:tcPr>
            <w:tcW w:w="1049" w:type="dxa"/>
            <w:tcBorders>
              <w:top w:val="nil"/>
              <w:left w:val="single" w:color="auto" w:sz="4" w:space="0"/>
              <w:bottom w:val="single" w:color="auto" w:sz="4" w:space="0"/>
              <w:right w:val="single" w:color="auto" w:sz="4" w:space="0"/>
            </w:tcBorders>
            <w:shd w:val="clear" w:color="auto" w:fill="auto"/>
            <w:vAlign w:val="center"/>
          </w:tcPr>
          <w:p w14:paraId="6DDAC67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应急</w:t>
            </w:r>
          </w:p>
          <w:p w14:paraId="5603435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处置</w:t>
            </w:r>
          </w:p>
          <w:p w14:paraId="4D7C740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措施</w:t>
            </w:r>
          </w:p>
        </w:tc>
        <w:tc>
          <w:tcPr>
            <w:tcW w:w="8591" w:type="dxa"/>
            <w:gridSpan w:val="3"/>
            <w:tcBorders>
              <w:top w:val="single" w:color="auto" w:sz="4" w:space="0"/>
              <w:left w:val="nil"/>
              <w:bottom w:val="single" w:color="auto" w:sz="4" w:space="0"/>
              <w:right w:val="single" w:color="auto" w:sz="4" w:space="0"/>
            </w:tcBorders>
            <w:shd w:val="clear" w:color="auto" w:fill="auto"/>
            <w:vAlign w:val="center"/>
          </w:tcPr>
          <w:p w14:paraId="1DF7E7A0">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default"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w:t>
            </w:r>
            <w:r>
              <w:rPr>
                <w:rFonts w:hint="default" w:ascii="仿宋" w:hAnsi="仿宋" w:eastAsia="仿宋" w:cs="仿宋"/>
                <w:color w:val="auto"/>
                <w:kern w:val="0"/>
                <w:sz w:val="21"/>
                <w:szCs w:val="21"/>
                <w:lang w:val="en-US" w:eastAsia="zh-CN" w:bidi="ar"/>
              </w:rPr>
              <w:t>发生事故后、要立即按照“及时汇报、积极抢救、安全撤离、妥善避灾”原则进行自救互救</w:t>
            </w:r>
            <w:r>
              <w:rPr>
                <w:rFonts w:hint="eastAsia" w:ascii="仿宋" w:hAnsi="仿宋" w:eastAsia="仿宋" w:cs="仿宋"/>
                <w:color w:val="auto"/>
                <w:kern w:val="0"/>
                <w:sz w:val="21"/>
                <w:szCs w:val="21"/>
                <w:lang w:val="en-US" w:eastAsia="zh-CN" w:bidi="ar"/>
              </w:rPr>
              <w:t>。</w:t>
            </w:r>
          </w:p>
          <w:p w14:paraId="75B883D4">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200" w:right="0" w:rightChars="0"/>
              <w:jc w:val="left"/>
              <w:outlineLvl w:val="9"/>
              <w:rPr>
                <w:rFonts w:hint="default"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w:t>
            </w:r>
            <w:r>
              <w:rPr>
                <w:rFonts w:hint="default" w:ascii="仿宋" w:hAnsi="仿宋" w:eastAsia="仿宋" w:cs="仿宋"/>
                <w:color w:val="auto"/>
                <w:kern w:val="0"/>
                <w:sz w:val="21"/>
                <w:szCs w:val="21"/>
                <w:lang w:val="en-US" w:eastAsia="zh-CN" w:bidi="ar"/>
              </w:rPr>
              <w:t>尽量与调度室保持联系，将现场情况准确汇报</w:t>
            </w:r>
            <w:r>
              <w:rPr>
                <w:rFonts w:hint="eastAsia" w:ascii="仿宋" w:hAnsi="仿宋" w:eastAsia="仿宋" w:cs="仿宋"/>
                <w:color w:val="auto"/>
                <w:kern w:val="0"/>
                <w:sz w:val="21"/>
                <w:szCs w:val="21"/>
                <w:lang w:val="en-US" w:eastAsia="zh-CN" w:bidi="ar"/>
              </w:rPr>
              <w:t>。</w:t>
            </w:r>
          </w:p>
          <w:p w14:paraId="3CB13A38">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200" w:right="0" w:rightChars="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3.抢救伤员时要遵循“三先三后”的原则</w:t>
            </w:r>
            <w:r>
              <w:rPr>
                <w:rFonts w:hint="eastAsia" w:ascii="仿宋" w:hAnsi="仿宋" w:eastAsia="仿宋" w:cs="仿宋"/>
                <w:color w:val="auto"/>
                <w:kern w:val="0"/>
                <w:sz w:val="21"/>
                <w:szCs w:val="21"/>
                <w:lang w:val="en-US" w:eastAsia="zh-CN" w:bidi="ar"/>
              </w:rPr>
              <w:t>。</w:t>
            </w:r>
          </w:p>
          <w:p w14:paraId="4E2F6ED4">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200" w:right="0" w:rightChars="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4.撤离时沿着避灾路线逃生，必要时进入避难硐室等待救援。</w:t>
            </w:r>
          </w:p>
        </w:tc>
      </w:tr>
    </w:tbl>
    <w:p w14:paraId="55AA77E1">
      <w:pPr>
        <w:pageBreakBefore w:val="0"/>
        <w:kinsoku/>
        <w:wordWrap/>
        <w:overflowPunct/>
        <w:topLinePunct w:val="0"/>
        <w:autoSpaceDN/>
        <w:bidi w:val="0"/>
        <w:adjustRightInd/>
        <w:snapToGrid/>
        <w:outlineLvl w:val="9"/>
        <w:rPr>
          <w:color w:val="auto"/>
        </w:rPr>
      </w:pPr>
    </w:p>
    <w:tbl>
      <w:tblPr>
        <w:tblStyle w:val="12"/>
        <w:tblW w:w="9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622"/>
        <w:gridCol w:w="4958"/>
      </w:tblGrid>
      <w:tr w14:paraId="7D3BE6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958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71B80E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color w:val="auto"/>
                <w:kern w:val="0"/>
                <w:sz w:val="21"/>
                <w:szCs w:val="21"/>
              </w:rPr>
            </w:pPr>
            <w:r>
              <w:rPr>
                <w:rFonts w:hint="default" w:ascii="仿宋" w:hAnsi="仿宋" w:eastAsia="仿宋" w:cs="仿宋"/>
                <w:b/>
                <w:color w:val="auto"/>
                <w:kern w:val="0"/>
                <w:sz w:val="21"/>
                <w:szCs w:val="21"/>
                <w:lang w:val="en-US" w:eastAsia="zh-CN" w:bidi="ar"/>
              </w:rPr>
              <w:t>井下电钳工安全提示卡</w:t>
            </w:r>
          </w:p>
        </w:tc>
      </w:tr>
      <w:tr w14:paraId="60BD38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14:paraId="18C5F61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作业前检查</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14:paraId="7A77593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作业后确认</w:t>
            </w:r>
          </w:p>
        </w:tc>
      </w:tr>
      <w:tr w14:paraId="0DE2C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14:paraId="2097C74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1.顶帮</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14:paraId="11BA392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1.零部件连接</w:t>
            </w:r>
          </w:p>
        </w:tc>
      </w:tr>
      <w:tr w14:paraId="52696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14:paraId="558BB33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210" w:firstLineChars="1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★2.瓦斯</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14:paraId="648D3D2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2.工具、材料</w:t>
            </w:r>
          </w:p>
        </w:tc>
      </w:tr>
      <w:tr w14:paraId="1DF44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14:paraId="3E15536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3.防护用品</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14:paraId="572114C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210" w:firstLineChars="1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★3.恢复供电</w:t>
            </w:r>
          </w:p>
        </w:tc>
      </w:tr>
      <w:tr w14:paraId="717F8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14:paraId="735DFF5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4.工具、材料</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14:paraId="0B89FAD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c>
      </w:tr>
      <w:tr w14:paraId="0C89B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14:paraId="4FCF6F2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5.监护人</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14:paraId="63F1B0A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c>
      </w:tr>
      <w:tr w14:paraId="7EABF1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14:paraId="0DDAFCD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6.站位</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14:paraId="57CB297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c>
      </w:tr>
      <w:tr w14:paraId="02067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14:paraId="72CFA30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210" w:firstLineChars="1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★7.停电</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14:paraId="14729E8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c>
      </w:tr>
      <w:tr w14:paraId="0C736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39" w:hRule="atLeast"/>
          <w:jc w:val="center"/>
        </w:trPr>
        <w:tc>
          <w:tcPr>
            <w:tcW w:w="9580" w:type="dxa"/>
            <w:gridSpan w:val="2"/>
            <w:tcBorders>
              <w:top w:val="single" w:color="auto" w:sz="4" w:space="0"/>
              <w:left w:val="single" w:color="auto" w:sz="4" w:space="0"/>
              <w:bottom w:val="single" w:color="auto" w:sz="4" w:space="0"/>
              <w:right w:val="single" w:color="auto" w:sz="4" w:space="0"/>
            </w:tcBorders>
            <w:shd w:val="clear" w:color="auto" w:fill="auto"/>
            <w:vAlign w:val="top"/>
          </w:tcPr>
          <w:p w14:paraId="508D9A9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注：第一次按作业前内容逐项检查并确认，存在问题整改后再确认；中间再次操作只检查带“★”部分；作业任务全部结束后按维修后内容逐项检查并确认。</w:t>
            </w:r>
          </w:p>
        </w:tc>
      </w:tr>
    </w:tbl>
    <w:p w14:paraId="02BDEA6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bl>
      <w:tblPr>
        <w:tblStyle w:val="12"/>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380"/>
      </w:tblGrid>
      <w:tr w14:paraId="164A7B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2D3FC31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color w:val="auto"/>
                <w:kern w:val="0"/>
                <w:sz w:val="21"/>
                <w:szCs w:val="21"/>
              </w:rPr>
            </w:pPr>
            <w:r>
              <w:rPr>
                <w:rFonts w:hint="default" w:ascii="仿宋" w:hAnsi="仿宋" w:eastAsia="仿宋" w:cs="仿宋"/>
                <w:b w:val="0"/>
                <w:bCs/>
                <w:color w:val="auto"/>
                <w:kern w:val="0"/>
                <w:sz w:val="21"/>
                <w:szCs w:val="21"/>
                <w:lang w:val="en-US" w:eastAsia="zh-CN" w:bidi="ar"/>
              </w:rPr>
              <w:t>井下电钳工单元检查表</w:t>
            </w:r>
          </w:p>
        </w:tc>
      </w:tr>
      <w:tr w14:paraId="64C40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2B568BD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1.记录</w:t>
            </w:r>
          </w:p>
        </w:tc>
      </w:tr>
      <w:tr w14:paraId="392A6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4948C78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2.设备外观</w:t>
            </w:r>
          </w:p>
        </w:tc>
      </w:tr>
      <w:tr w14:paraId="012F2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2A3FE97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3.保护试验</w:t>
            </w:r>
          </w:p>
        </w:tc>
      </w:tr>
      <w:tr w14:paraId="113DE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5367867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4.电缆吊挂</w:t>
            </w:r>
          </w:p>
        </w:tc>
      </w:tr>
      <w:tr w14:paraId="0EDE0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0AF1895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5.防爆检查</w:t>
            </w:r>
          </w:p>
        </w:tc>
      </w:tr>
      <w:tr w14:paraId="2C463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79DF4CA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6.工器具试验</w:t>
            </w:r>
          </w:p>
        </w:tc>
      </w:tr>
      <w:tr w14:paraId="623EBA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4A6109D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7.故障处理</w:t>
            </w:r>
          </w:p>
        </w:tc>
      </w:tr>
      <w:tr w14:paraId="70F90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361887D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8.接线工艺</w:t>
            </w:r>
          </w:p>
        </w:tc>
      </w:tr>
      <w:tr w14:paraId="63E89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04"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14:paraId="73FD425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注：1.患有高血压、心脏病、哮喘、色盲、听力障碍等疾病的人，不得从事电气作业。</w:t>
            </w:r>
          </w:p>
          <w:p w14:paraId="62A14A4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2.从事电气作业人员，经过安全技术培训和考试合格，取得“电工操作证”，并受过触电急救法训练合格后，方可进行上岗作业。</w:t>
            </w:r>
          </w:p>
        </w:tc>
      </w:tr>
    </w:tbl>
    <w:p w14:paraId="5986F1B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outlineLvl w:val="9"/>
        <w:rPr>
          <w:rFonts w:hint="default" w:ascii="仿宋" w:hAnsi="仿宋" w:eastAsia="仿宋" w:cs="仿宋"/>
          <w:b/>
          <w:bCs w:val="0"/>
          <w:color w:val="auto"/>
          <w:kern w:val="2"/>
          <w:sz w:val="21"/>
          <w:szCs w:val="21"/>
        </w:rPr>
      </w:pPr>
      <w:r>
        <w:rPr>
          <w:rFonts w:hint="default" w:ascii="仿宋" w:hAnsi="仿宋" w:eastAsia="仿宋" w:cs="仿宋"/>
          <w:color w:val="auto"/>
          <w:kern w:val="2"/>
          <w:sz w:val="21"/>
          <w:szCs w:val="21"/>
          <w:lang w:val="en-US" w:eastAsia="zh-CN" w:bidi="ar"/>
        </w:rPr>
        <w:t xml:space="preserve"> </w:t>
      </w:r>
    </w:p>
    <w:tbl>
      <w:tblPr>
        <w:tblStyle w:val="12"/>
        <w:tblW w:w="938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629"/>
        <w:gridCol w:w="2308"/>
        <w:gridCol w:w="5443"/>
      </w:tblGrid>
      <w:tr w14:paraId="7F7858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6" w:hRule="atLeast"/>
          <w:jc w:val="center"/>
        </w:trPr>
        <w:tc>
          <w:tcPr>
            <w:tcW w:w="938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FB71D70">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b/>
                <w:i w:val="0"/>
                <w:color w:val="auto"/>
                <w:kern w:val="2"/>
                <w:sz w:val="21"/>
                <w:szCs w:val="21"/>
              </w:rPr>
            </w:pPr>
            <w:r>
              <w:rPr>
                <w:rFonts w:hint="default" w:ascii="仿宋" w:hAnsi="仿宋" w:eastAsia="仿宋" w:cs="仿宋"/>
                <w:b/>
                <w:color w:val="auto"/>
                <w:kern w:val="0"/>
                <w:sz w:val="21"/>
                <w:szCs w:val="21"/>
                <w:lang w:val="en-US" w:eastAsia="zh-CN" w:bidi="ar"/>
              </w:rPr>
              <w:t>井下电钳工作业过程注意事项</w:t>
            </w:r>
          </w:p>
        </w:tc>
      </w:tr>
      <w:tr w14:paraId="68CA17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2" w:hRule="atLeast"/>
          <w:jc w:val="center"/>
        </w:trPr>
        <w:tc>
          <w:tcPr>
            <w:tcW w:w="1629" w:type="dxa"/>
            <w:tcBorders>
              <w:top w:val="single" w:color="000000" w:sz="4" w:space="0"/>
              <w:left w:val="single" w:color="000000" w:sz="4" w:space="0"/>
              <w:bottom w:val="single" w:color="auto" w:sz="4" w:space="0"/>
              <w:right w:val="single" w:color="000000" w:sz="4" w:space="0"/>
            </w:tcBorders>
            <w:shd w:val="clear" w:color="auto" w:fill="auto"/>
            <w:vAlign w:val="center"/>
          </w:tcPr>
          <w:p w14:paraId="4A33EFA9">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b/>
                <w:i w:val="0"/>
                <w:color w:val="auto"/>
                <w:kern w:val="0"/>
                <w:sz w:val="22"/>
                <w:szCs w:val="22"/>
              </w:rPr>
            </w:pPr>
            <w:r>
              <w:rPr>
                <w:rFonts w:hint="default" w:ascii="仿宋" w:hAnsi="仿宋" w:eastAsia="仿宋" w:cs="仿宋"/>
                <w:b/>
                <w:i w:val="0"/>
                <w:color w:val="auto"/>
                <w:kern w:val="0"/>
                <w:sz w:val="22"/>
                <w:szCs w:val="22"/>
                <w:lang w:val="en-US" w:eastAsia="zh-CN" w:bidi="ar"/>
              </w:rPr>
              <w:t>作业顺序</w:t>
            </w:r>
          </w:p>
        </w:tc>
        <w:tc>
          <w:tcPr>
            <w:tcW w:w="2308" w:type="dxa"/>
            <w:tcBorders>
              <w:top w:val="single" w:color="000000" w:sz="4" w:space="0"/>
              <w:left w:val="nil"/>
              <w:bottom w:val="single" w:color="000000" w:sz="4" w:space="0"/>
              <w:right w:val="single" w:color="000000" w:sz="4" w:space="0"/>
            </w:tcBorders>
            <w:shd w:val="clear" w:color="auto" w:fill="auto"/>
            <w:vAlign w:val="center"/>
          </w:tcPr>
          <w:p w14:paraId="735FF9A7">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b/>
                <w:i w:val="0"/>
                <w:color w:val="auto"/>
                <w:kern w:val="0"/>
                <w:sz w:val="22"/>
                <w:szCs w:val="22"/>
              </w:rPr>
            </w:pPr>
            <w:r>
              <w:rPr>
                <w:rFonts w:hint="default" w:ascii="仿宋" w:hAnsi="仿宋" w:eastAsia="仿宋" w:cs="仿宋"/>
                <w:b/>
                <w:i w:val="0"/>
                <w:color w:val="auto"/>
                <w:kern w:val="0"/>
                <w:sz w:val="22"/>
                <w:szCs w:val="22"/>
                <w:lang w:val="en-US" w:eastAsia="zh-CN" w:bidi="ar"/>
              </w:rPr>
              <w:t>提示词</w:t>
            </w:r>
          </w:p>
        </w:tc>
        <w:tc>
          <w:tcPr>
            <w:tcW w:w="5443" w:type="dxa"/>
            <w:tcBorders>
              <w:top w:val="single" w:color="000000" w:sz="4" w:space="0"/>
              <w:left w:val="nil"/>
              <w:bottom w:val="single" w:color="000000" w:sz="4" w:space="0"/>
              <w:right w:val="single" w:color="000000" w:sz="4" w:space="0"/>
            </w:tcBorders>
            <w:shd w:val="clear" w:color="auto" w:fill="auto"/>
            <w:vAlign w:val="center"/>
          </w:tcPr>
          <w:p w14:paraId="185155BE">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b/>
                <w:i w:val="0"/>
                <w:color w:val="auto"/>
                <w:kern w:val="0"/>
                <w:sz w:val="22"/>
                <w:szCs w:val="22"/>
              </w:rPr>
            </w:pPr>
            <w:r>
              <w:rPr>
                <w:rFonts w:hint="default" w:ascii="仿宋" w:hAnsi="仿宋" w:eastAsia="仿宋" w:cs="仿宋"/>
                <w:b/>
                <w:i w:val="0"/>
                <w:color w:val="auto"/>
                <w:kern w:val="0"/>
                <w:sz w:val="22"/>
                <w:szCs w:val="22"/>
                <w:lang w:val="en-US" w:eastAsia="zh-CN" w:bidi="ar"/>
              </w:rPr>
              <w:t>作业注意事项解释</w:t>
            </w:r>
          </w:p>
        </w:tc>
      </w:tr>
      <w:tr w14:paraId="19822C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jc w:val="center"/>
        </w:trPr>
        <w:tc>
          <w:tcPr>
            <w:tcW w:w="1629"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B7B3236">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作业前</w:t>
            </w:r>
          </w:p>
        </w:tc>
        <w:tc>
          <w:tcPr>
            <w:tcW w:w="2308" w:type="dxa"/>
            <w:tcBorders>
              <w:top w:val="single" w:color="000000" w:sz="4" w:space="0"/>
              <w:left w:val="single" w:color="auto" w:sz="4" w:space="0"/>
              <w:bottom w:val="single" w:color="000000" w:sz="4" w:space="0"/>
              <w:right w:val="single" w:color="000000" w:sz="4" w:space="0"/>
            </w:tcBorders>
            <w:shd w:val="clear" w:color="auto" w:fill="auto"/>
            <w:vAlign w:val="center"/>
          </w:tcPr>
          <w:p w14:paraId="61FA73C7">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0"/>
                <w:sz w:val="21"/>
                <w:szCs w:val="21"/>
                <w:lang w:val="en-US" w:eastAsia="zh-CN" w:bidi="ar"/>
              </w:rPr>
              <w:t>看环境</w:t>
            </w:r>
          </w:p>
        </w:tc>
        <w:tc>
          <w:tcPr>
            <w:tcW w:w="5443" w:type="dxa"/>
            <w:tcBorders>
              <w:top w:val="single" w:color="000000" w:sz="4" w:space="0"/>
              <w:left w:val="nil"/>
              <w:bottom w:val="single" w:color="000000" w:sz="4" w:space="0"/>
              <w:right w:val="single" w:color="000000" w:sz="4" w:space="0"/>
            </w:tcBorders>
            <w:shd w:val="clear" w:color="auto" w:fill="auto"/>
            <w:vAlign w:val="center"/>
          </w:tcPr>
          <w:p w14:paraId="0679DEC5">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作业过程前排查周围环境并严格执行敲帮问顶制度。</w:t>
            </w:r>
          </w:p>
        </w:tc>
      </w:tr>
      <w:tr w14:paraId="460C95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2" w:hRule="atLeast"/>
          <w:jc w:val="center"/>
        </w:trPr>
        <w:tc>
          <w:tcPr>
            <w:tcW w:w="1629"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F5172DC">
            <w:pPr>
              <w:keepNext w:val="0"/>
              <w:keepLines w:val="0"/>
              <w:pageBreakBefore w:val="0"/>
              <w:suppressLineNumbers w:val="0"/>
              <w:kinsoku/>
              <w:wordWrap/>
              <w:overflowPunct/>
              <w:topLinePunct w:val="0"/>
              <w:autoSpaceDN/>
              <w:bidi w:val="0"/>
              <w:adjustRightInd/>
              <w:snapToGrid/>
              <w:spacing w:before="0" w:beforeAutospacing="0" w:after="0" w:afterAutospacing="0"/>
              <w:ind w:left="0" w:right="0"/>
              <w:outlineLvl w:val="9"/>
              <w:rPr>
                <w:rFonts w:hint="default" w:ascii="Times New Roman" w:hAnsi="Times New Roman" w:cs="Times New Roman"/>
                <w:color w:val="auto"/>
                <w:sz w:val="21"/>
                <w:szCs w:val="21"/>
              </w:rPr>
            </w:pPr>
          </w:p>
        </w:tc>
        <w:tc>
          <w:tcPr>
            <w:tcW w:w="2308" w:type="dxa"/>
            <w:tcBorders>
              <w:top w:val="single" w:color="000000" w:sz="4" w:space="0"/>
              <w:left w:val="single" w:color="auto" w:sz="4" w:space="0"/>
              <w:bottom w:val="single" w:color="000000" w:sz="4" w:space="0"/>
              <w:right w:val="single" w:color="000000" w:sz="4" w:space="0"/>
            </w:tcBorders>
            <w:shd w:val="clear" w:color="auto" w:fill="auto"/>
            <w:vAlign w:val="center"/>
          </w:tcPr>
          <w:p w14:paraId="3D87401A">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戴护具</w:t>
            </w:r>
          </w:p>
        </w:tc>
        <w:tc>
          <w:tcPr>
            <w:tcW w:w="5443" w:type="dxa"/>
            <w:tcBorders>
              <w:top w:val="single" w:color="000000" w:sz="4" w:space="0"/>
              <w:left w:val="nil"/>
              <w:bottom w:val="single" w:color="000000" w:sz="4" w:space="0"/>
              <w:right w:val="single" w:color="000000" w:sz="4" w:space="0"/>
            </w:tcBorders>
            <w:shd w:val="clear" w:color="auto" w:fill="auto"/>
            <w:vAlign w:val="center"/>
          </w:tcPr>
          <w:p w14:paraId="63B3376F">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操作电气设备时必须按照要求佩戴好个人防护用具。</w:t>
            </w:r>
          </w:p>
        </w:tc>
      </w:tr>
      <w:tr w14:paraId="25DD0A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29" w:hRule="atLeast"/>
          <w:jc w:val="center"/>
        </w:trPr>
        <w:tc>
          <w:tcPr>
            <w:tcW w:w="1629"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5D250B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0"/>
                <w:sz w:val="21"/>
                <w:szCs w:val="21"/>
                <w:lang w:val="en-US" w:eastAsia="zh-CN" w:bidi="ar"/>
              </w:rPr>
              <w:t>停送电操作</w:t>
            </w:r>
          </w:p>
        </w:tc>
        <w:tc>
          <w:tcPr>
            <w:tcW w:w="2308" w:type="dxa"/>
            <w:tcBorders>
              <w:top w:val="single" w:color="000000" w:sz="4" w:space="0"/>
              <w:left w:val="single" w:color="auto" w:sz="4" w:space="0"/>
              <w:bottom w:val="single" w:color="000000" w:sz="4" w:space="0"/>
              <w:right w:val="single" w:color="000000" w:sz="4" w:space="0"/>
            </w:tcBorders>
            <w:shd w:val="clear" w:color="auto" w:fill="auto"/>
            <w:vAlign w:val="center"/>
          </w:tcPr>
          <w:p w14:paraId="52303C81">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0"/>
                <w:sz w:val="21"/>
                <w:szCs w:val="21"/>
                <w:lang w:val="en-US" w:eastAsia="zh-CN" w:bidi="ar"/>
              </w:rPr>
              <w:t>停电操作</w:t>
            </w:r>
          </w:p>
        </w:tc>
        <w:tc>
          <w:tcPr>
            <w:tcW w:w="5443" w:type="dxa"/>
            <w:tcBorders>
              <w:top w:val="single" w:color="000000" w:sz="4" w:space="0"/>
              <w:left w:val="nil"/>
              <w:bottom w:val="single" w:color="000000" w:sz="4" w:space="0"/>
              <w:right w:val="single" w:color="000000" w:sz="4" w:space="0"/>
            </w:tcBorders>
            <w:shd w:val="clear" w:color="auto" w:fill="auto"/>
            <w:vAlign w:val="center"/>
          </w:tcPr>
          <w:p w14:paraId="2528030C">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停电作业前必须执行好现场瓦斯检查，瓦斯浓度合格后方可操作，停电后必须对设备进行验电、放电，并悬挂停电警示牌。</w:t>
            </w:r>
          </w:p>
        </w:tc>
      </w:tr>
      <w:tr w14:paraId="43D203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1629"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EA3B559">
            <w:pPr>
              <w:keepNext w:val="0"/>
              <w:keepLines w:val="0"/>
              <w:pageBreakBefore w:val="0"/>
              <w:suppressLineNumbers w:val="0"/>
              <w:kinsoku/>
              <w:wordWrap/>
              <w:overflowPunct/>
              <w:topLinePunct w:val="0"/>
              <w:autoSpaceDN/>
              <w:bidi w:val="0"/>
              <w:adjustRightInd/>
              <w:snapToGrid/>
              <w:spacing w:before="0" w:beforeAutospacing="0" w:after="0" w:afterAutospacing="0"/>
              <w:ind w:left="0" w:right="0"/>
              <w:outlineLvl w:val="9"/>
              <w:rPr>
                <w:rFonts w:hint="default" w:ascii="Times New Roman" w:hAnsi="Times New Roman" w:cs="Times New Roman"/>
                <w:color w:val="auto"/>
                <w:sz w:val="21"/>
                <w:szCs w:val="21"/>
              </w:rPr>
            </w:pPr>
          </w:p>
        </w:tc>
        <w:tc>
          <w:tcPr>
            <w:tcW w:w="2308" w:type="dxa"/>
            <w:tcBorders>
              <w:top w:val="single" w:color="000000" w:sz="4" w:space="0"/>
              <w:left w:val="single" w:color="auto" w:sz="4" w:space="0"/>
              <w:bottom w:val="single" w:color="000000" w:sz="4" w:space="0"/>
              <w:right w:val="single" w:color="000000" w:sz="4" w:space="0"/>
            </w:tcBorders>
            <w:shd w:val="clear" w:color="auto" w:fill="auto"/>
            <w:vAlign w:val="center"/>
          </w:tcPr>
          <w:p w14:paraId="6B54A63D">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0"/>
                <w:sz w:val="21"/>
                <w:szCs w:val="21"/>
                <w:lang w:val="en-US" w:eastAsia="zh-CN" w:bidi="ar"/>
              </w:rPr>
              <w:t>送电操作</w:t>
            </w:r>
          </w:p>
        </w:tc>
        <w:tc>
          <w:tcPr>
            <w:tcW w:w="5443" w:type="dxa"/>
            <w:tcBorders>
              <w:top w:val="single" w:color="000000" w:sz="4" w:space="0"/>
              <w:left w:val="nil"/>
              <w:bottom w:val="single" w:color="000000" w:sz="4" w:space="0"/>
              <w:right w:val="single" w:color="000000" w:sz="4" w:space="0"/>
            </w:tcBorders>
            <w:shd w:val="clear" w:color="auto" w:fill="auto"/>
            <w:vAlign w:val="center"/>
          </w:tcPr>
          <w:p w14:paraId="1909E0D9">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作业结束后，确认设备状况良好。正常后，检查设备无问题后进行送电操作。</w:t>
            </w:r>
          </w:p>
        </w:tc>
      </w:tr>
      <w:tr w14:paraId="5C3B86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3" w:hRule="atLeast"/>
          <w:jc w:val="center"/>
        </w:trPr>
        <w:tc>
          <w:tcPr>
            <w:tcW w:w="1629" w:type="dxa"/>
            <w:tcBorders>
              <w:top w:val="single" w:color="auto" w:sz="4" w:space="0"/>
              <w:left w:val="single" w:color="000000" w:sz="4" w:space="0"/>
              <w:bottom w:val="single" w:color="000000" w:sz="4" w:space="0"/>
              <w:right w:val="single" w:color="000000" w:sz="4" w:space="0"/>
            </w:tcBorders>
            <w:shd w:val="clear" w:color="auto" w:fill="auto"/>
            <w:vAlign w:val="center"/>
          </w:tcPr>
          <w:p w14:paraId="1A41C66C">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收尾工作</w:t>
            </w:r>
          </w:p>
        </w:tc>
        <w:tc>
          <w:tcPr>
            <w:tcW w:w="2308" w:type="dxa"/>
            <w:tcBorders>
              <w:top w:val="single" w:color="000000" w:sz="4" w:space="0"/>
              <w:left w:val="nil"/>
              <w:bottom w:val="single" w:color="000000" w:sz="4" w:space="0"/>
              <w:right w:val="single" w:color="000000" w:sz="4" w:space="0"/>
            </w:tcBorders>
            <w:shd w:val="clear" w:color="auto" w:fill="auto"/>
            <w:vAlign w:val="center"/>
          </w:tcPr>
          <w:p w14:paraId="57344DB5">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0"/>
                <w:sz w:val="21"/>
                <w:szCs w:val="21"/>
              </w:rPr>
            </w:pPr>
            <w:r>
              <w:rPr>
                <w:rFonts w:hint="default" w:ascii="仿宋" w:hAnsi="仿宋" w:eastAsia="仿宋" w:cs="仿宋"/>
                <w:i w:val="0"/>
                <w:color w:val="auto"/>
                <w:kern w:val="0"/>
                <w:sz w:val="21"/>
                <w:szCs w:val="21"/>
                <w:lang w:val="en-US" w:eastAsia="zh-CN" w:bidi="ar"/>
              </w:rPr>
              <w:t>卫生、记录</w:t>
            </w:r>
          </w:p>
        </w:tc>
        <w:tc>
          <w:tcPr>
            <w:tcW w:w="5443" w:type="dxa"/>
            <w:tcBorders>
              <w:top w:val="single" w:color="000000" w:sz="4" w:space="0"/>
              <w:left w:val="nil"/>
              <w:bottom w:val="single" w:color="000000" w:sz="4" w:space="0"/>
              <w:right w:val="single" w:color="000000" w:sz="4" w:space="0"/>
            </w:tcBorders>
            <w:shd w:val="clear" w:color="auto" w:fill="auto"/>
            <w:vAlign w:val="center"/>
          </w:tcPr>
          <w:p w14:paraId="24A9FE55">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清理现场卫生，填写设备记录。</w:t>
            </w:r>
          </w:p>
        </w:tc>
      </w:tr>
    </w:tbl>
    <w:p w14:paraId="79442AD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ind w:right="0"/>
        <w:jc w:val="both"/>
        <w:outlineLvl w:val="9"/>
        <w:rPr>
          <w:rFonts w:hint="default" w:ascii="仿宋" w:hAnsi="仿宋" w:eastAsia="仿宋" w:cs="仿宋"/>
          <w:color w:val="auto"/>
          <w:kern w:val="2"/>
          <w:sz w:val="28"/>
          <w:szCs w:val="28"/>
          <w:lang w:val="en-US" w:eastAsia="zh-CN" w:bidi="ar"/>
        </w:rPr>
      </w:pPr>
    </w:p>
    <w:p w14:paraId="4E67B51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lang w:val="en-US" w:eastAsia="zh-CN" w:bidi="ar"/>
        </w:rPr>
      </w:pPr>
    </w:p>
    <w:p w14:paraId="24185F8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w:t>
      </w:r>
      <w:r>
        <w:rPr>
          <w:rFonts w:hint="default" w:ascii="仿宋" w:hAnsi="仿宋" w:eastAsia="仿宋" w:cs="仿宋"/>
          <w:b/>
          <w:bCs w:val="0"/>
          <w:color w:val="auto"/>
          <w:kern w:val="2"/>
          <w:sz w:val="28"/>
          <w:szCs w:val="28"/>
          <w:lang w:val="en-US" w:eastAsia="zh-CN" w:bidi="ar"/>
        </w:rPr>
        <w:t>一般规定</w:t>
      </w:r>
    </w:p>
    <w:p w14:paraId="7CC50EC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（一）入井人员严禁携带烟草或点火用品，严禁穿化纤衣服，入井前严禁喝酒。</w:t>
      </w:r>
    </w:p>
    <w:p w14:paraId="0AF199B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（二）特种作业必须经有资质的机构培训考试合格后持证上岗。</w:t>
      </w:r>
    </w:p>
    <w:p w14:paraId="416DF1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（三）入井人员必须戴安全帽，随身携带自救器和矿灯。</w:t>
      </w:r>
    </w:p>
    <w:p w14:paraId="7D8D5E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（四）乘坐罐笼按顺序上下，不可拥挤和打闹；罐笼运行中，不要把头和手脚伸到罐外；不准向井筒里扔东西。</w:t>
      </w:r>
    </w:p>
    <w:p w14:paraId="54A4DD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（五）井下运输大巷，行人必须靠人行道右侧行走，严禁在轨道中间行走。</w:t>
      </w:r>
    </w:p>
    <w:p w14:paraId="5A165A8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（六）行人跨越轨道或有车辆经过的道路时，首先观察车辆况 ，确认安全后再通过。</w:t>
      </w:r>
    </w:p>
    <w:p w14:paraId="31277EE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（七）斜巷提升时，人员必须立即进入躲避硐。</w:t>
      </w:r>
    </w:p>
    <w:p w14:paraId="2DC03E6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（八）要及时关闭风门，严禁同时打开两道风门。</w:t>
      </w:r>
    </w:p>
    <w:p w14:paraId="38E96B8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（九）严禁跨越皮带和乘坐皮带，跨越皮带要走人行过桥；严禁在刮板输送机上行走。</w:t>
      </w:r>
    </w:p>
    <w:p w14:paraId="103C85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（十）严禁扒车、跳车和坐矿车，当车辆经过时，人员要及时躲避。</w:t>
      </w:r>
    </w:p>
    <w:p w14:paraId="2DCAE97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（十一）乘坐架空乘人装置时必须在规定候车区域等候，按顺序乘坐。</w:t>
      </w:r>
    </w:p>
    <w:p w14:paraId="6404CD7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（十二）乘坐架空乘人装置时，严禁左右摇摆，触摸绳轮、钢丝绳；不得触及临近的任何物体，做到稳上、稳下；严禁携带爆炸物品。</w:t>
      </w:r>
    </w:p>
    <w:p w14:paraId="658C521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二、薄弱人物排查治理办法</w:t>
      </w:r>
    </w:p>
    <w:p w14:paraId="5B330F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（一）薄弱人物范畴</w:t>
      </w:r>
    </w:p>
    <w:p w14:paraId="457CE3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1.嗜好饮酒的“迷糊人”：是指爱好喝酒、酗酒甚至容易醉酒的人。</w:t>
      </w:r>
    </w:p>
    <w:p w14:paraId="256FBD1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2.婚期前后的“甜蜜人”：是指正在筹备或者刚刚完成婚姻大事的人。</w:t>
      </w:r>
    </w:p>
    <w:p w14:paraId="465757A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3.家有丧事的“失落人”：是指家庭有亲人离世导致情绪失落波动。</w:t>
      </w:r>
    </w:p>
    <w:p w14:paraId="76A669A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4.经常违章的“大胆人”：是指自律能力差，对违章屡教不改的人。</w:t>
      </w:r>
    </w:p>
    <w:p w14:paraId="551849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5.挨批受罚的“情绪人”：是指受到批评处罚情绪低落的人。</w:t>
      </w:r>
    </w:p>
    <w:p w14:paraId="4253168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6.重新上岗的“三长人”：是指长伤、长病、长旷的返岗人员。</w:t>
      </w:r>
    </w:p>
    <w:p w14:paraId="4A08468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7.极度疲劳的“硬撑人”：是指班后从事体力劳动极度疲惫的人。</w:t>
      </w:r>
    </w:p>
    <w:p w14:paraId="2C783B3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8.临近退休的“老年人”：是指年龄偏大（50岁以上）的老工人。</w:t>
      </w:r>
    </w:p>
    <w:p w14:paraId="0A1E890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9.随时发病的“体弱人”：是指被医院诊断患有高血压、心脏病、脑血栓、抑郁症等病情的人。</w:t>
      </w:r>
    </w:p>
    <w:p w14:paraId="5172468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10.家境特殊的“纠结人”：是指频发家庭矛盾影响工作情绪的人。</w:t>
      </w:r>
    </w:p>
    <w:p w14:paraId="2DC1635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11.岗位调整的“转行人”：是指转换了工作岗位、改变了工作性质的人。</w:t>
      </w:r>
    </w:p>
    <w:p w14:paraId="7933C93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12.初来乍到的“新工人”：是指刚入矿或者从外单位调入的人。</w:t>
      </w:r>
    </w:p>
    <w:p w14:paraId="4E71429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13.班前教育的“落空人”：是指未参加班前会的人。</w:t>
      </w:r>
    </w:p>
    <w:p w14:paraId="7D103DA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14.心力交瘁的“上访人”：是指由于社会矛盾得不到及时解决有上访倾向的人。</w:t>
      </w:r>
    </w:p>
    <w:p w14:paraId="4DE1080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15.八小时以外的“网络人”：是指工作之余，喜欢上网的年轻员工，班前休息不好，上班精力不集中。</w:t>
      </w:r>
    </w:p>
    <w:p w14:paraId="44BEE53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16.性格粗暴的“鲁莽人”：是指性格简单粗暴的员工，工作急躁毛躁浮躁。</w:t>
      </w:r>
    </w:p>
    <w:p w14:paraId="0C3FFB9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17.反应迟钝的“麻木人”：是指工作麻痹大意、马虎凑付不在乎、反应迟钝的员工。</w:t>
      </w:r>
    </w:p>
    <w:p w14:paraId="3634B9F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18.不安心工作的“跳槽人”：是指不安心本职工作，意欲调动工作的人。</w:t>
      </w:r>
    </w:p>
    <w:p w14:paraId="5FC16BF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19.不服从管理的“顶牛人”：是指与管理人员或员工有矛盾，不服从管理的员工。</w:t>
      </w:r>
    </w:p>
    <w:p w14:paraId="441A2A8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20</w:t>
      </w:r>
      <w:r>
        <w:rPr>
          <w:rFonts w:hint="eastAsia"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val="en-US" w:eastAsia="zh-CN" w:bidi="ar"/>
        </w:rPr>
        <w:t>肩负第二职业的“经济人”：是指挣钱不要命，工作之余另有第二职业的人。</w:t>
      </w:r>
    </w:p>
    <w:p w14:paraId="619054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（二）实施建档管理</w:t>
      </w:r>
    </w:p>
    <w:p w14:paraId="5DCB584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09B26D0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（三）具体排查方式</w:t>
      </w:r>
    </w:p>
    <w:p w14:paraId="098B7DA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63779EB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5897BCB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24E71C2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283E9CE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1EC4597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2E7518A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（四）薄弱人员管控措施</w:t>
      </w:r>
    </w:p>
    <w:p w14:paraId="0A6E40D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1.对于岗前饮酒者，坚决禁止上岗作业。轻者责令其回家休息，重者在区队原地休息或者安排人员护送回家。</w:t>
      </w:r>
    </w:p>
    <w:p w14:paraId="6281B4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2.对于有喜事或丧事的人员，要通过面谈掌握当事人的心理状态，无异议后方可下井。</w:t>
      </w:r>
    </w:p>
    <w:p w14:paraId="5000DB1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3.对于经常违章的人员，要加强日常的教育，在班前会上注重提问，安排岗位要合理，原则上做到“疑人不用”。</w:t>
      </w:r>
    </w:p>
    <w:p w14:paraId="119F3F1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4.对于受到批评和处罚的员工，要加强心理疏导，让当事人放下思想包袱，解除心里抱怨，避免带着情绪上岗。</w:t>
      </w:r>
    </w:p>
    <w:p w14:paraId="46D8A4A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5.对于“三长”人员，必须加强岗前教育培训，考试合格后方可上岗。上岗过程中，要作为重点的巡查盯靠对象，实施跟踪观察。</w:t>
      </w:r>
    </w:p>
    <w:p w14:paraId="3F44BAC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14:paraId="28F66D1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7.对于家庭矛盾突出的员工，应通过谈心或者家访的方式，及时为员工解决家庭矛盾，解开症结，保证员工轻装上岗。</w:t>
      </w:r>
    </w:p>
    <w:p w14:paraId="24597B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8.对于临近退休的老工人，在安排岗位上首要考虑安全因素，原则上不安排攀高、抬重、高温等急难险重类型的作业。</w:t>
      </w:r>
    </w:p>
    <w:p w14:paraId="2FF1A0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9.对于转岗员工当成新工人尽心管理，严格履行以师带徒合同，在老工人的带领下作业。</w:t>
      </w:r>
    </w:p>
    <w:p w14:paraId="502A4C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4453B40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11.凡是没有参加班前会学习教育的人员，一律严禁上岗作业。</w:t>
      </w:r>
    </w:p>
    <w:p w14:paraId="5EF7BAB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12.对于喜欢上网的年轻员工，要加强引导，多沟通勤交流，促使他们培养健康向上的生活工作情趣。</w:t>
      </w:r>
    </w:p>
    <w:p w14:paraId="2DE1E66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13.对于有上访倾向的人，要及时了解情况，掌握思想状态，活血化瘀，必要时可申请法律援助，解决实际困难。</w:t>
      </w:r>
    </w:p>
    <w:p w14:paraId="6B99F95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14:paraId="64D1AD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15.对于不服从管理的员工，单位管理人员要及时做好一人一事的思想工作，解决存在的矛盾，使其心悦诚服、心情舒畅的投入工作。</w:t>
      </w:r>
    </w:p>
    <w:p w14:paraId="109E2D3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Cs/>
          <w:color w:val="auto"/>
          <w:kern w:val="2"/>
          <w:sz w:val="28"/>
          <w:szCs w:val="28"/>
        </w:rPr>
      </w:pPr>
      <w:r>
        <w:rPr>
          <w:rFonts w:hint="default" w:ascii="仿宋" w:hAnsi="仿宋" w:eastAsia="仿宋" w:cs="仿宋"/>
          <w:b w:val="0"/>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14:paraId="098A019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三、安全风险辨识与管控措施</w:t>
      </w:r>
    </w:p>
    <w:p w14:paraId="1808A0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（一）通用部分</w:t>
      </w:r>
    </w:p>
    <w:p w14:paraId="786CEF2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1.风险描述：施工现场顶板破碎，掉矸，存在顶板掉矸，片帮伤人的风险。</w:t>
      </w:r>
    </w:p>
    <w:p w14:paraId="4BD6013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管控措施：加强顶板排查管理。发现顶掉矸、片帮，及时使用敲帮问顶专用工具敲落危岩活矸。</w:t>
      </w:r>
    </w:p>
    <w:p w14:paraId="773C778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2.风险描述：井下行走轨道山时，未执行“行车不行人”制度。</w:t>
      </w:r>
    </w:p>
    <w:p w14:paraId="4251897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管控措施：加强现场管理，结好对子，严格执行“行车不行人”制度。</w:t>
      </w:r>
    </w:p>
    <w:p w14:paraId="58D3531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（二）专用部分</w:t>
      </w:r>
    </w:p>
    <w:p w14:paraId="7835624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1.作业前</w:t>
      </w:r>
      <w:r>
        <w:rPr>
          <w:rFonts w:hint="eastAsia" w:ascii="仿宋" w:hAnsi="仿宋" w:eastAsia="仿宋" w:cs="仿宋"/>
          <w:color w:val="auto"/>
          <w:kern w:val="2"/>
          <w:sz w:val="28"/>
          <w:szCs w:val="28"/>
          <w:lang w:val="en-US" w:eastAsia="zh-CN" w:bidi="ar"/>
        </w:rPr>
        <w:t>：</w:t>
      </w:r>
    </w:p>
    <w:p w14:paraId="69C8C7C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①风险描述：防护用品不完好，不按规定佩戴，存在人员受伤的风险。</w:t>
      </w:r>
    </w:p>
    <w:p w14:paraId="128BEEF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管控措施：检查好防护用品，确保齐全完好，作业前按规定佩戴好防护用品。</w:t>
      </w:r>
    </w:p>
    <w:p w14:paraId="7463AFA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②风险描述：操作高压电气设备，监护人未到位，操作人员容易误操作，存在人员触电的风险。</w:t>
      </w:r>
    </w:p>
    <w:p w14:paraId="12E70A3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管控措施：操作高压电气设备时，严格执行一人操作一人监护，监护人不到位严禁操作。</w:t>
      </w:r>
    </w:p>
    <w:p w14:paraId="2487BF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③风险描述：作业时人员站位不正确，存在设备碰伤人员、人员触电的风险。</w:t>
      </w:r>
    </w:p>
    <w:p w14:paraId="2F8ED15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管控措施：作业时规范站位，重物下方及可能倾向方向严禁有人，作业人员与带电设备保持安全距离。</w:t>
      </w:r>
    </w:p>
    <w:p w14:paraId="2AD9248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④风险描述：操作电气设备时带电作业，未对上级电源停电，存在人员触电的风险。</w:t>
      </w:r>
    </w:p>
    <w:p w14:paraId="713BFF2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管控措施：操作电气设备时必须对上级电源停电，并挂停电牌，谁停电谁送电，严禁带电作业。</w:t>
      </w:r>
    </w:p>
    <w:p w14:paraId="1D40E94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2.操作过程中</w:t>
      </w:r>
      <w:r>
        <w:rPr>
          <w:rFonts w:hint="eastAsia" w:ascii="仿宋" w:hAnsi="仿宋" w:eastAsia="仿宋" w:cs="仿宋"/>
          <w:color w:val="auto"/>
          <w:kern w:val="2"/>
          <w:sz w:val="28"/>
          <w:szCs w:val="28"/>
          <w:lang w:val="en-US" w:eastAsia="zh-CN" w:bidi="ar"/>
        </w:rPr>
        <w:t>：</w:t>
      </w:r>
    </w:p>
    <w:p w14:paraId="2721BD8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①风险描述：吊装作业时，人员站位不当或工具不完好导致受伤。</w:t>
      </w:r>
    </w:p>
    <w:p w14:paraId="34584F0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14:paraId="2921389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②风险描述：登高作业不系安全带，梯子固定不牢，存在高空摔伤的风险。</w:t>
      </w:r>
    </w:p>
    <w:p w14:paraId="6C03D51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管控措施：登高作业检查梯子固定牢靠，一人扶梯一人登高。佩戴好防护用具，使用好安全带。</w:t>
      </w:r>
    </w:p>
    <w:p w14:paraId="3B31CBC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③风险描述：人员靠近转动部位，护罩或遮拦等不完好，存在转动部位伤人的风险。</w:t>
      </w:r>
    </w:p>
    <w:p w14:paraId="41EE9F6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管控措施：保持护罩或遮拦等防护设施完好，运转时保持安全距离。</w:t>
      </w:r>
    </w:p>
    <w:p w14:paraId="12B5CEA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④风险描述：带电搬迁电气设备，存在人员触电的风险。</w:t>
      </w:r>
    </w:p>
    <w:p w14:paraId="3EFD37C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管控措施：作业前将带电设备上级停电，无误后方可施工，严禁带电搬迁。</w:t>
      </w:r>
    </w:p>
    <w:p w14:paraId="6FCF712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⑤风险描述：未按照规定验电、放电。</w:t>
      </w:r>
    </w:p>
    <w:p w14:paraId="6A0FDB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管控措施：按照规定对设备进行验电、放电、悬挂“三相短路接地线”。</w:t>
      </w:r>
    </w:p>
    <w:p w14:paraId="78F66E9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3.操作后</w:t>
      </w:r>
      <w:r>
        <w:rPr>
          <w:rFonts w:hint="eastAsia" w:ascii="仿宋" w:hAnsi="仿宋" w:eastAsia="仿宋" w:cs="仿宋"/>
          <w:color w:val="auto"/>
          <w:kern w:val="2"/>
          <w:sz w:val="28"/>
          <w:szCs w:val="28"/>
          <w:lang w:val="en-US" w:eastAsia="zh-CN" w:bidi="ar"/>
        </w:rPr>
        <w:t>：</w:t>
      </w:r>
    </w:p>
    <w:p w14:paraId="5DBC737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①风险描述：设备检修不到位，零部件缺失、连接部位不完好等，设备带病运行，存在设备损坏的风险。</w:t>
      </w:r>
    </w:p>
    <w:p w14:paraId="1537783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管控措施：设备检修到位，保证检修质量，因特殊原因造成设备未能检修完成时，应及时告知设备运行人员，设备严禁运行。</w:t>
      </w:r>
    </w:p>
    <w:p w14:paraId="6A02CD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②风险描述：作业完成后工具材料未能及时清理，工具材料遗留在设备内，存在设备损坏的风险。</w:t>
      </w:r>
    </w:p>
    <w:p w14:paraId="1378C5F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管控措施：作业完成后，对材料工具进行清点，做到人走场地净。</w:t>
      </w:r>
    </w:p>
    <w:p w14:paraId="1258C4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③风险描述：误送电、约时停送电，存在人员触电的风险。</w:t>
      </w:r>
    </w:p>
    <w:p w14:paraId="5C395ED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管控措施：严格执行停送电制度，停电后闭锁并挂停电牌，禁止约时送电。</w:t>
      </w:r>
    </w:p>
    <w:p w14:paraId="6E4467D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四、（一）作业前检查</w:t>
      </w:r>
    </w:p>
    <w:p w14:paraId="5082A78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1.顶帮：顶帮支护完好、无冒顶、无漏矸、无片帮。</w:t>
      </w:r>
    </w:p>
    <w:p w14:paraId="429D6AB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2.瓦斯：操作前使用便携式瓦斯检测仪检查作业附近20米范围内风流中的瓦斯浓度。瓦斯浓度在1.0%以下时，方可施工；附近20m以内风流中的瓦斯浓度达到1.5％时，必须停止工作，切断电源，撤出人员，进行处理。</w:t>
      </w:r>
    </w:p>
    <w:p w14:paraId="5674E9F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3.防护用品：安全帽、绝缘靴、绝缘手套、自救器等安全防护用品齐全完好。</w:t>
      </w:r>
    </w:p>
    <w:p w14:paraId="74742F8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4.工具、材料：工具齐全完好，材料、配件充足，型号相符。</w:t>
      </w:r>
    </w:p>
    <w:p w14:paraId="6E2971F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5.监护人：监护人到位。</w:t>
      </w:r>
    </w:p>
    <w:p w14:paraId="1B340C5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6.站位、后退路：人员站位正确，附近无闲杂人员，后退路畅通，无障碍物。</w:t>
      </w:r>
    </w:p>
    <w:p w14:paraId="5423472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7.停电：严格遵守停送电制度（停电、验电、放电、装设接地线，悬挂停电牌），按要求办理停电工作票。</w:t>
      </w:r>
    </w:p>
    <w:p w14:paraId="1884D85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color w:val="auto"/>
          <w:kern w:val="2"/>
          <w:sz w:val="28"/>
          <w:szCs w:val="28"/>
          <w:lang w:val="en-US" w:eastAsia="zh-CN" w:bidi="ar"/>
        </w:rPr>
        <w:t>（二）单元检查表确认：</w:t>
      </w:r>
    </w:p>
    <w:p w14:paraId="42AC384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1.各种记录填写正确规范。</w:t>
      </w:r>
    </w:p>
    <w:p w14:paraId="36A28C1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2.设备外观完好，各种部件齐全、紧固完好。</w:t>
      </w:r>
    </w:p>
    <w:p w14:paraId="4B7645F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3.各种仪器、仪表显示正常，开关保护试验动作灵敏可靠。</w:t>
      </w:r>
    </w:p>
    <w:p w14:paraId="3C1938F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4.电缆悬挂整齐，间距符合要求。</w:t>
      </w:r>
    </w:p>
    <w:p w14:paraId="2B982FB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5.设备防爆结合面的粗糙度符合要求，防爆面无油漆、杂物。</w:t>
      </w:r>
    </w:p>
    <w:p w14:paraId="7215AF0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6.检查工具是否齐全，验电笔是否与电源电压等级相符，是否灵敏可靠。</w:t>
      </w:r>
    </w:p>
    <w:p w14:paraId="0F42ABFA">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7.处理故障前分析原因，处理故障前将故障开关上一级电源停电、闭锁，</w:t>
      </w:r>
      <w:r>
        <w:rPr>
          <w:rFonts w:hint="default" w:ascii="仿宋" w:hAnsi="仿宋" w:eastAsia="仿宋" w:cs="仿宋"/>
          <w:color w:val="auto"/>
          <w:kern w:val="2"/>
          <w:sz w:val="28"/>
          <w:szCs w:val="28"/>
          <w:lang w:eastAsia="zh-CN" w:bidi="ar"/>
        </w:rPr>
        <w:t>确</w:t>
      </w:r>
      <w:r>
        <w:rPr>
          <w:rFonts w:hint="default" w:ascii="仿宋" w:hAnsi="仿宋" w:eastAsia="仿宋" w:cs="仿宋"/>
          <w:color w:val="auto"/>
          <w:kern w:val="2"/>
          <w:sz w:val="28"/>
          <w:szCs w:val="28"/>
          <w:lang w:val="en-US" w:eastAsia="zh-CN" w:bidi="ar"/>
        </w:rPr>
        <w:t>认开关无电后进行操作，处理完毕后确保各种继电保护是否灵敏可靠。</w:t>
      </w:r>
    </w:p>
    <w:p w14:paraId="62D52A43">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color w:val="auto"/>
          <w:kern w:val="2"/>
          <w:sz w:val="28"/>
          <w:szCs w:val="28"/>
          <w:lang w:val="en-US" w:eastAsia="zh-CN" w:bidi="ar"/>
        </w:rPr>
        <w:t>8.接线规范，布局合理。</w:t>
      </w:r>
    </w:p>
    <w:p w14:paraId="5C552D0E">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五、井下电钳工正规操作</w:t>
      </w:r>
    </w:p>
    <w:p w14:paraId="2B53F993">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（一）井下电钳工操作顺序</w:t>
      </w:r>
    </w:p>
    <w:p w14:paraId="2B5839B6">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color w:val="auto"/>
          <w:kern w:val="2"/>
          <w:sz w:val="28"/>
          <w:szCs w:val="28"/>
          <w:lang w:val="en-US" w:eastAsia="zh-CN" w:bidi="ar"/>
        </w:rPr>
        <w:t>人员位置→作业监护→停送电→高压作业→正常作业→高空作业→反送电→同时作业→瓦斯异常→异常处置→结束工作。</w:t>
      </w:r>
    </w:p>
    <w:p w14:paraId="395D1452">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1.人员位置：时刻保证正确站位，确保后退路畅通、顶帮支护安全。</w:t>
      </w:r>
    </w:p>
    <w:p w14:paraId="62D8284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2.作业监护:检修、安装、搬移电气设备时应由两人协同工作，相互监护。</w:t>
      </w:r>
    </w:p>
    <w:p w14:paraId="5AD153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3.停、送电:严格遵守停送电制度，作业前对设备停电、闭锁、验电、放电、挂停电牌，必要时设专人看护；送电坚持谁挂牌谁摘牌，严禁约时送电。</w:t>
      </w:r>
    </w:p>
    <w:p w14:paraId="64E58C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4.高压作业:操作高压电气设备时必须执行工作票制度，必须必须戴绝缘手套、穿绝缘靴或站在绝缘台上。</w:t>
      </w:r>
    </w:p>
    <w:p w14:paraId="2199941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5.正常操作:</w:t>
      </w:r>
    </w:p>
    <w:p w14:paraId="3A9971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不得任意改变原有端子序号、接线方式，不得甩掉原有的保护装置，不得任意修改整定值。</w:t>
      </w:r>
    </w:p>
    <w:p w14:paraId="2EB502D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发现设备失爆、故障、保护动作或不正常时应查明原因并处理，处理不好应及时汇报，严禁强行送电。</w:t>
      </w:r>
    </w:p>
    <w:p w14:paraId="1E32495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6.高处作业:高处作业超过2m时必须正确佩戴安全帽和保险带，随身工具应有防脱措施，以防坠落。</w:t>
      </w:r>
    </w:p>
    <w:p w14:paraId="4F05F91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7.反送电：有可能反送电的开关必须加锁并悬挂“小心反电”警示牌，如需反送电应采取可靠的安全措施。</w:t>
      </w:r>
    </w:p>
    <w:p w14:paraId="6528ABA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8.同时作业：同一开关控制的系统中，有两个及以上多点同时作业时，要分别悬挂停电牌，并应设置总负责人负责联络、协调，工作结束送电前由专人巡点检查，全部完工并摘掉停电牌后方可送电。</w:t>
      </w:r>
    </w:p>
    <w:p w14:paraId="7A6C14E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9.瓦斯异常：井下距工作地点20m内风流中瓦斯浓度达到</w:t>
      </w:r>
      <w:r>
        <w:rPr>
          <w:rFonts w:hint="default" w:ascii="仿宋" w:hAnsi="仿宋" w:eastAsia="仿宋" w:cs="仿宋"/>
          <w:color w:val="auto"/>
          <w:kern w:val="2"/>
          <w:sz w:val="28"/>
          <w:szCs w:val="28"/>
          <w:lang w:eastAsia="zh-CN" w:bidi="ar"/>
        </w:rPr>
        <w:t>10.</w:t>
      </w:r>
      <w:r>
        <w:rPr>
          <w:rFonts w:hint="default" w:ascii="仿宋" w:hAnsi="仿宋" w:eastAsia="仿宋" w:cs="仿宋"/>
          <w:color w:val="auto"/>
          <w:kern w:val="2"/>
          <w:sz w:val="28"/>
          <w:szCs w:val="28"/>
          <w:lang w:val="en-US" w:eastAsia="zh-CN" w:bidi="ar"/>
        </w:rPr>
        <w:t>％时，严禁使电气测量仪表、开盖检修电气设备和送电试运转；瓦斯浓度超过1.0％时，必须停止作业，切断电源并撤出。</w:t>
      </w:r>
    </w:p>
    <w:p w14:paraId="6030B70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10.异常处置：</w:t>
      </w:r>
    </w:p>
    <w:p w14:paraId="73E45AF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（1）发生人身触电及设备事故时，立即断开有关设备的电源，在能力范围内进行应急处理，并及时向上级汇报。</w:t>
      </w:r>
    </w:p>
    <w:p w14:paraId="0AECA30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（2）发现电气设备或电缆着火时，必须迅速切断电源，使用灭火器或砂子灭火，并及时汇报。</w:t>
      </w:r>
    </w:p>
    <w:p w14:paraId="0B06B18E">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11.结束工作：送电结束后，清理现场卫生，规范填写记录。</w:t>
      </w:r>
    </w:p>
    <w:p w14:paraId="7998F861">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六、井下电钳工作业过程中的安全注意事项：</w:t>
      </w:r>
    </w:p>
    <w:p w14:paraId="1FA7A50C">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val="0"/>
          <w:color w:val="auto"/>
          <w:kern w:val="2"/>
          <w:sz w:val="28"/>
          <w:szCs w:val="28"/>
          <w:lang w:val="en-US" w:eastAsia="zh-CN" w:bidi="ar"/>
        </w:rPr>
        <w:t>（一）停送电操作</w:t>
      </w:r>
    </w:p>
    <w:p w14:paraId="0B670934">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1.停电闭锁：切断电源，并将开关把手闭锁。</w:t>
      </w:r>
    </w:p>
    <w:p w14:paraId="43E3979C">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2.停电：切断电源时，开关</w:t>
      </w:r>
      <w:r>
        <w:rPr>
          <w:rFonts w:hint="default" w:ascii="仿宋" w:hAnsi="仿宋" w:eastAsia="仿宋" w:cs="仿宋"/>
          <w:color w:val="auto"/>
          <w:kern w:val="2"/>
          <w:sz w:val="28"/>
          <w:szCs w:val="28"/>
          <w:lang w:eastAsia="zh-CN" w:bidi="ar"/>
        </w:rPr>
        <w:t xml:space="preserve"> </w:t>
      </w:r>
      <w:r>
        <w:rPr>
          <w:rFonts w:hint="default" w:ascii="仿宋" w:hAnsi="仿宋" w:eastAsia="仿宋" w:cs="仿宋"/>
          <w:color w:val="auto"/>
          <w:kern w:val="2"/>
          <w:sz w:val="28"/>
          <w:szCs w:val="28"/>
          <w:lang w:val="en-US" w:eastAsia="zh-CN" w:bidi="ar"/>
        </w:rPr>
        <w:t>上悬挂:“有人工作，严禁送电”的停电警示牌。</w:t>
      </w:r>
    </w:p>
    <w:p w14:paraId="32236FBB">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3.验电：电气作业前必须先验电、放电，并挂好短路接地线。</w:t>
      </w:r>
    </w:p>
    <w:p w14:paraId="699BA01B">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七、全部注意事项：</w:t>
      </w:r>
    </w:p>
    <w:p w14:paraId="7D1ED42C">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1.必须经过培训、考试，取得合格证后，才准单独工作。除电工外其他人不得擅自打开防爆外壳,检查和调试工作。</w:t>
      </w:r>
    </w:p>
    <w:p w14:paraId="146094FE">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2.应掌握一般电气知识外，还必须熟悉和遵守《煤矿安全规程》“三大保护细则”、防爆设备检验规程”、“防爆电气设备的安装、运行、检修规程”。</w:t>
      </w:r>
    </w:p>
    <w:p w14:paraId="558F5FF0">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3.操作高压电气设备时，必须戴绝缘手套，并站在绝缘台上。</w:t>
      </w:r>
    </w:p>
    <w:p w14:paraId="48F70E25">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4.严格停、送电制度。联系停、送电必须是同一个人进行。停电时先停各分开关,再停总开关,后停隔离开关，隔离开关严禁带</w:t>
      </w:r>
      <w:r>
        <w:rPr>
          <w:rFonts w:hint="default" w:ascii="仿宋" w:hAnsi="仿宋" w:eastAsia="仿宋" w:cs="仿宋"/>
          <w:color w:val="auto"/>
          <w:kern w:val="2"/>
          <w:sz w:val="28"/>
          <w:szCs w:val="28"/>
          <w:lang w:eastAsia="zh-CN" w:bidi="ar"/>
        </w:rPr>
        <w:t>①</w:t>
      </w:r>
      <w:r>
        <w:rPr>
          <w:rFonts w:hint="default" w:ascii="仿宋" w:hAnsi="仿宋" w:eastAsia="仿宋" w:cs="仿宋"/>
          <w:color w:val="auto"/>
          <w:kern w:val="2"/>
          <w:sz w:val="28"/>
          <w:szCs w:val="28"/>
          <w:lang w:val="en-US" w:eastAsia="zh-CN" w:bidi="ar"/>
        </w:rPr>
        <w:t>闸。送电时,先送隔离开关,先合</w:t>
      </w:r>
      <w:r>
        <w:rPr>
          <w:rFonts w:hint="default" w:ascii="仿宋" w:hAnsi="仿宋" w:eastAsia="仿宋" w:cs="仿宋"/>
          <w:color w:val="auto"/>
          <w:kern w:val="2"/>
          <w:sz w:val="28"/>
          <w:szCs w:val="28"/>
          <w:lang w:eastAsia="zh-CN" w:bidi="ar"/>
        </w:rPr>
        <w:t>②</w:t>
      </w:r>
      <w:r>
        <w:rPr>
          <w:rFonts w:hint="default" w:ascii="仿宋" w:hAnsi="仿宋" w:eastAsia="仿宋" w:cs="仿宋"/>
          <w:color w:val="auto"/>
          <w:kern w:val="2"/>
          <w:sz w:val="28"/>
          <w:szCs w:val="28"/>
          <w:lang w:val="en-US" w:eastAsia="zh-CN" w:bidi="ar"/>
        </w:rPr>
        <w:t>，后合分开关。</w:t>
      </w:r>
    </w:p>
    <w:p w14:paraId="6C5AB08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5.在电气系统上检修、搬迁设备时，必须完成下列各技术措施：</w:t>
      </w:r>
    </w:p>
    <w:p w14:paraId="6D9E88EC">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（1）切断电源，并将开关把手闭锁；</w:t>
      </w:r>
    </w:p>
    <w:p w14:paraId="2CDE87A0">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（2）在切断电源时，开关上悬挂:“有人工作，不准送电”的停电警示牌;</w:t>
      </w:r>
    </w:p>
    <w:p w14:paraId="450CF27E">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（3）在高压系统中进行电气作业前必须先验电、放电，并挂好三相短路接地线。</w:t>
      </w:r>
    </w:p>
    <w:p w14:paraId="60B4A12E">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6.井下不准带电检修、搬迁设备（包括电缆)。</w:t>
      </w:r>
    </w:p>
    <w:p w14:paraId="49D8523B">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井下电气设备做到“三无、四有、二齐、三全、一坚持”,即是：三无：无鸡爪子、无羊尾巴、无明接头。四有：有过流和漏电保护、有螺栓和弹簧垫、有密封圈和挡板、有接地装置。二齐：电缆悬挂整齐、设备峒室清洁整齐。三全：防爆装置全、绝缘用具全、图纸资料全。一坚持：坚持使用好漏电继电器，保持动作具有灵敏可靠。</w:t>
      </w:r>
    </w:p>
    <w:p w14:paraId="1329A645">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8.作业完毕后，应将所有工具，零部件、仪表等进行全面清点，确认无误，方可送电进行工作。</w:t>
      </w:r>
    </w:p>
    <w:p w14:paraId="1DD14DA1">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9.严禁使用铜、铝丝代替保险丝。</w:t>
      </w:r>
    </w:p>
    <w:p w14:paraId="72624878">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八、作业后确认：</w:t>
      </w:r>
    </w:p>
    <w:p w14:paraId="2B3641C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1.零部件连接：接线连接牢固，无毛刺，螺栓紧固牢靠。</w:t>
      </w:r>
    </w:p>
    <w:p w14:paraId="6CB6E40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2.工具、材料：工具已清点，无缺漏；材料已清理。</w:t>
      </w:r>
    </w:p>
    <w:p w14:paraId="4C37CB1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3.恢复供电：停电牌已摘下，可恢复供电。</w:t>
      </w:r>
    </w:p>
    <w:p w14:paraId="24B8212A">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九、事故案例教育：</w:t>
      </w:r>
    </w:p>
    <w:p w14:paraId="786EF4D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（一）事故经过</w:t>
      </w:r>
    </w:p>
    <w:p w14:paraId="01406C9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2014年8月2日早班7：00分，掘进五区区长潘某主持召开了班前会。会上对早班工作进行了安排。上午8时左右到达现场，跟班进行了分工，伤者在耙装机地锚未安装的情况下，摘下绞车钩头，进入耙装机前下方进行接电。约13:30分左右，由于郑灵运在接电过程中触动了耙装机，造成耙装机突然下滑，将正在接电的郑灵运压在耙装机下方，跟班立即组织人员现场抢救，并护送上井，经医院抢救无效死亡。</w:t>
      </w:r>
    </w:p>
    <w:p w14:paraId="675171C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（二）事故原因</w:t>
      </w:r>
    </w:p>
    <w:p w14:paraId="522821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1.伤者安全意识淡薄，重生产、轻安全，在耙装机没有按规定固定好的情况下，摘下绞车钩头，是造成事故发生的直接原因。</w:t>
      </w:r>
    </w:p>
    <w:p w14:paraId="63C1858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2.伤者在耙装机地锚没固定的情况下，进入耙装机前下方接电，因接电作业使耙装机下滑，是事故发生的重要原因。</w:t>
      </w:r>
    </w:p>
    <w:p w14:paraId="4C4EFE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3.现场作业人员互保联保意识淡薄，对现场存在的违章行为未能及时发现并制止，是事故发生的重要原因。</w:t>
      </w:r>
    </w:p>
    <w:p w14:paraId="0BF952E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（三）事故防范措施</w:t>
      </w:r>
    </w:p>
    <w:p w14:paraId="396C56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1.处理或检修机电设备工作时，要把安全工作布置细致，要制定专门技术措施。</w:t>
      </w:r>
    </w:p>
    <w:p w14:paraId="0EE7508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2.施工作业过程中结好对子。</w:t>
      </w:r>
    </w:p>
    <w:p w14:paraId="2A1A72E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3.加强现场作业人员互保联保意识，作业过程中对现场环境进行检查、确认，安全后方可进行作业。</w:t>
      </w:r>
    </w:p>
    <w:p w14:paraId="4BC41AC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十、常见三违</w:t>
      </w:r>
    </w:p>
    <w:p w14:paraId="11F6131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（一）轨道巷不执行“行车不行人”制度、拉放车不执行清人制度、推车不执行清人制度的</w:t>
      </w:r>
      <w:r>
        <w:rPr>
          <w:rFonts w:hint="eastAsia" w:ascii="仿宋" w:hAnsi="仿宋" w:eastAsia="仿宋" w:cs="仿宋"/>
          <w:color w:val="auto"/>
          <w:kern w:val="2"/>
          <w:sz w:val="28"/>
          <w:szCs w:val="28"/>
          <w:lang w:val="en-US" w:eastAsia="zh-CN" w:bidi="ar"/>
        </w:rPr>
        <w:t>；</w:t>
      </w:r>
    </w:p>
    <w:p w14:paraId="4D8418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（二）携带烟草和点火物品（手机），穿化纤衣服入井或入井前饮酒的</w:t>
      </w:r>
      <w:r>
        <w:rPr>
          <w:rFonts w:hint="eastAsia" w:ascii="仿宋" w:hAnsi="仿宋" w:eastAsia="仿宋" w:cs="仿宋"/>
          <w:color w:val="auto"/>
          <w:kern w:val="2"/>
          <w:sz w:val="28"/>
          <w:szCs w:val="28"/>
          <w:lang w:val="en-US" w:eastAsia="zh-CN" w:bidi="ar"/>
        </w:rPr>
        <w:t>；</w:t>
      </w:r>
    </w:p>
    <w:p w14:paraId="5B850E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（三）带电检修、搬迁电气设备</w:t>
      </w:r>
      <w:r>
        <w:rPr>
          <w:rFonts w:hint="eastAsia" w:ascii="仿宋" w:hAnsi="仿宋" w:eastAsia="仿宋" w:cs="仿宋"/>
          <w:color w:val="auto"/>
          <w:kern w:val="2"/>
          <w:sz w:val="28"/>
          <w:szCs w:val="28"/>
          <w:lang w:val="en-US" w:eastAsia="zh-CN" w:bidi="ar"/>
        </w:rPr>
        <w:t>；</w:t>
      </w:r>
    </w:p>
    <w:p w14:paraId="257A21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（四）机电设备将保护装置甩掉不用</w:t>
      </w:r>
      <w:r>
        <w:rPr>
          <w:rFonts w:hint="eastAsia" w:ascii="仿宋" w:hAnsi="仿宋" w:eastAsia="仿宋" w:cs="仿宋"/>
          <w:color w:val="auto"/>
          <w:kern w:val="2"/>
          <w:sz w:val="28"/>
          <w:szCs w:val="28"/>
          <w:lang w:val="en-US" w:eastAsia="zh-CN" w:bidi="ar"/>
        </w:rPr>
        <w:t>；</w:t>
      </w:r>
    </w:p>
    <w:p w14:paraId="50A4D1E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（五）井下供电系统发生故障后，禁止强行送电或者用强行送电的方法查找故障</w:t>
      </w:r>
      <w:r>
        <w:rPr>
          <w:rFonts w:hint="eastAsia" w:ascii="仿宋" w:hAnsi="仿宋" w:eastAsia="仿宋" w:cs="仿宋"/>
          <w:color w:val="auto"/>
          <w:kern w:val="2"/>
          <w:sz w:val="28"/>
          <w:szCs w:val="28"/>
          <w:lang w:val="en-US" w:eastAsia="zh-CN" w:bidi="ar"/>
        </w:rPr>
        <w:t>；</w:t>
      </w:r>
    </w:p>
    <w:p w14:paraId="4DFAB2C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（六）开关打木楔或用铜、铝、铁丝代替保险丝</w:t>
      </w:r>
      <w:r>
        <w:rPr>
          <w:rFonts w:hint="eastAsia" w:ascii="仿宋" w:hAnsi="仿宋" w:eastAsia="仿宋" w:cs="仿宋"/>
          <w:color w:val="auto"/>
          <w:kern w:val="2"/>
          <w:sz w:val="28"/>
          <w:szCs w:val="28"/>
          <w:lang w:val="en-US" w:eastAsia="zh-CN" w:bidi="ar"/>
        </w:rPr>
        <w:t>；</w:t>
      </w:r>
    </w:p>
    <w:p w14:paraId="399AD6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（七）未执行停送电制度</w:t>
      </w:r>
      <w:r>
        <w:rPr>
          <w:rFonts w:hint="eastAsia" w:ascii="仿宋" w:hAnsi="仿宋" w:eastAsia="仿宋" w:cs="仿宋"/>
          <w:color w:val="auto"/>
          <w:kern w:val="2"/>
          <w:sz w:val="28"/>
          <w:szCs w:val="28"/>
          <w:lang w:val="en-US" w:eastAsia="zh-CN" w:bidi="ar"/>
        </w:rPr>
        <w:t>；</w:t>
      </w:r>
    </w:p>
    <w:p w14:paraId="3845B83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（八）在检修时不执行验电、放电制度</w:t>
      </w:r>
      <w:r>
        <w:rPr>
          <w:rFonts w:hint="eastAsia" w:ascii="仿宋" w:hAnsi="仿宋" w:eastAsia="仿宋" w:cs="仿宋"/>
          <w:color w:val="auto"/>
          <w:kern w:val="2"/>
          <w:sz w:val="28"/>
          <w:szCs w:val="28"/>
          <w:lang w:val="en-US" w:eastAsia="zh-CN" w:bidi="ar"/>
        </w:rPr>
        <w:t>；</w:t>
      </w:r>
    </w:p>
    <w:p w14:paraId="239F05C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（九）电工维修电器设备时，未穿绝缘靴或吊挂高压电缆时未戴绝缘手套</w:t>
      </w:r>
      <w:r>
        <w:rPr>
          <w:rFonts w:hint="eastAsia" w:ascii="仿宋" w:hAnsi="仿宋" w:eastAsia="仿宋" w:cs="仿宋"/>
          <w:color w:val="auto"/>
          <w:kern w:val="2"/>
          <w:sz w:val="28"/>
          <w:szCs w:val="28"/>
          <w:lang w:val="en-US" w:eastAsia="zh-CN" w:bidi="ar"/>
        </w:rPr>
        <w:t>；</w:t>
      </w:r>
    </w:p>
    <w:p w14:paraId="4B0B9A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（十）井下打开电气设备前未检查瓦斯浓度</w:t>
      </w:r>
      <w:r>
        <w:rPr>
          <w:rFonts w:hint="eastAsia" w:ascii="仿宋" w:hAnsi="仿宋" w:eastAsia="仿宋" w:cs="仿宋"/>
          <w:color w:val="auto"/>
          <w:kern w:val="2"/>
          <w:sz w:val="28"/>
          <w:szCs w:val="28"/>
          <w:lang w:val="en-US" w:eastAsia="zh-CN" w:bidi="ar"/>
        </w:rPr>
        <w:t>；</w:t>
      </w:r>
    </w:p>
    <w:p w14:paraId="1460FAE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（十一）进行高压操作时不使用绝缘用具</w:t>
      </w:r>
      <w:r>
        <w:rPr>
          <w:rFonts w:hint="eastAsia" w:ascii="仿宋" w:hAnsi="仿宋" w:eastAsia="仿宋" w:cs="仿宋"/>
          <w:color w:val="auto"/>
          <w:kern w:val="2"/>
          <w:sz w:val="28"/>
          <w:szCs w:val="28"/>
          <w:lang w:val="en-US" w:eastAsia="zh-CN" w:bidi="ar"/>
        </w:rPr>
        <w:t>；</w:t>
      </w:r>
    </w:p>
    <w:p w14:paraId="4EBB6FC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（十二）不执行“停电工作票”制度或“一人操作，一人监护”制度规定</w:t>
      </w:r>
      <w:r>
        <w:rPr>
          <w:rFonts w:hint="eastAsia" w:ascii="仿宋" w:hAnsi="仿宋" w:eastAsia="仿宋" w:cs="仿宋"/>
          <w:color w:val="auto"/>
          <w:kern w:val="2"/>
          <w:sz w:val="28"/>
          <w:szCs w:val="28"/>
          <w:lang w:val="en-US" w:eastAsia="zh-CN" w:bidi="ar"/>
        </w:rPr>
        <w:t>；</w:t>
      </w:r>
    </w:p>
    <w:p w14:paraId="1629778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（十三）不执行停送电操作顺序</w:t>
      </w:r>
      <w:r>
        <w:rPr>
          <w:rFonts w:hint="eastAsia" w:ascii="仿宋" w:hAnsi="仿宋" w:eastAsia="仿宋" w:cs="仿宋"/>
          <w:color w:val="auto"/>
          <w:kern w:val="2"/>
          <w:sz w:val="28"/>
          <w:szCs w:val="28"/>
          <w:lang w:val="en-US" w:eastAsia="zh-CN" w:bidi="ar"/>
        </w:rPr>
        <w:t>；</w:t>
      </w:r>
    </w:p>
    <w:p w14:paraId="5798E25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（十四）电气设备检修时不按规定挂接地线</w:t>
      </w:r>
      <w:r>
        <w:rPr>
          <w:rFonts w:hint="eastAsia" w:ascii="仿宋" w:hAnsi="仿宋" w:eastAsia="仿宋" w:cs="仿宋"/>
          <w:color w:val="auto"/>
          <w:kern w:val="2"/>
          <w:sz w:val="28"/>
          <w:szCs w:val="28"/>
          <w:lang w:val="en-US" w:eastAsia="zh-CN" w:bidi="ar"/>
        </w:rPr>
        <w:t>；</w:t>
      </w:r>
    </w:p>
    <w:p w14:paraId="3C7963D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（十五）检修高压开关或变压器时，切断断路器未拉开隔离插销、隔离刀闸，不闭锁</w:t>
      </w:r>
      <w:r>
        <w:rPr>
          <w:rFonts w:hint="eastAsia" w:ascii="仿宋" w:hAnsi="仿宋" w:eastAsia="仿宋" w:cs="仿宋"/>
          <w:color w:val="auto"/>
          <w:kern w:val="2"/>
          <w:sz w:val="28"/>
          <w:szCs w:val="28"/>
          <w:lang w:val="en-US" w:eastAsia="zh-CN" w:bidi="ar"/>
        </w:rPr>
        <w:t>；</w:t>
      </w:r>
    </w:p>
    <w:p w14:paraId="2C6E6EE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（十六）开关设备没有按规定敷设主、辅保护接地</w:t>
      </w:r>
      <w:r>
        <w:rPr>
          <w:rFonts w:hint="eastAsia" w:ascii="仿宋" w:hAnsi="仿宋" w:eastAsia="仿宋" w:cs="仿宋"/>
          <w:color w:val="auto"/>
          <w:kern w:val="2"/>
          <w:sz w:val="28"/>
          <w:szCs w:val="28"/>
          <w:lang w:val="en-US" w:eastAsia="zh-CN" w:bidi="ar"/>
        </w:rPr>
        <w:t>；</w:t>
      </w:r>
    </w:p>
    <w:p w14:paraId="16A46B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（十七）起吊重物时，吊臂下方或重物下方有人</w:t>
      </w:r>
      <w:r>
        <w:rPr>
          <w:rFonts w:hint="eastAsia" w:ascii="仿宋" w:hAnsi="仿宋" w:eastAsia="仿宋" w:cs="仿宋"/>
          <w:color w:val="auto"/>
          <w:kern w:val="2"/>
          <w:sz w:val="28"/>
          <w:szCs w:val="28"/>
          <w:lang w:val="en-US" w:eastAsia="zh-CN" w:bidi="ar"/>
        </w:rPr>
        <w:t>；</w:t>
      </w:r>
    </w:p>
    <w:p w14:paraId="13E1FC8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（十八）其他违反《煤矿安全规程》、《操作规程》及《作业规程》等有关规定的。</w:t>
      </w:r>
    </w:p>
    <w:p w14:paraId="42B2A3F5">
      <w:pPr>
        <w:rPr>
          <w:rFonts w:hint="eastAsia" w:cs="Times New Roman"/>
          <w:color w:val="auto"/>
          <w:lang w:val="en-US" w:eastAsia="zh-CN"/>
        </w:rPr>
      </w:pPr>
      <w:bookmarkStart w:id="373" w:name="_Toc11491"/>
      <w:bookmarkStart w:id="374" w:name="_Toc10778"/>
      <w:bookmarkStart w:id="375" w:name="_Toc7017"/>
      <w:r>
        <w:rPr>
          <w:rFonts w:hint="eastAsia" w:cs="Times New Roman"/>
          <w:color w:val="auto"/>
          <w:lang w:val="en-US" w:eastAsia="zh-CN"/>
        </w:rPr>
        <w:br w:type="page"/>
      </w:r>
    </w:p>
    <w:p w14:paraId="5E8891A3">
      <w:pPr>
        <w:pStyle w:val="17"/>
        <w:bidi w:val="0"/>
        <w:jc w:val="center"/>
        <w:outlineLvl w:val="1"/>
        <w:rPr>
          <w:rFonts w:hint="eastAsia" w:cs="Times New Roman"/>
          <w:color w:val="auto"/>
          <w:lang w:val="en-US" w:eastAsia="zh-CN"/>
        </w:rPr>
      </w:pPr>
      <w:bookmarkStart w:id="376" w:name="_Toc20693"/>
      <w:r>
        <w:rPr>
          <w:rFonts w:hint="eastAsia" w:cs="Times New Roman"/>
          <w:color w:val="auto"/>
          <w:lang w:val="en-US" w:eastAsia="zh-CN"/>
        </w:rPr>
        <w:t>机电</w:t>
      </w:r>
      <w:bookmarkEnd w:id="355"/>
      <w:bookmarkEnd w:id="356"/>
      <w:bookmarkEnd w:id="357"/>
      <w:bookmarkEnd w:id="358"/>
      <w:bookmarkEnd w:id="359"/>
      <w:bookmarkStart w:id="377" w:name="_Toc25558"/>
      <w:r>
        <w:rPr>
          <w:rFonts w:hint="eastAsia" w:cs="Times New Roman"/>
          <w:color w:val="auto"/>
          <w:lang w:val="en-US" w:eastAsia="zh-CN"/>
        </w:rPr>
        <w:t>维修工</w:t>
      </w:r>
      <w:bookmarkEnd w:id="373"/>
      <w:bookmarkEnd w:id="374"/>
      <w:bookmarkEnd w:id="375"/>
      <w:bookmarkEnd w:id="376"/>
      <w:bookmarkEnd w:id="377"/>
    </w:p>
    <w:tbl>
      <w:tblPr>
        <w:tblStyle w:val="12"/>
        <w:tblW w:w="10425" w:type="dxa"/>
        <w:tblInd w:w="-1131" w:type="dxa"/>
        <w:tblLayout w:type="fixed"/>
        <w:tblCellMar>
          <w:top w:w="0" w:type="dxa"/>
          <w:left w:w="108" w:type="dxa"/>
          <w:bottom w:w="0" w:type="dxa"/>
          <w:right w:w="108" w:type="dxa"/>
        </w:tblCellMar>
      </w:tblPr>
      <w:tblGrid>
        <w:gridCol w:w="937"/>
        <w:gridCol w:w="263"/>
        <w:gridCol w:w="3272"/>
        <w:gridCol w:w="1166"/>
        <w:gridCol w:w="355"/>
        <w:gridCol w:w="4019"/>
        <w:gridCol w:w="413"/>
      </w:tblGrid>
      <w:tr w14:paraId="3FB30D92">
        <w:tblPrEx>
          <w:tblCellMar>
            <w:top w:w="0" w:type="dxa"/>
            <w:left w:w="108" w:type="dxa"/>
            <w:bottom w:w="0" w:type="dxa"/>
            <w:right w:w="108" w:type="dxa"/>
          </w:tblCellMar>
        </w:tblPrEx>
        <w:trPr>
          <w:trHeight w:val="347" w:hRule="atLeast"/>
        </w:trPr>
        <w:tc>
          <w:tcPr>
            <w:tcW w:w="10425" w:type="dxa"/>
            <w:gridSpan w:val="7"/>
            <w:tcBorders>
              <w:top w:val="single" w:color="auto" w:sz="4" w:space="0"/>
              <w:left w:val="single" w:color="auto" w:sz="4" w:space="0"/>
              <w:bottom w:val="single" w:color="auto" w:sz="4" w:space="0"/>
              <w:right w:val="single" w:color="auto" w:sz="4" w:space="0"/>
            </w:tcBorders>
            <w:vAlign w:val="center"/>
          </w:tcPr>
          <w:p w14:paraId="32D32053">
            <w:pPr>
              <w:keepNext w:val="0"/>
              <w:keepLines w:val="0"/>
              <w:pageBreakBefore w:val="0"/>
              <w:widowControl/>
              <w:suppressLineNumbers w:val="0"/>
              <w:kinsoku/>
              <w:wordWrap/>
              <w:overflowPunct/>
              <w:topLinePunct w:val="0"/>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kern w:val="0"/>
                <w:sz w:val="21"/>
                <w:szCs w:val="21"/>
              </w:rPr>
            </w:pPr>
            <w:r>
              <w:rPr>
                <w:rFonts w:hint="eastAsia" w:ascii="仿宋" w:hAnsi="仿宋" w:eastAsia="仿宋" w:cs="仿宋"/>
                <w:b w:val="0"/>
                <w:bCs w:val="0"/>
                <w:color w:val="auto"/>
                <w:kern w:val="0"/>
                <w:sz w:val="21"/>
                <w:szCs w:val="21"/>
              </w:rPr>
              <w:t>维修工风险告知卡</w:t>
            </w:r>
          </w:p>
        </w:tc>
      </w:tr>
      <w:tr w14:paraId="18FF4E0A">
        <w:tblPrEx>
          <w:tblCellMar>
            <w:top w:w="0" w:type="dxa"/>
            <w:left w:w="108" w:type="dxa"/>
            <w:bottom w:w="0" w:type="dxa"/>
            <w:right w:w="108" w:type="dxa"/>
          </w:tblCellMar>
        </w:tblPrEx>
        <w:trPr>
          <w:trHeight w:val="903" w:hRule="atLeast"/>
        </w:trPr>
        <w:tc>
          <w:tcPr>
            <w:tcW w:w="1200" w:type="dxa"/>
            <w:gridSpan w:val="2"/>
            <w:tcBorders>
              <w:top w:val="nil"/>
              <w:left w:val="single" w:color="auto" w:sz="4" w:space="0"/>
              <w:bottom w:val="single" w:color="auto" w:sz="4" w:space="0"/>
              <w:right w:val="single" w:color="auto" w:sz="4" w:space="0"/>
            </w:tcBorders>
            <w:vAlign w:val="center"/>
          </w:tcPr>
          <w:p w14:paraId="5D90079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1151943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3272" w:type="dxa"/>
            <w:tcBorders>
              <w:top w:val="nil"/>
              <w:left w:val="nil"/>
              <w:bottom w:val="single" w:color="auto" w:sz="4" w:space="0"/>
              <w:right w:val="single" w:color="auto" w:sz="4" w:space="0"/>
            </w:tcBorders>
            <w:vAlign w:val="center"/>
          </w:tcPr>
          <w:p w14:paraId="13AD64B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机电、运输、物体打击、职业病危害</w:t>
            </w:r>
          </w:p>
        </w:tc>
        <w:tc>
          <w:tcPr>
            <w:tcW w:w="1521" w:type="dxa"/>
            <w:gridSpan w:val="2"/>
            <w:tcBorders>
              <w:top w:val="nil"/>
              <w:left w:val="nil"/>
              <w:bottom w:val="single" w:color="auto" w:sz="4" w:space="0"/>
              <w:right w:val="single" w:color="auto" w:sz="4" w:space="0"/>
            </w:tcBorders>
            <w:vAlign w:val="center"/>
          </w:tcPr>
          <w:p w14:paraId="2D7B227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2E07C11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432" w:type="dxa"/>
            <w:gridSpan w:val="2"/>
            <w:tcBorders>
              <w:top w:val="nil"/>
              <w:left w:val="nil"/>
              <w:bottom w:val="single" w:color="auto" w:sz="4" w:space="0"/>
              <w:right w:val="single" w:color="auto" w:sz="4" w:space="0"/>
            </w:tcBorders>
            <w:vAlign w:val="center"/>
          </w:tcPr>
          <w:p w14:paraId="02949A2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：8</w:t>
            </w:r>
            <w:r>
              <w:rPr>
                <w:rFonts w:hint="eastAsia" w:ascii="仿宋" w:hAnsi="仿宋" w:eastAsia="仿宋" w:cs="仿宋"/>
                <w:color w:val="auto"/>
                <w:kern w:val="0"/>
                <w:sz w:val="21"/>
                <w:szCs w:val="21"/>
                <w:lang w:val="en-US" w:eastAsia="zh-CN"/>
              </w:rPr>
              <w:t>650200</w:t>
            </w:r>
            <w:r>
              <w:rPr>
                <w:rFonts w:hint="eastAsia" w:ascii="仿宋" w:hAnsi="仿宋" w:eastAsia="仿宋" w:cs="仿宋"/>
                <w:color w:val="auto"/>
                <w:kern w:val="0"/>
                <w:sz w:val="21"/>
                <w:szCs w:val="21"/>
                <w:lang w:eastAsia="zh-CN"/>
              </w:rPr>
              <w:t>、</w:t>
            </w:r>
            <w:r>
              <w:rPr>
                <w:rFonts w:hint="eastAsia" w:ascii="仿宋" w:hAnsi="仿宋" w:eastAsia="仿宋" w:cs="仿宋"/>
                <w:color w:val="auto"/>
                <w:kern w:val="0"/>
                <w:sz w:val="21"/>
                <w:szCs w:val="21"/>
              </w:rPr>
              <w:t>8</w:t>
            </w:r>
            <w:r>
              <w:rPr>
                <w:rFonts w:hint="eastAsia" w:ascii="仿宋" w:hAnsi="仿宋" w:eastAsia="仿宋" w:cs="仿宋"/>
                <w:color w:val="auto"/>
                <w:kern w:val="0"/>
                <w:sz w:val="21"/>
                <w:szCs w:val="21"/>
                <w:lang w:val="en-US" w:eastAsia="zh-CN"/>
              </w:rPr>
              <w:t>65020</w:t>
            </w:r>
            <w:r>
              <w:rPr>
                <w:rFonts w:hint="eastAsia" w:ascii="仿宋" w:hAnsi="仿宋" w:eastAsia="仿宋" w:cs="仿宋"/>
                <w:color w:val="auto"/>
                <w:kern w:val="0"/>
                <w:sz w:val="21"/>
                <w:szCs w:val="21"/>
                <w:lang w:eastAsia="zh-CN"/>
              </w:rPr>
              <w:t>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w:t>
            </w:r>
            <w:r>
              <w:rPr>
                <w:rFonts w:hint="eastAsia" w:ascii="仿宋" w:hAnsi="仿宋" w:eastAsia="仿宋" w:cs="仿宋"/>
                <w:color w:val="auto"/>
                <w:kern w:val="0"/>
                <w:sz w:val="21"/>
                <w:szCs w:val="21"/>
                <w:lang w:val="en-US" w:eastAsia="zh-CN"/>
              </w:rPr>
              <w:t>650526</w:t>
            </w:r>
            <w:r>
              <w:rPr>
                <w:rFonts w:hint="eastAsia" w:ascii="仿宋" w:hAnsi="仿宋" w:eastAsia="仿宋" w:cs="仿宋"/>
                <w:color w:val="auto"/>
                <w:kern w:val="0"/>
                <w:sz w:val="21"/>
                <w:szCs w:val="21"/>
              </w:rPr>
              <w:t xml:space="preserve"> </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00A151A5">
        <w:tblPrEx>
          <w:tblCellMar>
            <w:top w:w="0" w:type="dxa"/>
            <w:left w:w="108" w:type="dxa"/>
            <w:bottom w:w="0" w:type="dxa"/>
            <w:right w:w="108" w:type="dxa"/>
          </w:tblCellMar>
        </w:tblPrEx>
        <w:trPr>
          <w:trHeight w:val="333"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14:paraId="013BD17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953" w:type="dxa"/>
            <w:gridSpan w:val="4"/>
            <w:tcBorders>
              <w:top w:val="single" w:color="auto" w:sz="4" w:space="0"/>
              <w:left w:val="nil"/>
              <w:bottom w:val="single" w:color="auto" w:sz="4" w:space="0"/>
              <w:right w:val="single" w:color="auto" w:sz="4" w:space="0"/>
            </w:tcBorders>
            <w:vAlign w:val="center"/>
          </w:tcPr>
          <w:p w14:paraId="4AEE7CE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56E72462">
        <w:tblPrEx>
          <w:tblCellMar>
            <w:top w:w="0" w:type="dxa"/>
            <w:left w:w="108" w:type="dxa"/>
            <w:bottom w:w="0" w:type="dxa"/>
            <w:right w:w="108" w:type="dxa"/>
          </w:tblCellMar>
        </w:tblPrEx>
        <w:trPr>
          <w:trHeight w:val="308"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14:paraId="0B35472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14:paraId="018F18C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w:t>
            </w:r>
            <w:r>
              <w:rPr>
                <w:rFonts w:hint="eastAsia" w:ascii="仿宋" w:hAnsi="仿宋" w:eastAsia="仿宋" w:cs="仿宋"/>
                <w:color w:val="auto"/>
                <w:kern w:val="0"/>
                <w:sz w:val="21"/>
                <w:szCs w:val="21"/>
                <w:lang w:eastAsia="zh-CN"/>
              </w:rPr>
              <w:t>。</w:t>
            </w:r>
          </w:p>
        </w:tc>
      </w:tr>
      <w:tr w14:paraId="6A41C279">
        <w:tblPrEx>
          <w:tblCellMar>
            <w:top w:w="0" w:type="dxa"/>
            <w:left w:w="108" w:type="dxa"/>
            <w:bottom w:w="0" w:type="dxa"/>
            <w:right w:w="108" w:type="dxa"/>
          </w:tblCellMar>
        </w:tblPrEx>
        <w:trPr>
          <w:trHeight w:val="881"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14:paraId="32AD734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2.吊点、吊具不合格，人员站位不当；出现漏油、漏气现象</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14:paraId="5D38F25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2.使用合格吊点和设施，捆绑牢靠，轻装轻放，严禁在设备下方和可能倾倒的方向走动；发生漏油、漏气现象，要立即停机检查，排除故障</w:t>
            </w:r>
            <w:r>
              <w:rPr>
                <w:rFonts w:hint="eastAsia" w:ascii="仿宋" w:hAnsi="仿宋" w:eastAsia="仿宋" w:cs="仿宋"/>
                <w:color w:val="auto"/>
                <w:kern w:val="0"/>
                <w:sz w:val="21"/>
                <w:szCs w:val="21"/>
                <w:lang w:eastAsia="zh-CN"/>
              </w:rPr>
              <w:t>。</w:t>
            </w:r>
          </w:p>
        </w:tc>
      </w:tr>
      <w:tr w14:paraId="560AE695">
        <w:tblPrEx>
          <w:tblCellMar>
            <w:top w:w="0" w:type="dxa"/>
            <w:left w:w="108" w:type="dxa"/>
            <w:bottom w:w="0" w:type="dxa"/>
            <w:right w:w="108" w:type="dxa"/>
          </w:tblCellMar>
        </w:tblPrEx>
        <w:trPr>
          <w:trHeight w:val="378"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14:paraId="3EBE23E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3.登高作业不系安全带，梯子固定不牢</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14:paraId="1F400C3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3.梯子固定牢靠，佩戴好防护用具，使用好安全带</w:t>
            </w:r>
            <w:r>
              <w:rPr>
                <w:rFonts w:hint="eastAsia" w:ascii="仿宋" w:hAnsi="仿宋" w:eastAsia="仿宋" w:cs="仿宋"/>
                <w:color w:val="auto"/>
                <w:kern w:val="0"/>
                <w:sz w:val="21"/>
                <w:szCs w:val="21"/>
                <w:lang w:eastAsia="zh-CN"/>
              </w:rPr>
              <w:t>。</w:t>
            </w:r>
          </w:p>
        </w:tc>
      </w:tr>
      <w:tr w14:paraId="0C78AC87">
        <w:tblPrEx>
          <w:tblCellMar>
            <w:top w:w="0" w:type="dxa"/>
            <w:left w:w="108" w:type="dxa"/>
            <w:bottom w:w="0" w:type="dxa"/>
            <w:right w:w="108" w:type="dxa"/>
          </w:tblCellMar>
        </w:tblPrEx>
        <w:trPr>
          <w:trHeight w:val="651"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14:paraId="09872C4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4.人员靠近转动部位，护罩或遮拦等不完好</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14:paraId="7611FAC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4.保持护罩或遮拦等防护设施完好，运转时保持安全距离</w:t>
            </w:r>
            <w:r>
              <w:rPr>
                <w:rFonts w:hint="eastAsia" w:ascii="仿宋" w:hAnsi="仿宋" w:eastAsia="仿宋" w:cs="仿宋"/>
                <w:color w:val="auto"/>
                <w:kern w:val="0"/>
                <w:sz w:val="21"/>
                <w:szCs w:val="21"/>
                <w:lang w:eastAsia="zh-CN"/>
              </w:rPr>
              <w:t>。</w:t>
            </w:r>
          </w:p>
        </w:tc>
      </w:tr>
      <w:tr w14:paraId="6C9BB09E">
        <w:tblPrEx>
          <w:tblCellMar>
            <w:top w:w="0" w:type="dxa"/>
            <w:left w:w="108" w:type="dxa"/>
            <w:bottom w:w="0" w:type="dxa"/>
            <w:right w:w="108" w:type="dxa"/>
          </w:tblCellMar>
        </w:tblPrEx>
        <w:trPr>
          <w:trHeight w:val="605"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14:paraId="0D61433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5.带电的设备触电伤人</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14:paraId="6E42948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5.与带电体保持安全距离，不擅自接触电气设备，坚持使用保护接地</w:t>
            </w:r>
            <w:r>
              <w:rPr>
                <w:rFonts w:hint="eastAsia" w:ascii="仿宋" w:hAnsi="仿宋" w:eastAsia="仿宋" w:cs="仿宋"/>
                <w:color w:val="auto"/>
                <w:kern w:val="0"/>
                <w:sz w:val="21"/>
                <w:szCs w:val="21"/>
                <w:lang w:eastAsia="zh-CN"/>
              </w:rPr>
              <w:t>。</w:t>
            </w:r>
          </w:p>
        </w:tc>
      </w:tr>
      <w:tr w14:paraId="55A4F609">
        <w:tblPrEx>
          <w:tblCellMar>
            <w:top w:w="0" w:type="dxa"/>
            <w:left w:w="108" w:type="dxa"/>
            <w:bottom w:w="0" w:type="dxa"/>
            <w:right w:w="108" w:type="dxa"/>
          </w:tblCellMar>
        </w:tblPrEx>
        <w:trPr>
          <w:trHeight w:val="903"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14:paraId="1F0FD0E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6</w:t>
            </w:r>
            <w:r>
              <w:rPr>
                <w:rFonts w:hint="eastAsia" w:ascii="仿宋" w:hAnsi="仿宋" w:eastAsia="仿宋" w:cs="仿宋"/>
                <w:color w:val="auto"/>
                <w:kern w:val="0"/>
                <w:sz w:val="21"/>
                <w:szCs w:val="21"/>
              </w:rPr>
              <w:t>.处理机头、机尾故障后，启动试车前，人员未离开机头、机尾3m以外，人员在机头、机尾伸头观察。</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14:paraId="4D01E51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6</w:t>
            </w:r>
            <w:r>
              <w:rPr>
                <w:rFonts w:hint="eastAsia" w:ascii="仿宋" w:hAnsi="仿宋" w:eastAsia="仿宋" w:cs="仿宋"/>
                <w:color w:val="auto"/>
                <w:kern w:val="0"/>
                <w:sz w:val="21"/>
                <w:szCs w:val="21"/>
              </w:rPr>
              <w:t>.处理机头、机尾故障后，启动试车前，人员必须离开机头、机尾3m以外，人员严禁在机头、机尾伸头观察。</w:t>
            </w:r>
          </w:p>
        </w:tc>
      </w:tr>
      <w:tr w14:paraId="26F03D30">
        <w:tblPrEx>
          <w:tblCellMar>
            <w:top w:w="0" w:type="dxa"/>
            <w:left w:w="108" w:type="dxa"/>
            <w:bottom w:w="0" w:type="dxa"/>
            <w:right w:w="108" w:type="dxa"/>
          </w:tblCellMar>
        </w:tblPrEx>
        <w:trPr>
          <w:trHeight w:val="1796"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14:paraId="27B10C0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7.皮带卸载滚筒前2m至驱动滚筒后3m的范围内，未挂“禁止作业区域”的警示牌；皮带机头主、辅驱动滚筒的正上方，未铺设铁板或木板封闭严实，未在机头前两节大架两侧安装防护网，铁板或木板未与皮带机头大架固定牢固。</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14:paraId="06F09EC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7.皮带卸载滚筒前2m至驱动滚筒后3m的范围内，要挂“禁止作业区域”的警示牌；皮带机头主、辅驱动滚筒的正上方，铺设铁板或木板封闭严实，并在机头前两节大架两侧安装防护网，铁板或木板必须与皮带机头大架固定牢固。</w:t>
            </w:r>
          </w:p>
        </w:tc>
      </w:tr>
      <w:tr w14:paraId="2D1EAEB0">
        <w:tblPrEx>
          <w:tblCellMar>
            <w:top w:w="0" w:type="dxa"/>
            <w:left w:w="108" w:type="dxa"/>
            <w:bottom w:w="0" w:type="dxa"/>
            <w:right w:w="108" w:type="dxa"/>
          </w:tblCellMar>
        </w:tblPrEx>
        <w:trPr>
          <w:trHeight w:val="605"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14:paraId="6627E8F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8.皮带机尾滚筒两侧未安装防护栏。皮带运行时岗位工巡检时易发生意外。</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14:paraId="2019E99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8.皮带机尾滚筒两侧安装防护栏，安装固定在两侧机尾大架上，防止意外事故发生。</w:t>
            </w:r>
          </w:p>
        </w:tc>
      </w:tr>
      <w:tr w14:paraId="6977211E">
        <w:tblPrEx>
          <w:tblCellMar>
            <w:top w:w="0" w:type="dxa"/>
            <w:left w:w="108" w:type="dxa"/>
            <w:bottom w:w="0" w:type="dxa"/>
            <w:right w:w="108" w:type="dxa"/>
          </w:tblCellMar>
        </w:tblPrEx>
        <w:trPr>
          <w:trHeight w:val="1498"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14:paraId="7653874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9.皮带运行过程中换辊，更换托辊时皮带输送机未停电闭锁，作业人员未着装整齐，未做到“三紧、两不要” ，皮带运行过程中调偏未利用调偏工具进行，用身体或工具直接接触皮带的运转部位。</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14:paraId="007E325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9.皮带运行过程中严禁换辊，更换托辊时皮带输送机必须停电闭锁，作业人员必须着装整齐，做到“三紧、两不要” ，严防手臂、衣袖卷入运转的滚筒中。皮带运行过程中调偏可利用调偏工具进行，但严禁身体的任何部位或工具直接接触皮带的运转部位。</w:t>
            </w:r>
          </w:p>
        </w:tc>
      </w:tr>
      <w:tr w14:paraId="3CF52F65">
        <w:tblPrEx>
          <w:tblCellMar>
            <w:top w:w="0" w:type="dxa"/>
            <w:left w:w="108" w:type="dxa"/>
            <w:bottom w:w="0" w:type="dxa"/>
            <w:right w:w="108" w:type="dxa"/>
          </w:tblCellMar>
        </w:tblPrEx>
        <w:trPr>
          <w:trHeight w:val="903"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14:paraId="274E3DE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10.检修结束后试运转前没有执行清人制度，导致检修人员没有及时离开运转部位造成挤伤。</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14:paraId="12740FE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10.检修结束后，班组长必须清点检修人员后，方可试运转。</w:t>
            </w:r>
          </w:p>
        </w:tc>
      </w:tr>
      <w:tr w14:paraId="3FFC430A">
        <w:tblPrEx>
          <w:tblCellMar>
            <w:top w:w="0" w:type="dxa"/>
            <w:left w:w="108" w:type="dxa"/>
            <w:bottom w:w="0" w:type="dxa"/>
            <w:right w:w="108" w:type="dxa"/>
          </w:tblCellMar>
        </w:tblPrEx>
        <w:trPr>
          <w:trHeight w:val="764" w:hRule="atLeast"/>
        </w:trPr>
        <w:tc>
          <w:tcPr>
            <w:tcW w:w="1200" w:type="dxa"/>
            <w:gridSpan w:val="2"/>
            <w:tcBorders>
              <w:top w:val="nil"/>
              <w:left w:val="single" w:color="auto" w:sz="4" w:space="0"/>
              <w:bottom w:val="single" w:color="auto" w:sz="4" w:space="0"/>
              <w:right w:val="single" w:color="auto" w:sz="4" w:space="0"/>
            </w:tcBorders>
            <w:vAlign w:val="center"/>
          </w:tcPr>
          <w:p w14:paraId="3E8C038A">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70DB9513">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9225" w:type="dxa"/>
            <w:gridSpan w:val="5"/>
            <w:tcBorders>
              <w:top w:val="single" w:color="auto" w:sz="4" w:space="0"/>
              <w:left w:val="nil"/>
              <w:bottom w:val="single" w:color="auto" w:sz="4" w:space="0"/>
              <w:right w:val="single" w:color="auto" w:sz="4" w:space="0"/>
            </w:tcBorders>
            <w:vAlign w:val="center"/>
          </w:tcPr>
          <w:p w14:paraId="1952B40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136C426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3CB68345">
        <w:tblPrEx>
          <w:tblCellMar>
            <w:top w:w="0" w:type="dxa"/>
            <w:left w:w="108" w:type="dxa"/>
            <w:bottom w:w="0" w:type="dxa"/>
            <w:right w:w="108" w:type="dxa"/>
          </w:tblCellMar>
        </w:tblPrEx>
        <w:trPr>
          <w:trHeight w:val="1379" w:hRule="atLeast"/>
        </w:trPr>
        <w:tc>
          <w:tcPr>
            <w:tcW w:w="1200" w:type="dxa"/>
            <w:gridSpan w:val="2"/>
            <w:tcBorders>
              <w:top w:val="nil"/>
              <w:left w:val="single" w:color="auto" w:sz="4" w:space="0"/>
              <w:bottom w:val="single" w:color="auto" w:sz="4" w:space="0"/>
              <w:right w:val="single" w:color="auto" w:sz="4" w:space="0"/>
            </w:tcBorders>
            <w:vAlign w:val="center"/>
          </w:tcPr>
          <w:p w14:paraId="2D36996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34B39EC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169B514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9225" w:type="dxa"/>
            <w:gridSpan w:val="5"/>
            <w:tcBorders>
              <w:top w:val="single" w:color="auto" w:sz="4" w:space="0"/>
              <w:left w:val="nil"/>
              <w:bottom w:val="single" w:color="auto" w:sz="4" w:space="0"/>
              <w:right w:val="single" w:color="auto" w:sz="4" w:space="0"/>
            </w:tcBorders>
            <w:vAlign w:val="center"/>
          </w:tcPr>
          <w:p w14:paraId="6752452D">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发生事故后，严格按照“及时汇报、积极抢救、安全撤离、妥善避灾”原则进行自救、互救</w:t>
            </w:r>
            <w:r>
              <w:rPr>
                <w:rFonts w:hint="eastAsia" w:ascii="仿宋" w:hAnsi="仿宋" w:eastAsia="仿宋" w:cs="仿宋"/>
                <w:color w:val="auto"/>
                <w:kern w:val="0"/>
                <w:sz w:val="21"/>
                <w:szCs w:val="21"/>
                <w:lang w:eastAsia="zh-CN"/>
              </w:rPr>
              <w:t>。</w:t>
            </w:r>
          </w:p>
          <w:p w14:paraId="01405906">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抢救伤员时遵循“三先三后”原则，即：对窒息或心跳呼吸停止不久的伤员必须先复苏后搬运，对出血伤员必须先止血后搬运，对骨折伤员先固定后搬运</w:t>
            </w:r>
            <w:r>
              <w:rPr>
                <w:rFonts w:hint="eastAsia" w:ascii="仿宋" w:hAnsi="仿宋" w:eastAsia="仿宋" w:cs="仿宋"/>
                <w:color w:val="auto"/>
                <w:kern w:val="0"/>
                <w:sz w:val="21"/>
                <w:szCs w:val="21"/>
                <w:lang w:eastAsia="zh-CN"/>
              </w:rPr>
              <w:t>。</w:t>
            </w:r>
          </w:p>
          <w:p w14:paraId="63428F7D">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200" w:right="0" w:rightChars="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3.熟悉全矿井巷道布置情况，牢记避灾路线</w:t>
            </w:r>
            <w:r>
              <w:rPr>
                <w:rFonts w:hint="eastAsia" w:ascii="仿宋" w:hAnsi="仿宋" w:eastAsia="仿宋" w:cs="仿宋"/>
                <w:color w:val="auto"/>
                <w:kern w:val="0"/>
                <w:sz w:val="21"/>
                <w:szCs w:val="21"/>
                <w:lang w:eastAsia="zh-CN"/>
              </w:rPr>
              <w:t>。</w:t>
            </w:r>
          </w:p>
        </w:tc>
      </w:tr>
      <w:tr w14:paraId="1B037F15">
        <w:tblPrEx>
          <w:tblCellMar>
            <w:top w:w="0" w:type="dxa"/>
            <w:left w:w="108" w:type="dxa"/>
            <w:bottom w:w="0" w:type="dxa"/>
            <w:right w:w="108" w:type="dxa"/>
          </w:tblCellMar>
        </w:tblPrEx>
        <w:trPr>
          <w:gridBefore w:val="1"/>
          <w:gridAfter w:val="1"/>
          <w:wBefore w:w="937" w:type="dxa"/>
          <w:wAfter w:w="413" w:type="dxa"/>
          <w:trHeight w:val="744" w:hRule="atLeast"/>
        </w:trPr>
        <w:tc>
          <w:tcPr>
            <w:tcW w:w="9075" w:type="dxa"/>
            <w:gridSpan w:val="5"/>
            <w:tcBorders>
              <w:top w:val="single" w:color="auto" w:sz="4" w:space="0"/>
              <w:left w:val="single" w:color="auto" w:sz="4" w:space="0"/>
              <w:bottom w:val="single" w:color="auto" w:sz="4" w:space="0"/>
              <w:right w:val="single" w:color="auto" w:sz="4" w:space="0"/>
            </w:tcBorders>
            <w:vAlign w:val="center"/>
          </w:tcPr>
          <w:p w14:paraId="79B0BE80">
            <w:pPr>
              <w:keepNext w:val="0"/>
              <w:keepLines w:val="0"/>
              <w:pageBreakBefore w:val="0"/>
              <w:widowControl/>
              <w:suppressLineNumbers w:val="0"/>
              <w:kinsoku/>
              <w:wordWrap/>
              <w:overflowPunct/>
              <w:topLinePunct w:val="0"/>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维修工安全提示卡</w:t>
            </w:r>
          </w:p>
        </w:tc>
      </w:tr>
      <w:tr w14:paraId="7CAB2D85">
        <w:tblPrEx>
          <w:tblCellMar>
            <w:top w:w="0" w:type="dxa"/>
            <w:left w:w="108" w:type="dxa"/>
            <w:bottom w:w="0" w:type="dxa"/>
            <w:right w:w="108" w:type="dxa"/>
          </w:tblCellMar>
        </w:tblPrEx>
        <w:trPr>
          <w:gridBefore w:val="1"/>
          <w:gridAfter w:val="1"/>
          <w:wBefore w:w="937" w:type="dxa"/>
          <w:wAfter w:w="413" w:type="dxa"/>
          <w:trHeight w:val="583" w:hRule="atLeast"/>
        </w:trPr>
        <w:tc>
          <w:tcPr>
            <w:tcW w:w="4701" w:type="dxa"/>
            <w:gridSpan w:val="3"/>
            <w:tcBorders>
              <w:top w:val="single" w:color="auto" w:sz="4" w:space="0"/>
              <w:left w:val="single" w:color="auto" w:sz="4" w:space="0"/>
              <w:bottom w:val="single" w:color="auto" w:sz="4" w:space="0"/>
              <w:right w:val="single" w:color="auto" w:sz="4" w:space="0"/>
            </w:tcBorders>
            <w:vAlign w:val="center"/>
          </w:tcPr>
          <w:p w14:paraId="746FE6B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操作前检查</w:t>
            </w:r>
          </w:p>
        </w:tc>
        <w:tc>
          <w:tcPr>
            <w:tcW w:w="4374" w:type="dxa"/>
            <w:gridSpan w:val="2"/>
            <w:tcBorders>
              <w:top w:val="single" w:color="auto" w:sz="4" w:space="0"/>
              <w:left w:val="nil"/>
              <w:bottom w:val="single" w:color="auto" w:sz="4" w:space="0"/>
              <w:right w:val="single" w:color="auto" w:sz="4" w:space="0"/>
            </w:tcBorders>
            <w:vAlign w:val="center"/>
          </w:tcPr>
          <w:p w14:paraId="63E5958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操作后确认</w:t>
            </w:r>
          </w:p>
        </w:tc>
      </w:tr>
      <w:tr w14:paraId="40E6C99D">
        <w:tblPrEx>
          <w:tblCellMar>
            <w:top w:w="0" w:type="dxa"/>
            <w:left w:w="108" w:type="dxa"/>
            <w:bottom w:w="0" w:type="dxa"/>
            <w:right w:w="108" w:type="dxa"/>
          </w:tblCellMar>
        </w:tblPrEx>
        <w:trPr>
          <w:gridBefore w:val="1"/>
          <w:gridAfter w:val="1"/>
          <w:wBefore w:w="937" w:type="dxa"/>
          <w:wAfter w:w="413" w:type="dxa"/>
          <w:trHeight w:val="589" w:hRule="atLeast"/>
        </w:trPr>
        <w:tc>
          <w:tcPr>
            <w:tcW w:w="4701" w:type="dxa"/>
            <w:gridSpan w:val="3"/>
            <w:tcBorders>
              <w:top w:val="nil"/>
              <w:left w:val="single" w:color="auto" w:sz="4" w:space="0"/>
              <w:bottom w:val="single" w:color="auto" w:sz="4" w:space="0"/>
              <w:right w:val="single" w:color="auto" w:sz="4" w:space="0"/>
            </w:tcBorders>
            <w:vAlign w:val="center"/>
          </w:tcPr>
          <w:p w14:paraId="3B841DA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1.顶帮（井上作业无此项）</w:t>
            </w:r>
          </w:p>
        </w:tc>
        <w:tc>
          <w:tcPr>
            <w:tcW w:w="4374" w:type="dxa"/>
            <w:gridSpan w:val="2"/>
            <w:tcBorders>
              <w:top w:val="single" w:color="auto" w:sz="4" w:space="0"/>
              <w:left w:val="single" w:color="auto" w:sz="4" w:space="0"/>
              <w:bottom w:val="single" w:color="auto" w:sz="4" w:space="0"/>
              <w:right w:val="single" w:color="auto" w:sz="4" w:space="0"/>
            </w:tcBorders>
            <w:vAlign w:val="center"/>
          </w:tcPr>
          <w:p w14:paraId="49B4253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★1.零部件、连接</w:t>
            </w:r>
          </w:p>
        </w:tc>
      </w:tr>
      <w:tr w14:paraId="688275BA">
        <w:tblPrEx>
          <w:tblCellMar>
            <w:top w:w="0" w:type="dxa"/>
            <w:left w:w="108" w:type="dxa"/>
            <w:bottom w:w="0" w:type="dxa"/>
            <w:right w:w="108" w:type="dxa"/>
          </w:tblCellMar>
        </w:tblPrEx>
        <w:trPr>
          <w:gridBefore w:val="1"/>
          <w:gridAfter w:val="1"/>
          <w:wBefore w:w="937" w:type="dxa"/>
          <w:wAfter w:w="413" w:type="dxa"/>
          <w:trHeight w:val="546" w:hRule="atLeast"/>
        </w:trPr>
        <w:tc>
          <w:tcPr>
            <w:tcW w:w="4701" w:type="dxa"/>
            <w:gridSpan w:val="3"/>
            <w:tcBorders>
              <w:top w:val="nil"/>
              <w:left w:val="single" w:color="auto" w:sz="4" w:space="0"/>
              <w:bottom w:val="single" w:color="auto" w:sz="4" w:space="0"/>
              <w:right w:val="single" w:color="auto" w:sz="4" w:space="0"/>
            </w:tcBorders>
            <w:vAlign w:val="center"/>
          </w:tcPr>
          <w:p w14:paraId="2468229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2.防护用品</w:t>
            </w:r>
          </w:p>
        </w:tc>
        <w:tc>
          <w:tcPr>
            <w:tcW w:w="4374" w:type="dxa"/>
            <w:gridSpan w:val="2"/>
            <w:tcBorders>
              <w:top w:val="single" w:color="auto" w:sz="4" w:space="0"/>
              <w:left w:val="single" w:color="auto" w:sz="4" w:space="0"/>
              <w:bottom w:val="single" w:color="000000" w:sz="4" w:space="0"/>
              <w:right w:val="single" w:color="auto" w:sz="4" w:space="0"/>
            </w:tcBorders>
            <w:vAlign w:val="center"/>
          </w:tcPr>
          <w:p w14:paraId="66847A2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2.工具、材料</w:t>
            </w:r>
          </w:p>
        </w:tc>
      </w:tr>
      <w:tr w14:paraId="4CBCC41A">
        <w:tblPrEx>
          <w:tblCellMar>
            <w:top w:w="0" w:type="dxa"/>
            <w:left w:w="108" w:type="dxa"/>
            <w:bottom w:w="0" w:type="dxa"/>
            <w:right w:w="108" w:type="dxa"/>
          </w:tblCellMar>
        </w:tblPrEx>
        <w:trPr>
          <w:gridBefore w:val="1"/>
          <w:gridAfter w:val="1"/>
          <w:wBefore w:w="937" w:type="dxa"/>
          <w:wAfter w:w="413" w:type="dxa"/>
          <w:trHeight w:val="595" w:hRule="atLeast"/>
        </w:trPr>
        <w:tc>
          <w:tcPr>
            <w:tcW w:w="4701" w:type="dxa"/>
            <w:gridSpan w:val="3"/>
            <w:tcBorders>
              <w:top w:val="nil"/>
              <w:left w:val="single" w:color="auto" w:sz="4" w:space="0"/>
              <w:bottom w:val="single" w:color="auto" w:sz="4" w:space="0"/>
              <w:right w:val="single" w:color="auto" w:sz="4" w:space="0"/>
            </w:tcBorders>
            <w:vAlign w:val="center"/>
          </w:tcPr>
          <w:p w14:paraId="45B0ED1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3.工具、材料</w:t>
            </w:r>
          </w:p>
        </w:tc>
        <w:tc>
          <w:tcPr>
            <w:tcW w:w="4374" w:type="dxa"/>
            <w:gridSpan w:val="2"/>
            <w:tcBorders>
              <w:top w:val="nil"/>
              <w:left w:val="nil"/>
              <w:bottom w:val="single" w:color="auto" w:sz="4" w:space="0"/>
              <w:right w:val="single" w:color="auto" w:sz="4" w:space="0"/>
            </w:tcBorders>
            <w:vAlign w:val="center"/>
          </w:tcPr>
          <w:p w14:paraId="65584AF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p>
        </w:tc>
      </w:tr>
      <w:tr w14:paraId="064AA634">
        <w:tblPrEx>
          <w:tblCellMar>
            <w:top w:w="0" w:type="dxa"/>
            <w:left w:w="108" w:type="dxa"/>
            <w:bottom w:w="0" w:type="dxa"/>
            <w:right w:w="108" w:type="dxa"/>
          </w:tblCellMar>
        </w:tblPrEx>
        <w:trPr>
          <w:gridBefore w:val="1"/>
          <w:gridAfter w:val="1"/>
          <w:wBefore w:w="937" w:type="dxa"/>
          <w:wAfter w:w="413" w:type="dxa"/>
          <w:trHeight w:val="591" w:hRule="atLeast"/>
        </w:trPr>
        <w:tc>
          <w:tcPr>
            <w:tcW w:w="4701" w:type="dxa"/>
            <w:gridSpan w:val="3"/>
            <w:tcBorders>
              <w:top w:val="nil"/>
              <w:left w:val="single" w:color="auto" w:sz="4" w:space="0"/>
              <w:bottom w:val="single" w:color="auto" w:sz="4" w:space="0"/>
              <w:right w:val="single" w:color="auto" w:sz="4" w:space="0"/>
            </w:tcBorders>
            <w:vAlign w:val="center"/>
          </w:tcPr>
          <w:p w14:paraId="4E88277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★4.站位</w:t>
            </w:r>
          </w:p>
        </w:tc>
        <w:tc>
          <w:tcPr>
            <w:tcW w:w="4374" w:type="dxa"/>
            <w:gridSpan w:val="2"/>
            <w:tcBorders>
              <w:top w:val="nil"/>
              <w:left w:val="nil"/>
              <w:bottom w:val="single" w:color="auto" w:sz="4" w:space="0"/>
              <w:right w:val="single" w:color="auto" w:sz="4" w:space="0"/>
            </w:tcBorders>
            <w:vAlign w:val="center"/>
          </w:tcPr>
          <w:p w14:paraId="79A2922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p>
        </w:tc>
      </w:tr>
      <w:tr w14:paraId="00204890">
        <w:tblPrEx>
          <w:tblCellMar>
            <w:top w:w="0" w:type="dxa"/>
            <w:left w:w="108" w:type="dxa"/>
            <w:bottom w:w="0" w:type="dxa"/>
            <w:right w:w="108" w:type="dxa"/>
          </w:tblCellMar>
        </w:tblPrEx>
        <w:trPr>
          <w:gridBefore w:val="1"/>
          <w:gridAfter w:val="1"/>
          <w:wBefore w:w="937" w:type="dxa"/>
          <w:wAfter w:w="413" w:type="dxa"/>
          <w:trHeight w:val="865" w:hRule="atLeast"/>
        </w:trPr>
        <w:tc>
          <w:tcPr>
            <w:tcW w:w="9075" w:type="dxa"/>
            <w:gridSpan w:val="5"/>
            <w:tcBorders>
              <w:top w:val="single" w:color="auto" w:sz="4" w:space="0"/>
              <w:left w:val="single" w:color="auto" w:sz="4" w:space="0"/>
              <w:bottom w:val="single" w:color="auto" w:sz="4" w:space="0"/>
              <w:right w:val="single" w:color="auto" w:sz="4" w:space="0"/>
            </w:tcBorders>
            <w:vAlign w:val="center"/>
          </w:tcPr>
          <w:p w14:paraId="04D7B20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11" w:firstLineChars="196"/>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注：第一次按操作前内容逐项检查并确认，存在问题整改后再确认；中间再次操作只检查带“★”部分；任务全部结束后按操作后内容逐项检查并确认。</w:t>
            </w:r>
          </w:p>
        </w:tc>
      </w:tr>
    </w:tbl>
    <w:tbl>
      <w:tblPr>
        <w:tblStyle w:val="12"/>
        <w:tblpPr w:leftFromText="180" w:rightFromText="180" w:vertAnchor="text" w:horzAnchor="page" w:tblpXSpec="center" w:tblpY="573"/>
        <w:tblOverlap w:val="never"/>
        <w:tblW w:w="91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30"/>
      </w:tblGrid>
      <w:tr w14:paraId="38342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9130" w:type="dxa"/>
            <w:vAlign w:val="center"/>
          </w:tcPr>
          <w:p w14:paraId="1EC42C1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color w:val="auto"/>
                <w:kern w:val="0"/>
                <w:sz w:val="21"/>
                <w:szCs w:val="21"/>
                <w:lang w:val="en-US" w:eastAsia="zh-CN"/>
              </w:rPr>
            </w:pPr>
            <w:r>
              <w:rPr>
                <w:rFonts w:hint="eastAsia" w:ascii="仿宋" w:hAnsi="仿宋" w:eastAsia="仿宋" w:cs="仿宋"/>
                <w:b w:val="0"/>
                <w:bCs w:val="0"/>
                <w:color w:val="auto"/>
                <w:kern w:val="0"/>
                <w:sz w:val="21"/>
                <w:szCs w:val="21"/>
                <w:lang w:eastAsia="zh-CN"/>
              </w:rPr>
              <w:t>机电</w:t>
            </w:r>
            <w:r>
              <w:rPr>
                <w:rFonts w:hint="eastAsia" w:ascii="仿宋" w:hAnsi="仿宋" w:eastAsia="仿宋" w:cs="仿宋"/>
                <w:b w:val="0"/>
                <w:bCs w:val="0"/>
                <w:color w:val="auto"/>
                <w:kern w:val="0"/>
                <w:sz w:val="21"/>
                <w:szCs w:val="21"/>
                <w:lang w:val="en-US" w:eastAsia="zh-CN"/>
              </w:rPr>
              <w:t>维修</w:t>
            </w:r>
            <w:r>
              <w:rPr>
                <w:rFonts w:hint="eastAsia" w:ascii="仿宋" w:hAnsi="仿宋" w:eastAsia="仿宋" w:cs="仿宋"/>
                <w:b w:val="0"/>
                <w:bCs w:val="0"/>
                <w:color w:val="auto"/>
                <w:kern w:val="0"/>
                <w:sz w:val="21"/>
                <w:szCs w:val="21"/>
                <w:lang w:eastAsia="zh-CN"/>
              </w:rPr>
              <w:t>工</w:t>
            </w:r>
            <w:r>
              <w:rPr>
                <w:rFonts w:hint="eastAsia" w:ascii="仿宋" w:hAnsi="仿宋" w:eastAsia="仿宋" w:cs="仿宋"/>
                <w:b w:val="0"/>
                <w:bCs w:val="0"/>
                <w:color w:val="auto"/>
                <w:kern w:val="0"/>
                <w:sz w:val="21"/>
                <w:szCs w:val="21"/>
              </w:rPr>
              <w:t>单元检查表</w:t>
            </w:r>
          </w:p>
        </w:tc>
      </w:tr>
      <w:tr w14:paraId="38984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14:paraId="1FC4F02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1.</w:t>
            </w:r>
            <w:r>
              <w:rPr>
                <w:rFonts w:hint="eastAsia" w:ascii="仿宋" w:hAnsi="仿宋" w:eastAsia="仿宋" w:cs="仿宋"/>
                <w:b w:val="0"/>
                <w:bCs/>
                <w:color w:val="auto"/>
                <w:kern w:val="0"/>
                <w:sz w:val="21"/>
                <w:szCs w:val="21"/>
                <w:lang w:val="en-US" w:eastAsia="zh-CN"/>
              </w:rPr>
              <w:t>检查设备是否完好</w:t>
            </w:r>
          </w:p>
        </w:tc>
      </w:tr>
      <w:tr w14:paraId="7A3C5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14:paraId="362D0C1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2.</w:t>
            </w:r>
            <w:r>
              <w:rPr>
                <w:rFonts w:hint="eastAsia" w:ascii="仿宋" w:hAnsi="仿宋" w:eastAsia="仿宋" w:cs="仿宋"/>
                <w:b w:val="0"/>
                <w:bCs/>
                <w:color w:val="auto"/>
                <w:kern w:val="0"/>
                <w:sz w:val="21"/>
                <w:szCs w:val="21"/>
                <w:lang w:val="en-US" w:eastAsia="zh-CN"/>
              </w:rPr>
              <w:t>检查</w:t>
            </w:r>
            <w:r>
              <w:rPr>
                <w:rFonts w:hint="eastAsia" w:ascii="仿宋" w:hAnsi="仿宋" w:eastAsia="仿宋" w:cs="仿宋"/>
                <w:b w:val="0"/>
                <w:bCs/>
                <w:color w:val="auto"/>
                <w:kern w:val="0"/>
                <w:sz w:val="21"/>
                <w:szCs w:val="21"/>
                <w:lang w:eastAsia="zh-CN"/>
              </w:rPr>
              <w:t>减速机油量、</w:t>
            </w:r>
            <w:r>
              <w:rPr>
                <w:rFonts w:hint="eastAsia" w:ascii="仿宋" w:hAnsi="仿宋" w:eastAsia="仿宋" w:cs="仿宋"/>
                <w:b w:val="0"/>
                <w:bCs/>
                <w:color w:val="auto"/>
                <w:kern w:val="0"/>
                <w:sz w:val="21"/>
                <w:szCs w:val="21"/>
                <w:lang w:val="en-US" w:eastAsia="zh-CN"/>
              </w:rPr>
              <w:t>液压站油量、油温是否正常</w:t>
            </w:r>
          </w:p>
        </w:tc>
      </w:tr>
      <w:tr w14:paraId="2AC8F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14:paraId="3C8E280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3.</w:t>
            </w:r>
            <w:r>
              <w:rPr>
                <w:rFonts w:hint="eastAsia" w:ascii="仿宋" w:hAnsi="仿宋" w:eastAsia="仿宋" w:cs="仿宋"/>
                <w:b w:val="0"/>
                <w:bCs/>
                <w:color w:val="auto"/>
                <w:kern w:val="0"/>
                <w:sz w:val="21"/>
                <w:szCs w:val="21"/>
                <w:lang w:val="en-US" w:eastAsia="zh-CN"/>
              </w:rPr>
              <w:t>检查输油管路是否完好</w:t>
            </w:r>
          </w:p>
        </w:tc>
      </w:tr>
      <w:tr w14:paraId="22C0E5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14:paraId="524047E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4.</w:t>
            </w:r>
            <w:r>
              <w:rPr>
                <w:rFonts w:hint="eastAsia" w:ascii="仿宋" w:hAnsi="仿宋" w:eastAsia="仿宋" w:cs="仿宋"/>
                <w:b w:val="0"/>
                <w:bCs/>
                <w:color w:val="auto"/>
                <w:kern w:val="0"/>
                <w:sz w:val="21"/>
                <w:szCs w:val="21"/>
                <w:lang w:val="en-US" w:eastAsia="zh-CN"/>
              </w:rPr>
              <w:t>检查盘型闸间隙是否在规定范围内</w:t>
            </w:r>
          </w:p>
        </w:tc>
      </w:tr>
      <w:tr w14:paraId="29DA2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14:paraId="09F14DE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5.</w:t>
            </w:r>
            <w:r>
              <w:rPr>
                <w:rFonts w:hint="eastAsia" w:ascii="仿宋" w:hAnsi="仿宋" w:eastAsia="仿宋" w:cs="仿宋"/>
                <w:b w:val="0"/>
                <w:bCs/>
                <w:color w:val="auto"/>
                <w:kern w:val="0"/>
                <w:sz w:val="21"/>
                <w:szCs w:val="21"/>
                <w:lang w:val="en-US" w:eastAsia="zh-CN"/>
              </w:rPr>
              <w:t>检查</w:t>
            </w:r>
            <w:r>
              <w:rPr>
                <w:rFonts w:hint="eastAsia" w:ascii="仿宋" w:hAnsi="仿宋" w:eastAsia="仿宋" w:cs="仿宋"/>
                <w:b w:val="0"/>
                <w:bCs/>
                <w:color w:val="auto"/>
                <w:kern w:val="0"/>
                <w:sz w:val="21"/>
                <w:szCs w:val="21"/>
                <w:lang w:eastAsia="zh-CN"/>
              </w:rPr>
              <w:t>张紧</w:t>
            </w:r>
            <w:r>
              <w:rPr>
                <w:rFonts w:hint="eastAsia" w:ascii="仿宋" w:hAnsi="仿宋" w:eastAsia="仿宋" w:cs="仿宋"/>
                <w:b w:val="0"/>
                <w:bCs/>
                <w:color w:val="auto"/>
                <w:kern w:val="0"/>
                <w:sz w:val="21"/>
                <w:szCs w:val="21"/>
                <w:lang w:val="en-US" w:eastAsia="zh-CN"/>
              </w:rPr>
              <w:t>钢丝绳情况</w:t>
            </w:r>
          </w:p>
        </w:tc>
      </w:tr>
      <w:tr w14:paraId="4799A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14:paraId="37B2698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6.</w:t>
            </w:r>
            <w:r>
              <w:rPr>
                <w:rFonts w:hint="eastAsia" w:ascii="仿宋" w:hAnsi="仿宋" w:eastAsia="仿宋" w:cs="仿宋"/>
                <w:b w:val="0"/>
                <w:bCs/>
                <w:color w:val="auto"/>
                <w:kern w:val="0"/>
                <w:sz w:val="21"/>
                <w:szCs w:val="21"/>
                <w:lang w:val="en-US" w:eastAsia="zh-CN"/>
              </w:rPr>
              <w:t>检查</w:t>
            </w:r>
            <w:r>
              <w:rPr>
                <w:rFonts w:hint="eastAsia" w:ascii="仿宋" w:hAnsi="仿宋" w:eastAsia="仿宋" w:cs="仿宋"/>
                <w:b w:val="0"/>
                <w:bCs/>
                <w:color w:val="auto"/>
                <w:kern w:val="0"/>
                <w:sz w:val="21"/>
                <w:szCs w:val="21"/>
                <w:lang w:eastAsia="zh-CN"/>
              </w:rPr>
              <w:t>滚筒</w:t>
            </w:r>
            <w:r>
              <w:rPr>
                <w:rFonts w:hint="eastAsia" w:ascii="仿宋" w:hAnsi="仿宋" w:eastAsia="仿宋" w:cs="仿宋"/>
                <w:b w:val="0"/>
                <w:bCs/>
                <w:color w:val="auto"/>
                <w:kern w:val="0"/>
                <w:sz w:val="21"/>
                <w:szCs w:val="21"/>
                <w:lang w:val="en-US" w:eastAsia="zh-CN"/>
              </w:rPr>
              <w:t>情况</w:t>
            </w:r>
          </w:p>
        </w:tc>
      </w:tr>
      <w:tr w14:paraId="24FB4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14:paraId="7359EE5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7.</w:t>
            </w:r>
            <w:r>
              <w:rPr>
                <w:rFonts w:hint="eastAsia" w:ascii="仿宋" w:hAnsi="仿宋" w:eastAsia="仿宋" w:cs="仿宋"/>
                <w:b w:val="0"/>
                <w:bCs/>
                <w:color w:val="auto"/>
                <w:kern w:val="0"/>
                <w:sz w:val="21"/>
                <w:szCs w:val="21"/>
                <w:lang w:val="en-US" w:eastAsia="zh-CN"/>
              </w:rPr>
              <w:t>检查现场标准化是否完好</w:t>
            </w:r>
          </w:p>
        </w:tc>
      </w:tr>
      <w:tr w14:paraId="4A88CD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8" w:hRule="atLeast"/>
          <w:jc w:val="center"/>
        </w:trPr>
        <w:tc>
          <w:tcPr>
            <w:tcW w:w="9130" w:type="dxa"/>
            <w:vAlign w:val="center"/>
          </w:tcPr>
          <w:p w14:paraId="3B253E5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default"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rPr>
              <w:t>注：</w:t>
            </w:r>
            <w:r>
              <w:rPr>
                <w:rFonts w:hint="default" w:ascii="仿宋" w:hAnsi="仿宋" w:eastAsia="仿宋" w:cs="仿宋"/>
                <w:b w:val="0"/>
                <w:bCs/>
                <w:color w:val="auto"/>
                <w:kern w:val="0"/>
                <w:sz w:val="21"/>
                <w:szCs w:val="21"/>
                <w:lang w:eastAsia="zh-CN"/>
              </w:rPr>
              <w:t>1.</w:t>
            </w:r>
            <w:r>
              <w:rPr>
                <w:rFonts w:hint="eastAsia" w:ascii="仿宋" w:hAnsi="仿宋" w:eastAsia="仿宋" w:cs="仿宋"/>
                <w:b w:val="0"/>
                <w:bCs/>
                <w:color w:val="auto"/>
                <w:kern w:val="0"/>
                <w:sz w:val="21"/>
                <w:szCs w:val="21"/>
              </w:rPr>
              <w:t>患有高血压、心脏病、</w:t>
            </w:r>
            <w:r>
              <w:rPr>
                <w:rFonts w:hint="eastAsia" w:ascii="仿宋" w:hAnsi="仿宋" w:eastAsia="仿宋" w:cs="仿宋"/>
                <w:b w:val="0"/>
                <w:bCs/>
                <w:color w:val="auto"/>
                <w:kern w:val="0"/>
                <w:sz w:val="21"/>
                <w:szCs w:val="21"/>
                <w:lang w:val="en-US" w:eastAsia="zh-CN"/>
              </w:rPr>
              <w:t>癫痫病、恐高症、</w:t>
            </w:r>
            <w:r>
              <w:rPr>
                <w:rFonts w:hint="eastAsia" w:ascii="仿宋" w:hAnsi="仿宋" w:eastAsia="仿宋" w:cs="仿宋"/>
                <w:b w:val="0"/>
                <w:bCs/>
                <w:color w:val="auto"/>
                <w:kern w:val="0"/>
                <w:sz w:val="21"/>
                <w:szCs w:val="21"/>
              </w:rPr>
              <w:t>听力障碍等疾病的人，不得从事机电</w:t>
            </w:r>
            <w:r>
              <w:rPr>
                <w:rFonts w:hint="eastAsia" w:ascii="仿宋" w:hAnsi="仿宋" w:eastAsia="仿宋" w:cs="仿宋"/>
                <w:b w:val="0"/>
                <w:bCs/>
                <w:color w:val="auto"/>
                <w:kern w:val="0"/>
                <w:sz w:val="21"/>
                <w:szCs w:val="21"/>
                <w:lang w:val="en-US" w:eastAsia="zh-CN"/>
              </w:rPr>
              <w:t>设备维修工</w:t>
            </w:r>
            <w:r>
              <w:rPr>
                <w:rFonts w:hint="eastAsia" w:ascii="仿宋" w:hAnsi="仿宋" w:eastAsia="仿宋" w:cs="仿宋"/>
                <w:b w:val="0"/>
                <w:bCs/>
                <w:color w:val="auto"/>
                <w:kern w:val="0"/>
                <w:sz w:val="21"/>
                <w:szCs w:val="21"/>
              </w:rPr>
              <w:t>作业。</w:t>
            </w:r>
          </w:p>
          <w:p w14:paraId="391EC75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rPr>
              <w:t>2.</w:t>
            </w:r>
            <w:r>
              <w:rPr>
                <w:rFonts w:hint="eastAsia" w:ascii="仿宋" w:hAnsi="仿宋" w:eastAsia="仿宋" w:cs="仿宋"/>
                <w:b w:val="0"/>
                <w:bCs/>
                <w:color w:val="auto"/>
                <w:kern w:val="0"/>
                <w:sz w:val="21"/>
                <w:szCs w:val="21"/>
                <w:lang w:val="en-US" w:eastAsia="zh-CN"/>
              </w:rPr>
              <w:t>从事</w:t>
            </w:r>
            <w:r>
              <w:rPr>
                <w:rFonts w:hint="eastAsia" w:ascii="仿宋" w:hAnsi="仿宋" w:eastAsia="仿宋" w:cs="仿宋"/>
                <w:b w:val="0"/>
                <w:bCs/>
                <w:color w:val="auto"/>
                <w:kern w:val="0"/>
                <w:sz w:val="21"/>
                <w:szCs w:val="21"/>
                <w:lang w:eastAsia="zh-CN"/>
              </w:rPr>
              <w:t>机电</w:t>
            </w:r>
            <w:r>
              <w:rPr>
                <w:rFonts w:hint="eastAsia" w:ascii="仿宋" w:hAnsi="仿宋" w:eastAsia="仿宋" w:cs="仿宋"/>
                <w:b w:val="0"/>
                <w:bCs/>
                <w:color w:val="auto"/>
                <w:kern w:val="0"/>
                <w:sz w:val="21"/>
                <w:szCs w:val="21"/>
                <w:lang w:val="en-US" w:eastAsia="zh-CN"/>
              </w:rPr>
              <w:t>维修</w:t>
            </w:r>
            <w:r>
              <w:rPr>
                <w:rFonts w:hint="eastAsia" w:ascii="仿宋" w:hAnsi="仿宋" w:eastAsia="仿宋" w:cs="仿宋"/>
                <w:b w:val="0"/>
                <w:bCs/>
                <w:color w:val="auto"/>
                <w:kern w:val="0"/>
                <w:sz w:val="21"/>
                <w:szCs w:val="21"/>
              </w:rPr>
              <w:t>作业人员，经过安全技术培训和考试合格，取得</w:t>
            </w:r>
            <w:r>
              <w:rPr>
                <w:rFonts w:hint="eastAsia" w:ascii="仿宋" w:hAnsi="仿宋" w:eastAsia="仿宋" w:cs="仿宋"/>
                <w:b w:val="0"/>
                <w:bCs/>
                <w:color w:val="auto"/>
                <w:kern w:val="0"/>
                <w:sz w:val="21"/>
                <w:szCs w:val="21"/>
                <w:lang w:val="en-US" w:eastAsia="zh-CN"/>
              </w:rPr>
              <w:t>资格证书</w:t>
            </w:r>
            <w:r>
              <w:rPr>
                <w:rFonts w:hint="eastAsia" w:ascii="仿宋" w:hAnsi="仿宋" w:eastAsia="仿宋" w:cs="仿宋"/>
                <w:b w:val="0"/>
                <w:bCs/>
                <w:color w:val="auto"/>
                <w:kern w:val="0"/>
                <w:sz w:val="21"/>
                <w:szCs w:val="21"/>
              </w:rPr>
              <w:t>，方可进行上岗作业。</w:t>
            </w:r>
          </w:p>
        </w:tc>
      </w:tr>
    </w:tbl>
    <w:tbl>
      <w:tblPr>
        <w:tblStyle w:val="12"/>
        <w:tblpPr w:leftFromText="180" w:rightFromText="180" w:vertAnchor="text" w:horzAnchor="page" w:tblpX="1492" w:tblpY="6451"/>
        <w:tblOverlap w:val="never"/>
        <w:tblW w:w="9120" w:type="dxa"/>
        <w:tblInd w:w="0" w:type="dxa"/>
        <w:tblLayout w:type="fixed"/>
        <w:tblCellMar>
          <w:top w:w="0" w:type="dxa"/>
          <w:left w:w="108" w:type="dxa"/>
          <w:bottom w:w="0" w:type="dxa"/>
          <w:right w:w="108" w:type="dxa"/>
        </w:tblCellMar>
      </w:tblPr>
      <w:tblGrid>
        <w:gridCol w:w="733"/>
        <w:gridCol w:w="1621"/>
        <w:gridCol w:w="6766"/>
      </w:tblGrid>
      <w:tr w14:paraId="146C496C">
        <w:tblPrEx>
          <w:tblCellMar>
            <w:top w:w="0" w:type="dxa"/>
            <w:left w:w="108" w:type="dxa"/>
            <w:bottom w:w="0" w:type="dxa"/>
            <w:right w:w="108" w:type="dxa"/>
          </w:tblCellMar>
        </w:tblPrEx>
        <w:trPr>
          <w:trHeight w:val="359" w:hRule="atLeast"/>
        </w:trPr>
        <w:tc>
          <w:tcPr>
            <w:tcW w:w="9120" w:type="dxa"/>
            <w:gridSpan w:val="3"/>
            <w:tcBorders>
              <w:top w:val="single" w:color="auto" w:sz="4" w:space="0"/>
              <w:left w:val="single" w:color="auto" w:sz="4" w:space="0"/>
              <w:bottom w:val="single" w:color="auto" w:sz="4" w:space="0"/>
              <w:right w:val="single" w:color="auto" w:sz="4" w:space="0"/>
            </w:tcBorders>
            <w:vAlign w:val="center"/>
          </w:tcPr>
          <w:p w14:paraId="13A76B1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eastAsia="zh-CN"/>
              </w:rPr>
              <w:t>机电</w:t>
            </w:r>
            <w:r>
              <w:rPr>
                <w:rFonts w:hint="eastAsia" w:ascii="仿宋" w:hAnsi="仿宋" w:eastAsia="仿宋" w:cs="仿宋"/>
                <w:b/>
                <w:bCs/>
                <w:color w:val="auto"/>
                <w:kern w:val="0"/>
                <w:sz w:val="21"/>
                <w:szCs w:val="21"/>
                <w:lang w:val="en-US" w:eastAsia="zh-CN"/>
              </w:rPr>
              <w:t>维修工</w:t>
            </w:r>
            <w:r>
              <w:rPr>
                <w:rFonts w:hint="eastAsia" w:ascii="仿宋" w:hAnsi="仿宋" w:eastAsia="仿宋" w:cs="仿宋"/>
                <w:b/>
                <w:bCs/>
                <w:color w:val="auto"/>
                <w:kern w:val="0"/>
                <w:sz w:val="21"/>
                <w:szCs w:val="21"/>
              </w:rPr>
              <w:t>操作过程注意事项</w:t>
            </w:r>
          </w:p>
        </w:tc>
      </w:tr>
      <w:tr w14:paraId="56DE1932">
        <w:tblPrEx>
          <w:tblCellMar>
            <w:top w:w="0" w:type="dxa"/>
            <w:left w:w="108" w:type="dxa"/>
            <w:bottom w:w="0" w:type="dxa"/>
            <w:right w:w="108" w:type="dxa"/>
          </w:tblCellMar>
        </w:tblPrEx>
        <w:trPr>
          <w:trHeight w:val="433" w:hRule="atLeast"/>
        </w:trPr>
        <w:tc>
          <w:tcPr>
            <w:tcW w:w="733" w:type="dxa"/>
            <w:tcBorders>
              <w:top w:val="single" w:color="auto" w:sz="4" w:space="0"/>
              <w:left w:val="single" w:color="auto" w:sz="4" w:space="0"/>
              <w:bottom w:val="single" w:color="auto" w:sz="4" w:space="0"/>
              <w:right w:val="single" w:color="auto" w:sz="4" w:space="0"/>
            </w:tcBorders>
            <w:vAlign w:val="center"/>
          </w:tcPr>
          <w:p w14:paraId="114705F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序号</w:t>
            </w:r>
          </w:p>
        </w:tc>
        <w:tc>
          <w:tcPr>
            <w:tcW w:w="1621" w:type="dxa"/>
            <w:tcBorders>
              <w:top w:val="single" w:color="auto" w:sz="4" w:space="0"/>
              <w:left w:val="single" w:color="auto" w:sz="4" w:space="0"/>
              <w:bottom w:val="single" w:color="auto" w:sz="4" w:space="0"/>
              <w:right w:val="single" w:color="auto" w:sz="4" w:space="0"/>
            </w:tcBorders>
            <w:vAlign w:val="center"/>
          </w:tcPr>
          <w:p w14:paraId="3DEC5A4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提示词</w:t>
            </w:r>
          </w:p>
        </w:tc>
        <w:tc>
          <w:tcPr>
            <w:tcW w:w="6766" w:type="dxa"/>
            <w:tcBorders>
              <w:top w:val="single" w:color="auto" w:sz="4" w:space="0"/>
              <w:left w:val="single" w:color="auto" w:sz="4" w:space="0"/>
              <w:bottom w:val="single" w:color="auto" w:sz="4" w:space="0"/>
              <w:right w:val="single" w:color="auto" w:sz="4" w:space="0"/>
            </w:tcBorders>
            <w:vAlign w:val="center"/>
          </w:tcPr>
          <w:p w14:paraId="36147F4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主要内容</w:t>
            </w:r>
          </w:p>
        </w:tc>
      </w:tr>
      <w:tr w14:paraId="16BCFF3C">
        <w:tblPrEx>
          <w:tblCellMar>
            <w:top w:w="0" w:type="dxa"/>
            <w:left w:w="108" w:type="dxa"/>
            <w:bottom w:w="0" w:type="dxa"/>
            <w:right w:w="108" w:type="dxa"/>
          </w:tblCellMar>
        </w:tblPrEx>
        <w:trPr>
          <w:trHeight w:val="183" w:hRule="atLeast"/>
        </w:trPr>
        <w:tc>
          <w:tcPr>
            <w:tcW w:w="733" w:type="dxa"/>
            <w:tcBorders>
              <w:top w:val="single" w:color="auto" w:sz="4" w:space="0"/>
              <w:left w:val="single" w:color="auto" w:sz="4" w:space="0"/>
              <w:bottom w:val="single" w:color="000000" w:sz="4" w:space="0"/>
              <w:right w:val="single" w:color="auto" w:sz="4" w:space="0"/>
            </w:tcBorders>
            <w:vAlign w:val="center"/>
          </w:tcPr>
          <w:p w14:paraId="79E9C1C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p>
        </w:tc>
        <w:tc>
          <w:tcPr>
            <w:tcW w:w="1621" w:type="dxa"/>
            <w:tcBorders>
              <w:top w:val="single" w:color="auto" w:sz="4" w:space="0"/>
              <w:left w:val="nil"/>
              <w:bottom w:val="single" w:color="auto" w:sz="4" w:space="0"/>
              <w:right w:val="single" w:color="auto" w:sz="4" w:space="0"/>
            </w:tcBorders>
            <w:vAlign w:val="center"/>
          </w:tcPr>
          <w:p w14:paraId="1E57598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6766" w:type="dxa"/>
            <w:tcBorders>
              <w:top w:val="single" w:color="auto" w:sz="4" w:space="0"/>
              <w:left w:val="nil"/>
              <w:bottom w:val="single" w:color="auto" w:sz="4" w:space="0"/>
              <w:right w:val="single" w:color="auto" w:sz="4" w:space="0"/>
            </w:tcBorders>
            <w:vAlign w:val="center"/>
          </w:tcPr>
          <w:p w14:paraId="3331E9C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sz w:val="21"/>
                <w:szCs w:val="21"/>
                <w:highlight w:val="none"/>
                <w:u w:val="none"/>
                <w:lang w:val="en-US"/>
              </w:rPr>
              <w:t>作业前排查周围环境。</w:t>
            </w:r>
          </w:p>
        </w:tc>
      </w:tr>
      <w:tr w14:paraId="6789AC21">
        <w:tblPrEx>
          <w:tblCellMar>
            <w:top w:w="0" w:type="dxa"/>
            <w:left w:w="108" w:type="dxa"/>
            <w:bottom w:w="0" w:type="dxa"/>
            <w:right w:w="108" w:type="dxa"/>
          </w:tblCellMar>
        </w:tblPrEx>
        <w:trPr>
          <w:trHeight w:val="240" w:hRule="atLeast"/>
        </w:trPr>
        <w:tc>
          <w:tcPr>
            <w:tcW w:w="733" w:type="dxa"/>
            <w:tcBorders>
              <w:top w:val="nil"/>
              <w:left w:val="single" w:color="auto" w:sz="4" w:space="0"/>
              <w:bottom w:val="single" w:color="000000" w:sz="4" w:space="0"/>
              <w:right w:val="single" w:color="auto" w:sz="4" w:space="0"/>
            </w:tcBorders>
            <w:vAlign w:val="center"/>
          </w:tcPr>
          <w:p w14:paraId="0637503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2</w:t>
            </w:r>
          </w:p>
        </w:tc>
        <w:tc>
          <w:tcPr>
            <w:tcW w:w="1621" w:type="dxa"/>
            <w:tcBorders>
              <w:top w:val="nil"/>
              <w:left w:val="nil"/>
              <w:bottom w:val="single" w:color="auto" w:sz="4" w:space="0"/>
              <w:right w:val="single" w:color="auto" w:sz="4" w:space="0"/>
            </w:tcBorders>
            <w:vAlign w:val="center"/>
          </w:tcPr>
          <w:p w14:paraId="304D331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佩戴防护用具</w:t>
            </w:r>
          </w:p>
        </w:tc>
        <w:tc>
          <w:tcPr>
            <w:tcW w:w="6766" w:type="dxa"/>
            <w:tcBorders>
              <w:top w:val="nil"/>
              <w:left w:val="nil"/>
              <w:bottom w:val="single" w:color="auto" w:sz="4" w:space="0"/>
              <w:right w:val="single" w:color="auto" w:sz="4" w:space="0"/>
            </w:tcBorders>
            <w:vAlign w:val="center"/>
          </w:tcPr>
          <w:p w14:paraId="142B955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作业前</w:t>
            </w:r>
            <w:r>
              <w:rPr>
                <w:rFonts w:hint="eastAsia" w:ascii="仿宋" w:hAnsi="仿宋" w:eastAsia="仿宋" w:cs="仿宋"/>
                <w:i w:val="0"/>
                <w:iCs w:val="0"/>
                <w:color w:val="auto"/>
                <w:sz w:val="21"/>
                <w:szCs w:val="21"/>
                <w:highlight w:val="none"/>
                <w:u w:val="none"/>
              </w:rPr>
              <w:t>必须按照要求佩戴好个人防护用具。</w:t>
            </w:r>
          </w:p>
        </w:tc>
      </w:tr>
      <w:tr w14:paraId="1FCA437D">
        <w:tblPrEx>
          <w:tblCellMar>
            <w:top w:w="0" w:type="dxa"/>
            <w:left w:w="108" w:type="dxa"/>
            <w:bottom w:w="0" w:type="dxa"/>
            <w:right w:w="108" w:type="dxa"/>
          </w:tblCellMar>
        </w:tblPrEx>
        <w:trPr>
          <w:trHeight w:val="240" w:hRule="atLeast"/>
        </w:trPr>
        <w:tc>
          <w:tcPr>
            <w:tcW w:w="733" w:type="dxa"/>
            <w:tcBorders>
              <w:top w:val="nil"/>
              <w:left w:val="single" w:color="auto" w:sz="4" w:space="0"/>
              <w:bottom w:val="single" w:color="000000" w:sz="4" w:space="0"/>
              <w:right w:val="single" w:color="auto" w:sz="4" w:space="0"/>
            </w:tcBorders>
            <w:vAlign w:val="center"/>
          </w:tcPr>
          <w:p w14:paraId="6A1759D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3</w:t>
            </w:r>
          </w:p>
        </w:tc>
        <w:tc>
          <w:tcPr>
            <w:tcW w:w="1621" w:type="dxa"/>
            <w:tcBorders>
              <w:top w:val="nil"/>
              <w:left w:val="nil"/>
              <w:bottom w:val="single" w:color="auto" w:sz="4" w:space="0"/>
              <w:right w:val="single" w:color="auto" w:sz="4" w:space="0"/>
            </w:tcBorders>
            <w:vAlign w:val="center"/>
          </w:tcPr>
          <w:p w14:paraId="2ECB1CC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维修前确认</w:t>
            </w:r>
          </w:p>
        </w:tc>
        <w:tc>
          <w:tcPr>
            <w:tcW w:w="6766" w:type="dxa"/>
            <w:tcBorders>
              <w:top w:val="nil"/>
              <w:left w:val="nil"/>
              <w:bottom w:val="single" w:color="auto" w:sz="4" w:space="0"/>
              <w:right w:val="single" w:color="auto" w:sz="4" w:space="0"/>
            </w:tcBorders>
            <w:vAlign w:val="center"/>
          </w:tcPr>
          <w:p w14:paraId="111D8C0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检查设备是否断电、是否安排人员监护。</w:t>
            </w:r>
          </w:p>
        </w:tc>
      </w:tr>
      <w:tr w14:paraId="2BE862D5">
        <w:tblPrEx>
          <w:tblCellMar>
            <w:top w:w="0" w:type="dxa"/>
            <w:left w:w="108" w:type="dxa"/>
            <w:bottom w:w="0" w:type="dxa"/>
            <w:right w:w="108" w:type="dxa"/>
          </w:tblCellMar>
        </w:tblPrEx>
        <w:trPr>
          <w:trHeight w:val="240" w:hRule="atLeast"/>
        </w:trPr>
        <w:tc>
          <w:tcPr>
            <w:tcW w:w="733" w:type="dxa"/>
            <w:tcBorders>
              <w:top w:val="nil"/>
              <w:left w:val="single" w:color="auto" w:sz="4" w:space="0"/>
              <w:bottom w:val="single" w:color="000000" w:sz="4" w:space="0"/>
              <w:right w:val="single" w:color="auto" w:sz="4" w:space="0"/>
            </w:tcBorders>
            <w:vAlign w:val="center"/>
          </w:tcPr>
          <w:p w14:paraId="7FBE748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p>
        </w:tc>
        <w:tc>
          <w:tcPr>
            <w:tcW w:w="1621" w:type="dxa"/>
            <w:tcBorders>
              <w:top w:val="nil"/>
              <w:left w:val="nil"/>
              <w:bottom w:val="single" w:color="auto" w:sz="4" w:space="0"/>
              <w:right w:val="single" w:color="auto" w:sz="4" w:space="0"/>
            </w:tcBorders>
            <w:vAlign w:val="center"/>
          </w:tcPr>
          <w:p w14:paraId="53EE0E1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color w:val="auto"/>
                <w:kern w:val="0"/>
                <w:sz w:val="21"/>
                <w:szCs w:val="21"/>
                <w:lang w:val="en-US" w:eastAsia="zh-CN"/>
              </w:rPr>
              <w:t>维修确认</w:t>
            </w:r>
          </w:p>
        </w:tc>
        <w:tc>
          <w:tcPr>
            <w:tcW w:w="6766" w:type="dxa"/>
            <w:tcBorders>
              <w:top w:val="nil"/>
              <w:left w:val="nil"/>
              <w:bottom w:val="single" w:color="auto" w:sz="4" w:space="0"/>
              <w:right w:val="single" w:color="auto" w:sz="4" w:space="0"/>
            </w:tcBorders>
            <w:vAlign w:val="center"/>
          </w:tcPr>
          <w:p w14:paraId="18C65DBD">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color w:val="auto"/>
                <w:sz w:val="21"/>
                <w:szCs w:val="21"/>
                <w:lang w:val="en-US" w:eastAsia="zh-CN"/>
              </w:rPr>
              <w:t>检查设备维修质量。</w:t>
            </w:r>
          </w:p>
        </w:tc>
      </w:tr>
      <w:tr w14:paraId="13E6A571">
        <w:tblPrEx>
          <w:tblCellMar>
            <w:top w:w="0" w:type="dxa"/>
            <w:left w:w="108" w:type="dxa"/>
            <w:bottom w:w="0" w:type="dxa"/>
            <w:right w:w="108" w:type="dxa"/>
          </w:tblCellMar>
        </w:tblPrEx>
        <w:trPr>
          <w:trHeight w:val="250" w:hRule="atLeast"/>
        </w:trPr>
        <w:tc>
          <w:tcPr>
            <w:tcW w:w="733" w:type="dxa"/>
            <w:tcBorders>
              <w:top w:val="nil"/>
              <w:left w:val="single" w:color="auto" w:sz="4" w:space="0"/>
              <w:bottom w:val="single" w:color="auto" w:sz="4" w:space="0"/>
              <w:right w:val="single" w:color="auto" w:sz="4" w:space="0"/>
            </w:tcBorders>
            <w:vAlign w:val="center"/>
          </w:tcPr>
          <w:p w14:paraId="0096923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5</w:t>
            </w:r>
          </w:p>
        </w:tc>
        <w:tc>
          <w:tcPr>
            <w:tcW w:w="1621" w:type="dxa"/>
            <w:tcBorders>
              <w:top w:val="nil"/>
              <w:left w:val="nil"/>
              <w:bottom w:val="single" w:color="auto" w:sz="4" w:space="0"/>
              <w:right w:val="single" w:color="auto" w:sz="4" w:space="0"/>
            </w:tcBorders>
            <w:vAlign w:val="center"/>
          </w:tcPr>
          <w:p w14:paraId="0BF0FB3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收尾工作</w:t>
            </w:r>
          </w:p>
        </w:tc>
        <w:tc>
          <w:tcPr>
            <w:tcW w:w="6766" w:type="dxa"/>
            <w:tcBorders>
              <w:top w:val="nil"/>
              <w:left w:val="nil"/>
              <w:bottom w:val="single" w:color="auto" w:sz="4" w:space="0"/>
              <w:right w:val="single" w:color="auto" w:sz="4" w:space="0"/>
            </w:tcBorders>
            <w:vAlign w:val="center"/>
          </w:tcPr>
          <w:p w14:paraId="78702CD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rPr>
            </w:pPr>
            <w:r>
              <w:rPr>
                <w:rFonts w:hint="eastAsia" w:ascii="仿宋" w:hAnsi="仿宋" w:eastAsia="仿宋" w:cs="仿宋"/>
                <w:i w:val="0"/>
                <w:iCs w:val="0"/>
                <w:color w:val="auto"/>
                <w:sz w:val="21"/>
                <w:szCs w:val="21"/>
                <w:highlight w:val="none"/>
                <w:u w:val="none"/>
                <w:lang w:val="en-US" w:eastAsia="zh-CN"/>
              </w:rPr>
              <w:t>清理现场卫生，填写记录。</w:t>
            </w:r>
          </w:p>
        </w:tc>
      </w:tr>
    </w:tbl>
    <w:p w14:paraId="27B3CBE3">
      <w:pPr>
        <w:keepNext w:val="0"/>
        <w:keepLines w:val="0"/>
        <w:pageBreakBefore w:val="0"/>
        <w:widowControl w:val="0"/>
        <w:numPr>
          <w:ilvl w:val="0"/>
          <w:numId w:val="0"/>
        </w:numPr>
        <w:kinsoku/>
        <w:wordWrap/>
        <w:overflowPunct/>
        <w:topLinePunct w:val="0"/>
        <w:autoSpaceDN/>
        <w:bidi w:val="0"/>
        <w:adjustRightInd/>
        <w:snapToGrid/>
        <w:spacing w:line="500" w:lineRule="exact"/>
        <w:ind w:left="0" w:leftChars="0" w:firstLine="560" w:firstLineChars="200"/>
        <w:outlineLvl w:val="9"/>
        <w:rPr>
          <w:rFonts w:hint="default" w:ascii="仿宋" w:hAnsi="仿宋" w:eastAsia="仿宋" w:cs="仿宋"/>
          <w:b w:val="0"/>
          <w:bCs/>
          <w:color w:val="auto"/>
          <w:kern w:val="2"/>
          <w:sz w:val="28"/>
          <w:szCs w:val="28"/>
          <w:lang w:val="en-US" w:eastAsia="zh-CN" w:bidi="ar"/>
        </w:rPr>
      </w:pPr>
    </w:p>
    <w:p w14:paraId="3326F8A2">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lang w:eastAsia="zh-CN"/>
        </w:rPr>
      </w:pPr>
    </w:p>
    <w:p w14:paraId="0E681B91">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一般规定</w:t>
      </w:r>
    </w:p>
    <w:p w14:paraId="34F6AE7A">
      <w:pPr>
        <w:keepNext w:val="0"/>
        <w:keepLines w:val="0"/>
        <w:pageBreakBefore w:val="0"/>
        <w:widowControl w:val="0"/>
        <w:numPr>
          <w:ilvl w:val="0"/>
          <w:numId w:val="0"/>
        </w:numPr>
        <w:kinsoku/>
        <w:wordWrap/>
        <w:overflowPunct/>
        <w:topLinePunct w:val="0"/>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（一）</w:t>
      </w:r>
      <w:r>
        <w:rPr>
          <w:rFonts w:hint="eastAsia" w:ascii="仿宋" w:hAnsi="仿宋" w:eastAsia="仿宋" w:cs="仿宋"/>
          <w:color w:val="auto"/>
          <w:sz w:val="28"/>
          <w:szCs w:val="28"/>
          <w:lang w:val="en-US" w:eastAsia="zh-CN"/>
        </w:rPr>
        <w:t>维修机工必须按要求进行培训，经有关部门考试合格后，持证方可上岗。</w:t>
      </w:r>
    </w:p>
    <w:p w14:paraId="1525C62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坚持“安全第一，预防为主”的生产方针，上班前严禁喝酒，做到班前讲安全，班中抓安全，班后查安全。</w:t>
      </w:r>
    </w:p>
    <w:p w14:paraId="768A2AF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三</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熟悉和掌握各种维修设备的结构性能，按期保质保量地维修好所管设备，确保安全运行。</w:t>
      </w:r>
    </w:p>
    <w:p w14:paraId="57DA099B">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四</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定期检查、检修设备，确保设备完好、清洁干净，并认真填清检修记录。</w:t>
      </w:r>
    </w:p>
    <w:p w14:paraId="369A5D2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五</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定期加油并检查油质情况，对油质不好的及时更换并做好加油换油记录。</w:t>
      </w:r>
    </w:p>
    <w:p w14:paraId="22CAB23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六</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对皮带磨损情况进行定期检查，对接头不好的及时整改处理，并汇报分管领导。</w:t>
      </w:r>
    </w:p>
    <w:p w14:paraId="7E79FE5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七</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严格执行交接班制度和巡检制度，及时发现设备隐患并处理，保证设备安全正常运行。</w:t>
      </w:r>
    </w:p>
    <w:p w14:paraId="352F3D6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八</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维修工必须熟知自己的职责范围，熟练掌握所维修设备的技术性能、完好标准、检修工艺和检修质量标准，并了解周围环境及相关设备的配合关系。</w:t>
      </w:r>
    </w:p>
    <w:p w14:paraId="3518D3B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九</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下井前，要由维修工作负责人向有关人员讲清工作内容、步骤、人员分工和安全注意事项，维修工要根据当日工作的需要认真检查所带工具是否完好、齐全，材料、备件是否充足，是否与所检修和维修设备需要的材料备件型号相符，并备好专用停电牌。</w:t>
      </w:r>
    </w:p>
    <w:p w14:paraId="5031DBD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维修工在进行检修工作时，不得少于2人，在维修时应与司机配合好。</w:t>
      </w:r>
    </w:p>
    <w:p w14:paraId="4AF3B60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十一</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不允许在井下拆检的设备、部件等，必须及时升井检修。</w:t>
      </w:r>
    </w:p>
    <w:p w14:paraId="3F59AFF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40"/>
          <w:szCs w:val="40"/>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严格按《煤矿安全规程》作业，严禁违章指挥、违章作业</w:t>
      </w:r>
      <w:r>
        <w:rPr>
          <w:rFonts w:hint="eastAsia" w:ascii="仿宋" w:hAnsi="仿宋" w:eastAsia="仿宋" w:cs="仿宋"/>
          <w:color w:val="auto"/>
          <w:sz w:val="40"/>
          <w:szCs w:val="40"/>
          <w:lang w:val="en-US" w:eastAsia="zh-CN"/>
        </w:rPr>
        <w:t>。</w:t>
      </w:r>
    </w:p>
    <w:p w14:paraId="720AF2E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15B379F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53E50A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04C42DD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4F3088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02538C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137CFB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3E1B19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59CB53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55ABAE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68D792A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2792CC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53D4A6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00EF74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34C3F5C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7D9A6CC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76FF63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6D1EFD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187BB5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5AABC2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089266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4D9C2F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6CE1711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2D9275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30AD058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452EE7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7596EF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33378E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572537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1587237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688D546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4681043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7B6CBE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03D752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6D472B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179AE6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2D6AED6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197885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7872A4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0C4A23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5C9D19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26CC0B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150820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68000B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27C0E5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55827D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0E75A24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139DD7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6D038BAF">
      <w:pPr>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三、安全风险辨识与管控措施</w:t>
      </w:r>
    </w:p>
    <w:p w14:paraId="47DF56EC">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（一）通用部分</w:t>
      </w:r>
    </w:p>
    <w:p w14:paraId="4F58056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风险描述：施工现场顶板破碎，支护网生锈开裂，存在漏顶片帮伤人的风险。</w:t>
      </w:r>
    </w:p>
    <w:p w14:paraId="22D00DD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管控措施：加强顶板排查管理，发现顶帮网开裂锚杆（索）失效时及时汇报进行补打。使用长把工具及时找掉危岩活矸。</w:t>
      </w:r>
    </w:p>
    <w:p w14:paraId="634AC8A1">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（二）专用部分</w:t>
      </w:r>
    </w:p>
    <w:p w14:paraId="4A76078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14:paraId="51F50BF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①风险描述：防护用品不完好，不按规定佩带，存在人员受伤的风险。</w:t>
      </w:r>
    </w:p>
    <w:p w14:paraId="691A251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管控措施：检查好防护用品，确保齐全完好，作业前按规定佩带好安全防护用品。</w:t>
      </w:r>
    </w:p>
    <w:p w14:paraId="06A5187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②风险描述：工具材料不齐全完好，存在设备检修不到位或人员伤亡的风险。</w:t>
      </w:r>
    </w:p>
    <w:p w14:paraId="2A4AB47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管控措施：操作前，工具材料准备齐全完好。</w:t>
      </w:r>
    </w:p>
    <w:p w14:paraId="4C7B876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③风险描述：检修地点人员站位不正确，存在设备碰伤人员的风险。</w:t>
      </w:r>
    </w:p>
    <w:p w14:paraId="708AAA4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管控措施：检修前规范站位，重物下方及可能倾向方向严禁有人。</w:t>
      </w:r>
    </w:p>
    <w:p w14:paraId="61799B9B">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2.操作过程中</w:t>
      </w:r>
      <w:r>
        <w:rPr>
          <w:rFonts w:hint="default" w:ascii="仿宋" w:hAnsi="仿宋" w:eastAsia="仿宋" w:cs="仿宋"/>
          <w:color w:val="auto"/>
          <w:sz w:val="28"/>
          <w:szCs w:val="28"/>
        </w:rPr>
        <w:t>：</w:t>
      </w:r>
    </w:p>
    <w:p w14:paraId="0168FBB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①风险描述：吊装作业时，人员站位不当或工具不完好导致受伤。</w:t>
      </w:r>
    </w:p>
    <w:p w14:paraId="1E95584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14:paraId="4125451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14:paraId="1960A4D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14:paraId="5F860C6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③风险描述：人员靠近转动部位，护罩或遮拦等不完好，存在转动部位伤人的风险。</w:t>
      </w:r>
    </w:p>
    <w:p w14:paraId="34A7D9E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14:paraId="400F695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3.操作后</w:t>
      </w:r>
      <w:r>
        <w:rPr>
          <w:rFonts w:hint="default" w:ascii="仿宋" w:hAnsi="仿宋" w:eastAsia="仿宋" w:cs="仿宋"/>
          <w:color w:val="auto"/>
          <w:sz w:val="28"/>
          <w:szCs w:val="28"/>
        </w:rPr>
        <w:t>：</w:t>
      </w:r>
    </w:p>
    <w:p w14:paraId="142205A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①风险描述：设备检修不到位，零部件缺失、连接部位不完好等，设备带病运行，存在设备损坏的风险。</w:t>
      </w:r>
    </w:p>
    <w:p w14:paraId="1E50DAE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14:paraId="3BA9331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②风险描述：检修完成后工具材料未能及时清理，检修工具材料遗留在设备内，存在设备损坏的风险。</w:t>
      </w:r>
    </w:p>
    <w:p w14:paraId="0C80984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14:paraId="20950138">
      <w:pPr>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四、操作程序及安全规定</w:t>
      </w:r>
    </w:p>
    <w:p w14:paraId="67A1B6AC">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（一）作业前检查：</w:t>
      </w:r>
    </w:p>
    <w:p w14:paraId="422BD60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w:t>
      </w:r>
    </w:p>
    <w:p w14:paraId="7D79AFC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2.防护用品：防护用品齐全完好。</w:t>
      </w:r>
    </w:p>
    <w:p w14:paraId="2919A5C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3.工具、材料：工具、材料齐全完好。</w:t>
      </w:r>
    </w:p>
    <w:p w14:paraId="225C445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4.监护人：监护人到位。</w:t>
      </w:r>
    </w:p>
    <w:p w14:paraId="7C29CC63">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5.站位：人员站位正确，后退路畅通。</w:t>
      </w:r>
    </w:p>
    <w:p w14:paraId="0467C47E">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（二）操作过程注意事项：</w:t>
      </w:r>
    </w:p>
    <w:p w14:paraId="796405C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14:paraId="35B65BDB">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2.斜巷作业：斜巷作业时，上部车场各出口处，应设警示标志，倾角大于15°时，下方不得有人同时作业。</w:t>
      </w:r>
    </w:p>
    <w:p w14:paraId="06477DA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3.高处作业：必须佩戴安全帽和保险带，随身工具必须有防脱落措施。</w:t>
      </w:r>
    </w:p>
    <w:p w14:paraId="7A76D2C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4.站位：时刻保证正确站位，远离运转部位及机车运行线路，确保后退路畅通，注意顶帮支护安全。</w:t>
      </w:r>
    </w:p>
    <w:p w14:paraId="69C05F08">
      <w:pPr>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b/>
          <w:bCs/>
          <w:color w:val="auto"/>
          <w:kern w:val="0"/>
          <w:sz w:val="28"/>
          <w:szCs w:val="28"/>
        </w:rPr>
      </w:pPr>
      <w:r>
        <w:rPr>
          <w:rFonts w:hint="eastAsia" w:ascii="仿宋" w:hAnsi="仿宋" w:eastAsia="仿宋" w:cs="仿宋"/>
          <w:b/>
          <w:bCs/>
          <w:color w:val="auto"/>
          <w:sz w:val="28"/>
          <w:szCs w:val="28"/>
        </w:rPr>
        <w:t>五、机电</w:t>
      </w:r>
      <w:r>
        <w:rPr>
          <w:rFonts w:hint="eastAsia" w:ascii="仿宋" w:hAnsi="仿宋" w:eastAsia="仿宋" w:cs="仿宋"/>
          <w:b/>
          <w:bCs/>
          <w:color w:val="auto"/>
          <w:kern w:val="0"/>
          <w:sz w:val="28"/>
          <w:szCs w:val="28"/>
        </w:rPr>
        <w:t>维修工正规操作</w:t>
      </w:r>
    </w:p>
    <w:p w14:paraId="742AC43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工作前应准备材料、配件、工具、仪表及工作中应用的其它用具，办理计划中的停电审批手续。</w:t>
      </w:r>
    </w:p>
    <w:p w14:paraId="5A87AF07">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日常应对维护地区内设备的运行状况，电缆吊挂及保护设施进行巡检，并做好记录。</w:t>
      </w:r>
    </w:p>
    <w:p w14:paraId="0B840388">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检查中发现设备失爆，保护失灵等问题，必须停止运行并立即处理隐患，并向领导汇报。</w:t>
      </w:r>
    </w:p>
    <w:p w14:paraId="651040E1">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从事检修工作时，必须严格执行停送电五项作业制度，检修电气设备时必须切断前一级开关电源，实行机械闭锁，并挂"有人工作，严禁送电"标志牌。送电时，指定专人送电。禁止不联系盲目送电。有两组以上人员在同一供电系统上工作时，要分别挂停电专用牌，要互相联系,无误后方可送电,严禁约定时间送电。</w:t>
      </w:r>
    </w:p>
    <w:p w14:paraId="7F1B9192">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电气设备检修前必须用与电源电压等级相符合的验电笔验电，确认无电压后进行放电，放电完毕后工作。</w:t>
      </w:r>
    </w:p>
    <w:p w14:paraId="0965893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6</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设备的安装与电缆敷设应安设在顶板和底板无积水的地方，应不妨碍通行，距轨道和钢丝绳有足够的距离，并符合规程规定。</w:t>
      </w:r>
    </w:p>
    <w:p w14:paraId="552052A2">
      <w:pPr>
        <w:pStyle w:val="4"/>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color w:val="auto"/>
          <w:kern w:val="2"/>
          <w:sz w:val="28"/>
          <w:szCs w:val="28"/>
        </w:rPr>
      </w:pPr>
      <w:r>
        <w:rPr>
          <w:rFonts w:hint="eastAsia" w:ascii="仿宋" w:hAnsi="仿宋" w:eastAsia="仿宋" w:cs="仿宋"/>
          <w:b/>
          <w:bCs/>
          <w:color w:val="auto"/>
          <w:sz w:val="28"/>
          <w:szCs w:val="28"/>
        </w:rPr>
        <w:t>六、机电维修工操作过程中的安全注意事项</w:t>
      </w:r>
    </w:p>
    <w:p w14:paraId="48D7BED4">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w:t>
      </w:r>
      <w:r>
        <w:rPr>
          <w:rFonts w:hint="eastAsia" w:ascii="仿宋" w:hAnsi="仿宋" w:eastAsia="仿宋" w:cs="仿宋"/>
          <w:color w:val="auto"/>
          <w:kern w:val="2"/>
          <w:sz w:val="28"/>
          <w:szCs w:val="28"/>
          <w:lang w:val="en-US" w:eastAsia="zh-CN" w:bidi="ar"/>
        </w:rPr>
        <w:t>.在打开机盖、油箱进行拆检、换件或换油等检修工作时，必须注意遮盖好，严防落入煤矸、粉尘、淋水或其它异物等；注意保护设备和防爆面结合面，以免受损伤；注意保护好拆下的零部件，应放在清洁安全的地方，防止损坏、丢失或落入机器内。</w:t>
      </w:r>
    </w:p>
    <w:p w14:paraId="607160E2">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2</w:t>
      </w:r>
      <w:r>
        <w:rPr>
          <w:rFonts w:hint="eastAsia" w:ascii="仿宋" w:hAnsi="仿宋" w:eastAsia="仿宋" w:cs="仿宋"/>
          <w:color w:val="auto"/>
          <w:kern w:val="2"/>
          <w:sz w:val="28"/>
          <w:szCs w:val="28"/>
          <w:lang w:val="en-US" w:eastAsia="zh-CN" w:bidi="ar"/>
        </w:rPr>
        <w:t>.在吊运物件时，必须检查周围环境，检查吊梁、吊具、绳套、滑轮、千斤顶起重设施和用具，应符合安全要求。</w:t>
      </w:r>
    </w:p>
    <w:p w14:paraId="258CED34">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3</w:t>
      </w:r>
      <w:r>
        <w:rPr>
          <w:rFonts w:hint="eastAsia" w:ascii="仿宋" w:hAnsi="仿宋" w:eastAsia="仿宋" w:cs="仿宋"/>
          <w:color w:val="auto"/>
          <w:kern w:val="2"/>
          <w:sz w:val="28"/>
          <w:szCs w:val="28"/>
          <w:lang w:val="en-US" w:eastAsia="zh-CN" w:bidi="ar"/>
        </w:rPr>
        <w:t>.处理机头或机尾故障后，起动试</w:t>
      </w:r>
      <w:r>
        <w:rPr>
          <w:rFonts w:hint="eastAsia" w:ascii="仿宋" w:hAnsi="仿宋" w:eastAsia="仿宋" w:cs="仿宋"/>
          <w:color w:val="auto"/>
          <w:kern w:val="2"/>
          <w:sz w:val="28"/>
          <w:szCs w:val="28"/>
          <w:lang w:eastAsia="zh-CN" w:bidi="ar"/>
        </w:rPr>
        <w:t>运转</w:t>
      </w:r>
      <w:r>
        <w:rPr>
          <w:rFonts w:hint="eastAsia" w:ascii="仿宋" w:hAnsi="仿宋" w:eastAsia="仿宋" w:cs="仿宋"/>
          <w:color w:val="auto"/>
          <w:kern w:val="2"/>
          <w:sz w:val="28"/>
          <w:szCs w:val="28"/>
          <w:lang w:val="en-US" w:eastAsia="zh-CN" w:bidi="ar"/>
        </w:rPr>
        <w:t>前，人员必须离开机头、机尾，严禁在机头、机尾上部伸头看。</w:t>
      </w:r>
    </w:p>
    <w:p w14:paraId="4F7B95E8">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4</w:t>
      </w:r>
      <w:r>
        <w:rPr>
          <w:rFonts w:hint="eastAsia" w:ascii="仿宋" w:hAnsi="仿宋" w:eastAsia="仿宋" w:cs="仿宋"/>
          <w:color w:val="auto"/>
          <w:kern w:val="2"/>
          <w:sz w:val="28"/>
          <w:szCs w:val="28"/>
          <w:lang w:val="en-US" w:eastAsia="zh-CN" w:bidi="ar"/>
        </w:rPr>
        <w:t>.处理输送带跑</w:t>
      </w:r>
      <w:r>
        <w:rPr>
          <w:rFonts w:hint="eastAsia" w:ascii="仿宋" w:hAnsi="仿宋" w:eastAsia="仿宋" w:cs="仿宋"/>
          <w:color w:val="auto"/>
          <w:kern w:val="2"/>
          <w:sz w:val="28"/>
          <w:szCs w:val="28"/>
          <w:lang w:eastAsia="zh-CN" w:bidi="ar"/>
        </w:rPr>
        <w:t>偏</w:t>
      </w:r>
      <w:r>
        <w:rPr>
          <w:rFonts w:hint="eastAsia" w:ascii="仿宋" w:hAnsi="仿宋" w:eastAsia="仿宋" w:cs="仿宋"/>
          <w:color w:val="auto"/>
          <w:kern w:val="2"/>
          <w:sz w:val="28"/>
          <w:szCs w:val="28"/>
          <w:lang w:val="en-US" w:eastAsia="zh-CN" w:bidi="ar"/>
        </w:rPr>
        <w:t>时，应停机调整上、下托辊的前后位置或调整中间架的悬挂位置，严禁用手脚直接拽蹬运行中输送带。</w:t>
      </w:r>
    </w:p>
    <w:p w14:paraId="412037A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5</w:t>
      </w:r>
      <w:r>
        <w:rPr>
          <w:rFonts w:hint="eastAsia" w:ascii="仿宋" w:hAnsi="仿宋" w:eastAsia="仿宋" w:cs="仿宋"/>
          <w:color w:val="auto"/>
          <w:kern w:val="2"/>
          <w:sz w:val="28"/>
          <w:szCs w:val="28"/>
          <w:lang w:val="en-US" w:eastAsia="zh-CN" w:bidi="ar"/>
        </w:rPr>
        <w:t>.检修输送带时，工作人员严禁站在机头、尾架、传动滚筒及输送带等运转部位的上方工作；如因处理事故必须站在上述部位工作时，要派专人停机、停电、闭锁、挂停电牌后方可作业。</w:t>
      </w:r>
    </w:p>
    <w:p w14:paraId="1EBA236C">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6</w:t>
      </w:r>
      <w:r>
        <w:rPr>
          <w:rFonts w:hint="eastAsia" w:ascii="仿宋" w:hAnsi="仿宋" w:eastAsia="仿宋" w:cs="仿宋"/>
          <w:color w:val="auto"/>
          <w:kern w:val="2"/>
          <w:sz w:val="28"/>
          <w:szCs w:val="28"/>
          <w:lang w:val="en-US" w:eastAsia="zh-CN" w:bidi="ar"/>
        </w:rPr>
        <w:t>.在更换输送带和输送带接头等时，应远离转动部位5米以外作业；如确需点动开车并拉动输送带时，严禁站在转动部位上方和任何部位直接用手或用脚蹬踩输送带。</w:t>
      </w:r>
    </w:p>
    <w:p w14:paraId="4FD37277">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eastAsia="zh-CN" w:bidi="ar"/>
        </w:rPr>
        <w:t>7</w:t>
      </w:r>
      <w:r>
        <w:rPr>
          <w:rFonts w:hint="eastAsia" w:ascii="仿宋" w:hAnsi="仿宋" w:eastAsia="仿宋" w:cs="仿宋"/>
          <w:color w:val="auto"/>
          <w:kern w:val="2"/>
          <w:sz w:val="28"/>
          <w:szCs w:val="28"/>
          <w:lang w:val="en-US" w:eastAsia="zh-CN" w:bidi="ar"/>
        </w:rPr>
        <w:t>.检修结束后，必须与司机联系并通知周围相关人员后，方可送电试</w:t>
      </w:r>
      <w:r>
        <w:rPr>
          <w:rFonts w:hint="eastAsia" w:ascii="仿宋" w:hAnsi="仿宋" w:eastAsia="仿宋" w:cs="仿宋"/>
          <w:color w:val="auto"/>
          <w:kern w:val="2"/>
          <w:sz w:val="28"/>
          <w:szCs w:val="28"/>
          <w:lang w:eastAsia="zh-CN" w:bidi="ar"/>
        </w:rPr>
        <w:t>运转</w:t>
      </w:r>
      <w:r>
        <w:rPr>
          <w:rFonts w:hint="eastAsia" w:ascii="仿宋" w:hAnsi="仿宋" w:eastAsia="仿宋" w:cs="仿宋"/>
          <w:color w:val="auto"/>
          <w:kern w:val="2"/>
          <w:sz w:val="28"/>
          <w:szCs w:val="28"/>
          <w:lang w:val="en-US" w:eastAsia="zh-CN" w:bidi="ar"/>
        </w:rPr>
        <w:t>。</w:t>
      </w:r>
    </w:p>
    <w:p w14:paraId="02FE135F">
      <w:pPr>
        <w:pStyle w:val="4"/>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kern w:val="2"/>
          <w:sz w:val="28"/>
          <w:szCs w:val="28"/>
          <w:lang w:eastAsia="zh-CN" w:bidi="ar"/>
        </w:rPr>
      </w:pPr>
      <w:r>
        <w:rPr>
          <w:rFonts w:hint="eastAsia" w:ascii="仿宋" w:hAnsi="仿宋" w:eastAsia="仿宋" w:cs="仿宋"/>
          <w:b/>
          <w:bCs/>
          <w:color w:val="auto"/>
          <w:kern w:val="2"/>
          <w:sz w:val="28"/>
          <w:szCs w:val="28"/>
          <w:lang w:eastAsia="zh-CN" w:bidi="ar"/>
        </w:rPr>
        <w:t>七、全部注意事项</w:t>
      </w:r>
    </w:p>
    <w:p w14:paraId="76D3588A">
      <w:pPr>
        <w:pStyle w:val="4"/>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1.维修机工必须按要求进行培训，经有关部门考试合格后，持证方可上岗。</w:t>
      </w:r>
    </w:p>
    <w:p w14:paraId="2798EF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2.坚持“安全第一，预防为主”的生产方针，上班前严禁喝酒，做到班前讲安全，班中抓安全，班后查安全。</w:t>
      </w:r>
    </w:p>
    <w:p w14:paraId="61738E2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3.认真学习，努力提高业务水平，端正工作态度，努力提高责任心。</w:t>
      </w:r>
    </w:p>
    <w:p w14:paraId="7AD77DA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4.熟悉和掌握各种维修设备的结构性能，按期保质保量地维修好所管设备，确保安全运行。</w:t>
      </w:r>
    </w:p>
    <w:p w14:paraId="63BF155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5.搞好节支降耗、修旧利废工作，提高经济效益。</w:t>
      </w:r>
    </w:p>
    <w:p w14:paraId="5DCDE6A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6.定期检查、检修设备，确保设备完好、清洁干净，并认真填清检修记录。</w:t>
      </w:r>
    </w:p>
    <w:p w14:paraId="7FE6BC3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7.定期加油并检查油质情况，对油质不好的及时更换并做好加油换油记录。</w:t>
      </w:r>
    </w:p>
    <w:p w14:paraId="7ECE0D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8.对皮带磨损情况进行定期检查，对接头不好的及时整改处理，并汇报分管领导。</w:t>
      </w:r>
    </w:p>
    <w:p w14:paraId="704E8F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9.严格执行交接班制度和巡检制度，及时发现设备隐患并处理，保证设备安全正常运行。</w:t>
      </w:r>
    </w:p>
    <w:p w14:paraId="11AC68F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10.服从领导，听从安排，特别在设备出现故障时，维修工有责任有义务无条件服从安排，尽最大努力抢修设备。</w:t>
      </w:r>
    </w:p>
    <w:p w14:paraId="3FBE71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11.对现场出现的问题不能及时解决的应及时向分管领导或技术员汇报，并做好记录，由分管领导或技术员安排进行处理。</w:t>
      </w:r>
    </w:p>
    <w:p w14:paraId="2FBDA57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12.加强责任，提高维修质量，保证设备良好运行，凡因检修质量出现问题，追究其相关责任。</w:t>
      </w:r>
    </w:p>
    <w:p w14:paraId="2E0369A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13.维修工必须熟知自己的职责范围，熟练掌握所维修设备的技术性能、完好标准、检修工艺和检修质量标准，并了解周围环境及相关设备的配合关系。</w:t>
      </w:r>
    </w:p>
    <w:p w14:paraId="6C3FB8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下井前，要由维修工作负责人向有关人员讲清工作内容、步骤、人员分工和安全注意事项，维修工要根据当日工作的需要认真检查所带工具是否完好、齐全，材料、备件是否充足，是否与所检修和维修设备需要的材料备件型号相符，并备好专用停电牌。</w:t>
      </w:r>
    </w:p>
    <w:p w14:paraId="7EA779D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15.维修工在进行检修工作时，不得少于2人，在维修时应与司机配合好。</w:t>
      </w:r>
    </w:p>
    <w:p w14:paraId="6D9F955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16.不允许在井下拆检的设备、部件等，必须及时升井检修。</w:t>
      </w:r>
    </w:p>
    <w:p w14:paraId="219746F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17.严格按《煤矿安全规程》作业，严禁违章指挥、违章作业。</w:t>
      </w:r>
    </w:p>
    <w:p w14:paraId="4D3BF90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18.发生生产安全事故后，事故现场有关人员应当立即报告本单位负责人；发现事故隐患或者其他不安全因素，应当立即向现场安全管理人员或者本单位负责人报告。</w:t>
      </w:r>
    </w:p>
    <w:p w14:paraId="31BAD79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19.有权对单位安全生产工作中存在的问题提出批评、检举、控告，有权拒绝违章指挥和强令冒险作业。</w:t>
      </w:r>
    </w:p>
    <w:p w14:paraId="6CB020F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20.熟悉本岗位的安全生产风险和应急处置措施，发现直接危及人身安全的紧急情况时,有权停止作业或者在采取可能的应急措施后,撤离作业现场。</w:t>
      </w:r>
    </w:p>
    <w:p w14:paraId="4F4CBC90">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21.熟练掌握应急逃生知识，提高互救自救能力。</w:t>
      </w:r>
    </w:p>
    <w:p w14:paraId="0BC94FD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22.认真按照安全风险分级管控和隐患排查治理双重预防机制等有关安全工作要求，抓好岗位日常安全工作。</w:t>
      </w:r>
    </w:p>
    <w:p w14:paraId="577DBEE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b/>
          <w:bCs/>
          <w:color w:val="auto"/>
          <w:kern w:val="2"/>
          <w:sz w:val="28"/>
          <w:szCs w:val="28"/>
          <w:lang w:eastAsia="zh-CN" w:bidi="ar"/>
        </w:rPr>
      </w:pPr>
      <w:r>
        <w:rPr>
          <w:rFonts w:hint="eastAsia" w:ascii="仿宋" w:hAnsi="仿宋" w:eastAsia="仿宋" w:cs="仿宋"/>
          <w:color w:val="auto"/>
          <w:kern w:val="2"/>
          <w:sz w:val="28"/>
          <w:szCs w:val="28"/>
          <w:lang w:val="en-US" w:eastAsia="zh-CN" w:bidi="ar"/>
        </w:rPr>
        <w:t>23.严格遵守上级单位及矿有关职业病防治的相关规定，加强职业病危害防治措施落实。按照职业病危害防治相关要求落实职业卫生相关工作。</w:t>
      </w:r>
    </w:p>
    <w:p w14:paraId="4BCC14AE">
      <w:pPr>
        <w:pStyle w:val="4"/>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八、检修后确认</w:t>
      </w:r>
    </w:p>
    <w:p w14:paraId="42619AD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1.零部件连接：各零部件齐全。</w:t>
      </w:r>
    </w:p>
    <w:p w14:paraId="7A3A4FD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2.工具、材料：工具已清点，无缺漏；材料已清理。</w:t>
      </w:r>
    </w:p>
    <w:p w14:paraId="0E3C51C3">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九、事故案例教育</w:t>
      </w:r>
    </w:p>
    <w:p w14:paraId="4B9433F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（一）事故经过</w:t>
      </w:r>
    </w:p>
    <w:p w14:paraId="2D046B2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07年4月18日早班，值班副区长徐明主持班前会，对四采2#皮带机头安装工程进行了安排，并强调了安全注意事项，然后由大班长韩金虎带领当班员工下井作业；12：45分在安装完机头大架以及第一个驱动滚筒后，开始拖动第二个驱动滚筒；当班小班长于秉年在未调整葫芦吊点的情况下，利用第一个驱动滚筒起吊的葫芦开始拖拉第二个驱动滚筒进行安装，由于葫芦吊点不正，滚筒里沿顶在大架外首，于秉年继续拉动葫芦，发现滚筒不能进入大架内，只能起高，于是便停止拉动葫芦，开始拿起撬杠进入大架外侧开始撬动滚筒，当滚筒被撬动的瞬间，滚筒发生转动，将于秉年左小腿碰伤，造成左小腿腓骨骨折。</w:t>
      </w:r>
    </w:p>
    <w:p w14:paraId="4822F98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（二）事故原因</w:t>
      </w:r>
    </w:p>
    <w:p w14:paraId="5B08FDE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default" w:ascii="仿宋" w:hAnsi="仿宋" w:eastAsia="仿宋" w:cs="仿宋"/>
          <w:color w:val="auto"/>
          <w:sz w:val="28"/>
          <w:szCs w:val="28"/>
        </w:rPr>
        <w:t>.</w:t>
      </w:r>
      <w:r>
        <w:rPr>
          <w:rFonts w:hint="eastAsia" w:ascii="仿宋" w:hAnsi="仿宋" w:eastAsia="仿宋" w:cs="仿宋"/>
          <w:color w:val="auto"/>
          <w:sz w:val="28"/>
          <w:szCs w:val="28"/>
        </w:rPr>
        <w:t>伤者于秉年在操作时，图省事怕麻烦，就近利用起吊第一个滚筒时的葫芦起吊，导致起吊点位置不当，为事故发生埋下隐患；当驱动滚筒被挤住时处理方法又不当，且伤者自主保安意识差，站位不当，是导致这起事故发生的主要原因。</w:t>
      </w:r>
    </w:p>
    <w:p w14:paraId="7C1C0C93">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default" w:ascii="仿宋" w:hAnsi="仿宋" w:eastAsia="仿宋" w:cs="仿宋"/>
          <w:color w:val="auto"/>
          <w:sz w:val="28"/>
          <w:szCs w:val="28"/>
        </w:rPr>
        <w:t>.</w:t>
      </w:r>
      <w:r>
        <w:rPr>
          <w:rFonts w:hint="eastAsia" w:ascii="仿宋" w:hAnsi="仿宋" w:eastAsia="仿宋" w:cs="仿宋"/>
          <w:color w:val="auto"/>
          <w:sz w:val="28"/>
          <w:szCs w:val="28"/>
        </w:rPr>
        <w:t>大班长韩金虎现场安全管理不严不细，隐患排查不到位，存在重生产轻安全现象，是造成这起事故发生的重要原因。</w:t>
      </w:r>
    </w:p>
    <w:p w14:paraId="5534BE9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default" w:ascii="仿宋" w:hAnsi="仿宋" w:eastAsia="仿宋" w:cs="仿宋"/>
          <w:color w:val="auto"/>
          <w:sz w:val="28"/>
          <w:szCs w:val="28"/>
        </w:rPr>
        <w:t>.</w:t>
      </w:r>
      <w:r>
        <w:rPr>
          <w:rFonts w:hint="eastAsia" w:ascii="仿宋" w:hAnsi="仿宋" w:eastAsia="仿宋" w:cs="仿宋"/>
          <w:color w:val="auto"/>
          <w:sz w:val="28"/>
          <w:szCs w:val="28"/>
        </w:rPr>
        <w:t>现场员工隋永强、韩冬、王希松互保联保不到位，安全意识差，也是事故发生的一个原因。</w:t>
      </w:r>
    </w:p>
    <w:p w14:paraId="7E4B991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皮带工区安全管理不到位，对周一安全会议精神特别是近期安全特别规定的意见贯彻落实不到位，对重点工程没有安排管理人员跟班，也是事故发生的一个原因。</w:t>
      </w:r>
    </w:p>
    <w:p w14:paraId="704254A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皮带工区区长张治中、书记张建民安全现场管理和安全教育培训不到位，也是事故发生的一个原因。</w:t>
      </w:r>
    </w:p>
    <w:p w14:paraId="272C7C8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default" w:ascii="仿宋" w:hAnsi="仿宋" w:eastAsia="仿宋" w:cs="仿宋"/>
          <w:color w:val="auto"/>
          <w:sz w:val="28"/>
          <w:szCs w:val="28"/>
        </w:rPr>
        <w:t>.</w:t>
      </w:r>
      <w:r>
        <w:rPr>
          <w:rFonts w:hint="eastAsia" w:ascii="仿宋" w:hAnsi="仿宋" w:eastAsia="仿宋" w:cs="仿宋"/>
          <w:color w:val="auto"/>
          <w:sz w:val="28"/>
          <w:szCs w:val="28"/>
        </w:rPr>
        <w:t>安监员张益瑞现场安全监督不到位，也是事故发生的一个原因。</w:t>
      </w:r>
    </w:p>
    <w:p w14:paraId="79C5CFE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default" w:ascii="仿宋" w:hAnsi="仿宋" w:eastAsia="仿宋" w:cs="仿宋"/>
          <w:color w:val="auto"/>
          <w:sz w:val="28"/>
          <w:szCs w:val="28"/>
        </w:rPr>
        <w:t>.</w:t>
      </w:r>
      <w:r>
        <w:rPr>
          <w:rFonts w:hint="eastAsia" w:ascii="仿宋" w:hAnsi="仿宋" w:eastAsia="仿宋" w:cs="仿宋"/>
          <w:color w:val="auto"/>
          <w:sz w:val="28"/>
          <w:szCs w:val="28"/>
        </w:rPr>
        <w:t>机电科作为部门主管部门，现场安全管理不到位，也是事故发生的一个原因。</w:t>
      </w:r>
    </w:p>
    <w:p w14:paraId="0DC5556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default" w:ascii="仿宋" w:hAnsi="仿宋" w:eastAsia="仿宋" w:cs="仿宋"/>
          <w:color w:val="auto"/>
          <w:sz w:val="28"/>
          <w:szCs w:val="28"/>
        </w:rPr>
        <w:t>.</w:t>
      </w:r>
      <w:r>
        <w:rPr>
          <w:rFonts w:hint="eastAsia" w:ascii="仿宋" w:hAnsi="仿宋" w:eastAsia="仿宋" w:cs="仿宋"/>
          <w:color w:val="auto"/>
          <w:sz w:val="28"/>
          <w:szCs w:val="28"/>
        </w:rPr>
        <w:t>机电专业没有对重点工程进行统筹安排，安全管理不到位，也是事故发生的一个原因。</w:t>
      </w:r>
    </w:p>
    <w:p w14:paraId="61A89B9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default" w:ascii="仿宋" w:hAnsi="仿宋" w:eastAsia="仿宋" w:cs="仿宋"/>
          <w:color w:val="auto"/>
          <w:sz w:val="28"/>
          <w:szCs w:val="28"/>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作为安全监督检查部门，现场安全监管不到位，也是事故发生的一个原因。</w:t>
      </w:r>
    </w:p>
    <w:p w14:paraId="2551186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（三）防范措施</w:t>
      </w:r>
    </w:p>
    <w:p w14:paraId="0D0D710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皮带工区要结合周一矿安全办公会及安全特别规定的意见相关要求，进一步树立全员“安全第一”的思想意识。</w:t>
      </w:r>
    </w:p>
    <w:p w14:paraId="7B6F634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皮带工区要重点针对员工行为规范管理方面采取强有力的措施和手段，查找根源，彻底扭转员工行为不规范、操作随意、冒险蛮干等现象和行为。</w:t>
      </w:r>
    </w:p>
    <w:p w14:paraId="1E8D613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皮带工区要加强班组长的素质培训，强化安全责任的落实，要确保班组长由生产型向安全型的根本性转变。</w:t>
      </w:r>
    </w:p>
    <w:p w14:paraId="46584B5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皮带工区要结合“一日一题”、“案例警示教育”等活动，认真开展安全教育活动，特别要认真解剖近期“三违”现象的原因，并制定相应的措施，切实提高员工的安全认知境界。</w:t>
      </w:r>
    </w:p>
    <w:p w14:paraId="41970DE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皮带工区要进一步加强员工自主保安、互保联保安全意识教育，增强全员安全责任意识的提高。</w:t>
      </w:r>
    </w:p>
    <w:p w14:paraId="125C7DB3">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default" w:ascii="仿宋" w:hAnsi="仿宋" w:eastAsia="仿宋" w:cs="仿宋"/>
          <w:color w:val="auto"/>
          <w:sz w:val="28"/>
          <w:szCs w:val="28"/>
        </w:rPr>
        <w:t>.</w:t>
      </w:r>
      <w:r>
        <w:rPr>
          <w:rFonts w:hint="eastAsia" w:ascii="仿宋" w:hAnsi="仿宋" w:eastAsia="仿宋" w:cs="仿宋"/>
          <w:color w:val="auto"/>
          <w:sz w:val="28"/>
          <w:szCs w:val="28"/>
        </w:rPr>
        <w:t>近期皮带工区要不断强化安全细节管理，理顺头绪，要求区队正职邻导值班，技术员以上管理人员盯靠现场，切实加强现场的安全管理。</w:t>
      </w:r>
    </w:p>
    <w:p w14:paraId="37AE062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皮带工区要认真吸取事故教训，切实抓好四采皮带2#带等重点安装工程的现场管理，并严格落实各项安全措施。</w:t>
      </w:r>
    </w:p>
    <w:p w14:paraId="32BA3BC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default" w:ascii="仿宋" w:hAnsi="仿宋" w:eastAsia="仿宋" w:cs="仿宋"/>
          <w:color w:val="auto"/>
          <w:sz w:val="28"/>
          <w:szCs w:val="28"/>
        </w:rPr>
        <w:t>.</w:t>
      </w:r>
      <w:r>
        <w:rPr>
          <w:rFonts w:hint="eastAsia" w:ascii="仿宋" w:hAnsi="仿宋" w:eastAsia="仿宋" w:cs="仿宋"/>
          <w:color w:val="auto"/>
          <w:sz w:val="28"/>
          <w:szCs w:val="28"/>
        </w:rPr>
        <w:t>专业和部门要加强重点工程的技术指导，对重点工程要统筹安排，强化责任落实，并按排专人跟班盯靠。</w:t>
      </w:r>
    </w:p>
    <w:p w14:paraId="51B3304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default" w:ascii="仿宋" w:hAnsi="仿宋" w:eastAsia="仿宋" w:cs="仿宋"/>
          <w:color w:val="auto"/>
          <w:sz w:val="28"/>
          <w:szCs w:val="28"/>
        </w:rPr>
        <w:t>.</w:t>
      </w:r>
      <w:r>
        <w:rPr>
          <w:rFonts w:hint="eastAsia" w:ascii="仿宋" w:hAnsi="仿宋" w:eastAsia="仿宋" w:cs="仿宋"/>
          <w:color w:val="auto"/>
          <w:sz w:val="28"/>
          <w:szCs w:val="28"/>
        </w:rPr>
        <w:t>要进一步发挥好安全监督检查作用，特别是针对重点工程及重点作业场所，要盯靠管理，责任落实。</w:t>
      </w:r>
    </w:p>
    <w:p w14:paraId="51F1A5D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b/>
          <w:bCs/>
          <w:color w:val="auto"/>
          <w:sz w:val="28"/>
          <w:szCs w:val="28"/>
        </w:rPr>
      </w:pPr>
      <w:r>
        <w:rPr>
          <w:rFonts w:hint="eastAsia" w:ascii="仿宋" w:hAnsi="仿宋" w:eastAsia="仿宋" w:cs="仿宋"/>
          <w:color w:val="auto"/>
          <w:sz w:val="28"/>
          <w:szCs w:val="28"/>
        </w:rPr>
        <w:t>10</w:t>
      </w:r>
      <w:r>
        <w:rPr>
          <w:rFonts w:hint="default" w:ascii="仿宋" w:hAnsi="仿宋" w:eastAsia="仿宋" w:cs="仿宋"/>
          <w:color w:val="auto"/>
          <w:sz w:val="28"/>
          <w:szCs w:val="28"/>
        </w:rPr>
        <w:t>.</w:t>
      </w:r>
      <w:r>
        <w:rPr>
          <w:rFonts w:hint="eastAsia" w:ascii="仿宋" w:hAnsi="仿宋" w:eastAsia="仿宋" w:cs="仿宋"/>
          <w:color w:val="auto"/>
          <w:sz w:val="28"/>
          <w:szCs w:val="28"/>
        </w:rPr>
        <w:t>全矿各单位要结合本次事故，进一步排查现场安全隐患，并制定切实有效的措施，确保安全工作顺利进行。</w:t>
      </w:r>
    </w:p>
    <w:p w14:paraId="0BF032EA">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十、常见三违</w:t>
      </w:r>
    </w:p>
    <w:p w14:paraId="1164CDF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（一）</w:t>
      </w:r>
      <w:r>
        <w:rPr>
          <w:rFonts w:hint="eastAsia" w:ascii="仿宋" w:hAnsi="仿宋" w:eastAsia="仿宋" w:cs="仿宋"/>
          <w:color w:val="auto"/>
          <w:sz w:val="28"/>
          <w:szCs w:val="28"/>
        </w:rPr>
        <w:t>严禁站或工作在没有防护装置的仓口、洞口、坑口或边缘，防止人员跌落伤害</w:t>
      </w:r>
      <w:r>
        <w:rPr>
          <w:rFonts w:hint="eastAsia" w:ascii="仿宋" w:hAnsi="仿宋" w:eastAsia="仿宋" w:cs="仿宋"/>
          <w:color w:val="auto"/>
          <w:sz w:val="28"/>
          <w:szCs w:val="28"/>
          <w:lang w:eastAsia="zh-CN"/>
        </w:rPr>
        <w:t>；</w:t>
      </w:r>
    </w:p>
    <w:p w14:paraId="657E0E43">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严禁将手放在容易伤害的挤压点</w:t>
      </w:r>
      <w:r>
        <w:rPr>
          <w:rFonts w:hint="eastAsia" w:ascii="仿宋" w:hAnsi="仿宋" w:eastAsia="仿宋" w:cs="仿宋"/>
          <w:color w:val="auto"/>
          <w:sz w:val="28"/>
          <w:szCs w:val="28"/>
          <w:lang w:eastAsia="zh-CN"/>
        </w:rPr>
        <w:t>；</w:t>
      </w:r>
    </w:p>
    <w:p w14:paraId="44CFDA4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严禁站在运输设备上作业</w:t>
      </w:r>
      <w:r>
        <w:rPr>
          <w:rFonts w:hint="eastAsia" w:ascii="仿宋" w:hAnsi="仿宋" w:eastAsia="仿宋" w:cs="仿宋"/>
          <w:color w:val="auto"/>
          <w:sz w:val="28"/>
          <w:szCs w:val="28"/>
          <w:lang w:eastAsia="zh-CN"/>
        </w:rPr>
        <w:t>；</w:t>
      </w:r>
    </w:p>
    <w:p w14:paraId="18CA8FE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严禁站或坐在顶帮没有支护或支护不可靠的地点歇息或作业</w:t>
      </w:r>
      <w:r>
        <w:rPr>
          <w:rFonts w:hint="eastAsia" w:ascii="仿宋" w:hAnsi="仿宋" w:eastAsia="仿宋" w:cs="仿宋"/>
          <w:color w:val="auto"/>
          <w:sz w:val="28"/>
          <w:szCs w:val="28"/>
          <w:lang w:eastAsia="zh-CN"/>
        </w:rPr>
        <w:t>；</w:t>
      </w:r>
    </w:p>
    <w:p w14:paraId="65A9937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敲帮问顶时，操作人员严禁站在离层或片帮煤、矸石正下方，确保退路畅通，防止坠物跌落伤人</w:t>
      </w:r>
      <w:r>
        <w:rPr>
          <w:rFonts w:hint="eastAsia" w:ascii="仿宋" w:hAnsi="仿宋" w:eastAsia="仿宋" w:cs="仿宋"/>
          <w:color w:val="auto"/>
          <w:sz w:val="28"/>
          <w:szCs w:val="28"/>
          <w:lang w:eastAsia="zh-CN"/>
        </w:rPr>
        <w:t>；</w:t>
      </w:r>
    </w:p>
    <w:p w14:paraId="75A98ED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用梯（凳）作业时，扶梯（凳）人员必须确保退路畅通并防止高处物件掉落伤人，严禁站在不安全环境下</w:t>
      </w:r>
      <w:r>
        <w:rPr>
          <w:rFonts w:hint="eastAsia" w:ascii="仿宋" w:hAnsi="仿宋" w:eastAsia="仿宋" w:cs="仿宋"/>
          <w:color w:val="auto"/>
          <w:sz w:val="28"/>
          <w:szCs w:val="28"/>
          <w:lang w:eastAsia="zh-CN"/>
        </w:rPr>
        <w:t>；</w:t>
      </w:r>
    </w:p>
    <w:p w14:paraId="29D6BBB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站在梯（凳）上的作业人员严禁站在管路、电缆、材料等设施的移动或液体喷射方向，并用力均匀，不能出猛力，以防失手闪脱造成坠落伤害</w:t>
      </w:r>
      <w:r>
        <w:rPr>
          <w:rFonts w:hint="eastAsia" w:ascii="仿宋" w:hAnsi="仿宋" w:eastAsia="仿宋" w:cs="仿宋"/>
          <w:color w:val="auto"/>
          <w:sz w:val="28"/>
          <w:szCs w:val="28"/>
          <w:lang w:eastAsia="zh-CN"/>
        </w:rPr>
        <w:t>；</w:t>
      </w:r>
    </w:p>
    <w:p w14:paraId="01CEAD8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吊杆下、吊物下、被吊物起吊前区（受力运动方向）、被吊物自然下滑方向、导向滑轮钢绳三角区、吊绳（索）周围、斜拉的吊钩或导向滑轮的自然运动方向等地点，一旦发生危险极不容易躲避，严禁任何人员作业、站立、逗留、观察</w:t>
      </w:r>
      <w:r>
        <w:rPr>
          <w:rFonts w:hint="eastAsia" w:ascii="仿宋" w:hAnsi="仿宋" w:eastAsia="仿宋" w:cs="仿宋"/>
          <w:color w:val="auto"/>
          <w:sz w:val="28"/>
          <w:szCs w:val="28"/>
          <w:lang w:eastAsia="zh-CN"/>
        </w:rPr>
        <w:t>；</w:t>
      </w:r>
    </w:p>
    <w:p w14:paraId="3C5B12A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九</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严禁未佩戴防护面具或护目镜的人员进行电焊、气割作业，或近距离观看电焊、气割作业，防止被强光、铁屑伤害</w:t>
      </w:r>
      <w:r>
        <w:rPr>
          <w:rFonts w:hint="eastAsia" w:ascii="仿宋" w:hAnsi="仿宋" w:eastAsia="仿宋" w:cs="仿宋"/>
          <w:color w:val="auto"/>
          <w:sz w:val="28"/>
          <w:szCs w:val="28"/>
          <w:lang w:eastAsia="zh-CN"/>
        </w:rPr>
        <w:t>；</w:t>
      </w:r>
    </w:p>
    <w:p w14:paraId="329D4B7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煤溜、皮带运转期间，严禁任何人员跨越，必须走行人过桥</w:t>
      </w:r>
      <w:r>
        <w:rPr>
          <w:rFonts w:hint="eastAsia" w:ascii="仿宋" w:hAnsi="仿宋" w:eastAsia="仿宋" w:cs="仿宋"/>
          <w:color w:val="auto"/>
          <w:sz w:val="28"/>
          <w:szCs w:val="28"/>
          <w:lang w:eastAsia="zh-CN"/>
        </w:rPr>
        <w:t>；</w:t>
      </w:r>
    </w:p>
    <w:p w14:paraId="06B7085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十一</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大巷行走时，严禁在非人行道行走，如遇矿车通过时，人员必须停下来，到另一侧轨道进行安全躲避</w:t>
      </w:r>
      <w:r>
        <w:rPr>
          <w:rFonts w:hint="eastAsia" w:ascii="仿宋" w:hAnsi="仿宋" w:eastAsia="仿宋" w:cs="仿宋"/>
          <w:color w:val="auto"/>
          <w:sz w:val="28"/>
          <w:szCs w:val="28"/>
          <w:lang w:eastAsia="zh-CN"/>
        </w:rPr>
        <w:t>；</w:t>
      </w:r>
    </w:p>
    <w:p w14:paraId="6DEA876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严禁站、坐、骑在悬吊的风、水、液管路上进行安装、检修或其他作业</w:t>
      </w:r>
      <w:r>
        <w:rPr>
          <w:rFonts w:hint="eastAsia" w:ascii="仿宋" w:hAnsi="仿宋" w:eastAsia="仿宋" w:cs="仿宋"/>
          <w:color w:val="auto"/>
          <w:sz w:val="28"/>
          <w:szCs w:val="28"/>
          <w:lang w:eastAsia="zh-CN"/>
        </w:rPr>
        <w:t>；</w:t>
      </w:r>
    </w:p>
    <w:p w14:paraId="2F62AB9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严禁用木楔或其他物体代替阻车或防跑车装置，严禁站、坐在未采取可靠稳车措施的矿车</w:t>
      </w:r>
      <w:r>
        <w:rPr>
          <w:rFonts w:hint="eastAsia" w:ascii="仿宋" w:hAnsi="仿宋" w:eastAsia="仿宋" w:cs="仿宋"/>
          <w:color w:val="auto"/>
          <w:sz w:val="28"/>
          <w:szCs w:val="28"/>
          <w:lang w:eastAsia="zh-CN"/>
        </w:rPr>
        <w:t>；</w:t>
      </w:r>
    </w:p>
    <w:p w14:paraId="2961DDA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辅助运输作业人员监护料车行进时，严禁在自然下滑方向的车辆下方站立或行走</w:t>
      </w:r>
      <w:r>
        <w:rPr>
          <w:rFonts w:hint="eastAsia" w:ascii="仿宋" w:hAnsi="仿宋" w:eastAsia="仿宋" w:cs="仿宋"/>
          <w:color w:val="auto"/>
          <w:sz w:val="28"/>
          <w:szCs w:val="28"/>
          <w:lang w:eastAsia="zh-CN"/>
        </w:rPr>
        <w:t>；</w:t>
      </w:r>
    </w:p>
    <w:p w14:paraId="5706022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严禁穿越、作业于未在上部采取防护措施的设备下方（皮带机、转载机等）</w:t>
      </w:r>
      <w:r>
        <w:rPr>
          <w:rFonts w:hint="eastAsia" w:ascii="仿宋" w:hAnsi="仿宋" w:eastAsia="仿宋" w:cs="仿宋"/>
          <w:color w:val="auto"/>
          <w:sz w:val="28"/>
          <w:szCs w:val="28"/>
          <w:lang w:eastAsia="zh-CN"/>
        </w:rPr>
        <w:t>；</w:t>
      </w:r>
    </w:p>
    <w:p w14:paraId="34DEC3E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严禁站、坐、靠于不牢固的支柱、木垛、棚架的下方</w:t>
      </w:r>
      <w:r>
        <w:rPr>
          <w:rFonts w:hint="eastAsia" w:ascii="仿宋" w:hAnsi="仿宋" w:eastAsia="仿宋" w:cs="仿宋"/>
          <w:color w:val="auto"/>
          <w:sz w:val="28"/>
          <w:szCs w:val="28"/>
          <w:lang w:eastAsia="zh-CN"/>
        </w:rPr>
        <w:t>；</w:t>
      </w:r>
    </w:p>
    <w:p w14:paraId="658FD94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班组长、跟班人员不在现场或现场无监护人员从事起吊作业</w:t>
      </w:r>
      <w:r>
        <w:rPr>
          <w:rFonts w:hint="eastAsia" w:ascii="仿宋" w:hAnsi="仿宋" w:eastAsia="仿宋" w:cs="仿宋"/>
          <w:color w:val="auto"/>
          <w:sz w:val="28"/>
          <w:szCs w:val="28"/>
          <w:lang w:eastAsia="zh-CN"/>
        </w:rPr>
        <w:t>；</w:t>
      </w:r>
    </w:p>
    <w:p w14:paraId="69702FA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起吊大件两侧没有拉警戒绳或人员随意通过的。</w:t>
      </w:r>
    </w:p>
    <w:p w14:paraId="468FB312">
      <w:pPr>
        <w:rPr>
          <w:rFonts w:hint="eastAsia" w:cs="Times New Roman"/>
          <w:color w:val="auto"/>
          <w:lang w:val="en-US" w:eastAsia="zh-CN"/>
        </w:rPr>
      </w:pPr>
      <w:bookmarkStart w:id="378" w:name="_Toc16337"/>
      <w:bookmarkStart w:id="379" w:name="_Toc3841"/>
      <w:bookmarkStart w:id="380" w:name="_Toc4109"/>
      <w:r>
        <w:rPr>
          <w:rFonts w:hint="eastAsia" w:cs="Times New Roman"/>
          <w:color w:val="auto"/>
          <w:lang w:val="en-US" w:eastAsia="zh-CN"/>
        </w:rPr>
        <w:br w:type="page"/>
      </w:r>
    </w:p>
    <w:p w14:paraId="7E34E3DF">
      <w:pPr>
        <w:pStyle w:val="17"/>
        <w:bidi w:val="0"/>
        <w:jc w:val="center"/>
        <w:outlineLvl w:val="1"/>
        <w:rPr>
          <w:rFonts w:hint="eastAsia" w:cs="Times New Roman"/>
          <w:color w:val="auto"/>
          <w:lang w:val="en-US" w:eastAsia="zh-CN"/>
        </w:rPr>
      </w:pPr>
      <w:bookmarkStart w:id="381" w:name="_Toc25319"/>
      <w:r>
        <w:rPr>
          <w:rFonts w:hint="eastAsia" w:cs="Times New Roman"/>
          <w:color w:val="auto"/>
          <w:lang w:val="en-US" w:eastAsia="zh-CN"/>
        </w:rPr>
        <w:t>电钳工</w:t>
      </w:r>
      <w:bookmarkEnd w:id="378"/>
      <w:bookmarkEnd w:id="379"/>
      <w:bookmarkEnd w:id="380"/>
      <w:bookmarkEnd w:id="381"/>
    </w:p>
    <w:tbl>
      <w:tblPr>
        <w:tblStyle w:val="12"/>
        <w:tblW w:w="9960" w:type="dxa"/>
        <w:tblInd w:w="-621" w:type="dxa"/>
        <w:tblLayout w:type="fixed"/>
        <w:tblCellMar>
          <w:top w:w="0" w:type="dxa"/>
          <w:left w:w="108" w:type="dxa"/>
          <w:bottom w:w="0" w:type="dxa"/>
          <w:right w:w="108" w:type="dxa"/>
        </w:tblCellMar>
      </w:tblPr>
      <w:tblGrid>
        <w:gridCol w:w="1410"/>
        <w:gridCol w:w="2886"/>
        <w:gridCol w:w="1696"/>
        <w:gridCol w:w="3968"/>
      </w:tblGrid>
      <w:tr w14:paraId="01AAF72F">
        <w:tblPrEx>
          <w:tblCellMar>
            <w:top w:w="0" w:type="dxa"/>
            <w:left w:w="108" w:type="dxa"/>
            <w:bottom w:w="0" w:type="dxa"/>
            <w:right w:w="108" w:type="dxa"/>
          </w:tblCellMar>
        </w:tblPrEx>
        <w:trPr>
          <w:trHeight w:val="335" w:hRule="atLeast"/>
        </w:trPr>
        <w:tc>
          <w:tcPr>
            <w:tcW w:w="9960" w:type="dxa"/>
            <w:gridSpan w:val="4"/>
            <w:tcBorders>
              <w:top w:val="single" w:color="auto" w:sz="4" w:space="0"/>
              <w:left w:val="single" w:color="auto" w:sz="4" w:space="0"/>
              <w:bottom w:val="single" w:color="auto" w:sz="4" w:space="0"/>
              <w:right w:val="single" w:color="auto" w:sz="4" w:space="0"/>
            </w:tcBorders>
            <w:vAlign w:val="center"/>
          </w:tcPr>
          <w:p w14:paraId="6B23512B">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bookmarkStart w:id="382" w:name="_Toc21227"/>
            <w:bookmarkStart w:id="383" w:name="_Toc9699"/>
            <w:bookmarkStart w:id="384" w:name="_Toc29544"/>
            <w:r>
              <w:rPr>
                <w:rFonts w:hint="eastAsia" w:ascii="仿宋" w:hAnsi="仿宋" w:eastAsia="仿宋" w:cs="仿宋"/>
                <w:b w:val="0"/>
                <w:bCs w:val="0"/>
                <w:color w:val="auto"/>
                <w:sz w:val="21"/>
                <w:szCs w:val="21"/>
              </w:rPr>
              <w:t>电钳工岗位风险告知卡</w:t>
            </w:r>
            <w:bookmarkEnd w:id="382"/>
            <w:bookmarkEnd w:id="383"/>
            <w:bookmarkEnd w:id="384"/>
          </w:p>
        </w:tc>
      </w:tr>
      <w:tr w14:paraId="5A08A294">
        <w:tblPrEx>
          <w:tblCellMar>
            <w:top w:w="0" w:type="dxa"/>
            <w:left w:w="108" w:type="dxa"/>
            <w:bottom w:w="0" w:type="dxa"/>
            <w:right w:w="108" w:type="dxa"/>
          </w:tblCellMar>
        </w:tblPrEx>
        <w:trPr>
          <w:trHeight w:val="687" w:hRule="atLeast"/>
        </w:trPr>
        <w:tc>
          <w:tcPr>
            <w:tcW w:w="1410" w:type="dxa"/>
            <w:tcBorders>
              <w:top w:val="nil"/>
              <w:left w:val="single" w:color="auto" w:sz="4" w:space="0"/>
              <w:bottom w:val="single" w:color="auto" w:sz="4" w:space="0"/>
              <w:right w:val="single" w:color="auto" w:sz="4" w:space="0"/>
            </w:tcBorders>
            <w:vAlign w:val="center"/>
          </w:tcPr>
          <w:p w14:paraId="3621201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361C51F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86" w:type="dxa"/>
            <w:tcBorders>
              <w:top w:val="nil"/>
              <w:left w:val="nil"/>
              <w:bottom w:val="single" w:color="auto" w:sz="4" w:space="0"/>
              <w:right w:val="single" w:color="auto" w:sz="4" w:space="0"/>
            </w:tcBorders>
            <w:vAlign w:val="center"/>
          </w:tcPr>
          <w:p w14:paraId="27E6037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冒顶（片帮）、机电、职业病危害</w:t>
            </w:r>
          </w:p>
        </w:tc>
        <w:tc>
          <w:tcPr>
            <w:tcW w:w="1696" w:type="dxa"/>
            <w:tcBorders>
              <w:top w:val="nil"/>
              <w:left w:val="nil"/>
              <w:bottom w:val="single" w:color="auto" w:sz="4" w:space="0"/>
              <w:right w:val="single" w:color="auto" w:sz="4" w:space="0"/>
            </w:tcBorders>
            <w:vAlign w:val="center"/>
          </w:tcPr>
          <w:p w14:paraId="59A6B82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17EA0C0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968" w:type="dxa"/>
            <w:tcBorders>
              <w:top w:val="nil"/>
              <w:left w:val="nil"/>
              <w:bottom w:val="single" w:color="auto" w:sz="4" w:space="0"/>
              <w:right w:val="single" w:color="auto" w:sz="4" w:space="0"/>
            </w:tcBorders>
            <w:vAlign w:val="center"/>
          </w:tcPr>
          <w:p w14:paraId="1BAA3AA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工区值班：8650526</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2E42373E">
        <w:tblPrEx>
          <w:tblCellMar>
            <w:top w:w="0" w:type="dxa"/>
            <w:left w:w="108" w:type="dxa"/>
            <w:bottom w:w="0" w:type="dxa"/>
            <w:right w:w="108" w:type="dxa"/>
          </w:tblCellMar>
        </w:tblPrEx>
        <w:trPr>
          <w:trHeight w:val="264" w:hRule="atLeast"/>
        </w:trPr>
        <w:tc>
          <w:tcPr>
            <w:tcW w:w="4296" w:type="dxa"/>
            <w:gridSpan w:val="2"/>
            <w:tcBorders>
              <w:top w:val="single" w:color="auto" w:sz="4" w:space="0"/>
              <w:left w:val="single" w:color="auto" w:sz="4" w:space="0"/>
              <w:bottom w:val="single" w:color="auto" w:sz="4" w:space="0"/>
              <w:right w:val="single" w:color="auto" w:sz="4" w:space="0"/>
            </w:tcBorders>
            <w:vAlign w:val="center"/>
          </w:tcPr>
          <w:p w14:paraId="7F8B191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664" w:type="dxa"/>
            <w:gridSpan w:val="2"/>
            <w:tcBorders>
              <w:top w:val="single" w:color="auto" w:sz="4" w:space="0"/>
              <w:left w:val="nil"/>
              <w:bottom w:val="single" w:color="auto" w:sz="4" w:space="0"/>
              <w:right w:val="single" w:color="auto" w:sz="4" w:space="0"/>
            </w:tcBorders>
            <w:vAlign w:val="center"/>
          </w:tcPr>
          <w:p w14:paraId="067C71E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5172698F">
        <w:tblPrEx>
          <w:tblCellMar>
            <w:top w:w="0" w:type="dxa"/>
            <w:left w:w="108" w:type="dxa"/>
            <w:bottom w:w="0" w:type="dxa"/>
            <w:right w:w="108" w:type="dxa"/>
          </w:tblCellMar>
        </w:tblPrEx>
        <w:trPr>
          <w:trHeight w:val="757" w:hRule="atLeast"/>
        </w:trPr>
        <w:tc>
          <w:tcPr>
            <w:tcW w:w="4296" w:type="dxa"/>
            <w:gridSpan w:val="2"/>
            <w:tcBorders>
              <w:top w:val="single" w:color="auto" w:sz="4" w:space="0"/>
              <w:left w:val="single" w:color="auto" w:sz="4" w:space="0"/>
              <w:bottom w:val="single" w:color="auto" w:sz="4" w:space="0"/>
              <w:right w:val="single" w:color="auto" w:sz="4" w:space="0"/>
            </w:tcBorders>
            <w:vAlign w:val="center"/>
          </w:tcPr>
          <w:p w14:paraId="65A4B15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1.未持证上岗；未佩戴个体防护；空顶作业；瓦斯超限作业</w:t>
            </w:r>
            <w:r>
              <w:rPr>
                <w:rFonts w:hint="eastAsia" w:ascii="仿宋" w:hAnsi="仿宋" w:eastAsia="仿宋" w:cs="仿宋"/>
                <w:color w:val="auto"/>
                <w:kern w:val="0"/>
                <w:sz w:val="21"/>
                <w:szCs w:val="21"/>
                <w:lang w:eastAsia="zh-CN"/>
              </w:rPr>
              <w:t>。</w:t>
            </w:r>
          </w:p>
        </w:tc>
        <w:tc>
          <w:tcPr>
            <w:tcW w:w="5664" w:type="dxa"/>
            <w:gridSpan w:val="2"/>
            <w:tcBorders>
              <w:top w:val="single" w:color="auto" w:sz="4" w:space="0"/>
              <w:left w:val="nil"/>
              <w:bottom w:val="single" w:color="auto" w:sz="4" w:space="0"/>
              <w:right w:val="single" w:color="auto" w:sz="4" w:space="0"/>
            </w:tcBorders>
            <w:vAlign w:val="center"/>
          </w:tcPr>
          <w:p w14:paraId="63A2902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1.经培训合格后，持证上岗；佩戴好安全帽、口罩、耳塞，必须穿绝缘靴且完好无破损；检查好顶帮支护情况，确保顶帮支护合格后方可上岗作业；瓦斯浓度达到1%时，立即停机处理</w:t>
            </w:r>
            <w:r>
              <w:rPr>
                <w:rFonts w:hint="eastAsia" w:ascii="仿宋" w:hAnsi="仿宋" w:eastAsia="仿宋" w:cs="仿宋"/>
                <w:color w:val="auto"/>
                <w:kern w:val="0"/>
                <w:sz w:val="21"/>
                <w:szCs w:val="21"/>
                <w:lang w:eastAsia="zh-CN"/>
              </w:rPr>
              <w:t>。</w:t>
            </w:r>
          </w:p>
        </w:tc>
      </w:tr>
      <w:tr w14:paraId="41EADC4F">
        <w:tblPrEx>
          <w:tblCellMar>
            <w:top w:w="0" w:type="dxa"/>
            <w:left w:w="108" w:type="dxa"/>
            <w:bottom w:w="0" w:type="dxa"/>
            <w:right w:w="108" w:type="dxa"/>
          </w:tblCellMar>
        </w:tblPrEx>
        <w:trPr>
          <w:trHeight w:val="793" w:hRule="atLeast"/>
        </w:trPr>
        <w:tc>
          <w:tcPr>
            <w:tcW w:w="4296" w:type="dxa"/>
            <w:gridSpan w:val="2"/>
            <w:tcBorders>
              <w:top w:val="single" w:color="auto" w:sz="4" w:space="0"/>
              <w:left w:val="single" w:color="auto" w:sz="4" w:space="0"/>
              <w:bottom w:val="single" w:color="auto" w:sz="4" w:space="0"/>
              <w:right w:val="single" w:color="auto" w:sz="4" w:space="0"/>
            </w:tcBorders>
            <w:vAlign w:val="center"/>
          </w:tcPr>
          <w:p w14:paraId="78ACAA1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2.工具、仪表、配件携带不齐全；带电搬迁，触电伤人、损坏设备</w:t>
            </w:r>
            <w:r>
              <w:rPr>
                <w:rFonts w:hint="eastAsia" w:ascii="仿宋" w:hAnsi="仿宋" w:eastAsia="仿宋" w:cs="仿宋"/>
                <w:color w:val="auto"/>
                <w:kern w:val="0"/>
                <w:sz w:val="21"/>
                <w:szCs w:val="21"/>
                <w:lang w:eastAsia="zh-CN"/>
              </w:rPr>
              <w:t>。</w:t>
            </w:r>
          </w:p>
        </w:tc>
        <w:tc>
          <w:tcPr>
            <w:tcW w:w="5664" w:type="dxa"/>
            <w:gridSpan w:val="2"/>
            <w:tcBorders>
              <w:top w:val="single" w:color="auto" w:sz="4" w:space="0"/>
              <w:left w:val="nil"/>
              <w:bottom w:val="single" w:color="auto" w:sz="4" w:space="0"/>
              <w:right w:val="single" w:color="auto" w:sz="4" w:space="0"/>
            </w:tcBorders>
            <w:vAlign w:val="center"/>
          </w:tcPr>
          <w:p w14:paraId="0DDB2D4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2.检查备齐检修工具、检测仪表齐全完好，材料、配件充足，型号相符；施工前将带电设备上级停电，无误后方可施工，严禁带电搬迁</w:t>
            </w:r>
            <w:r>
              <w:rPr>
                <w:rFonts w:hint="eastAsia" w:ascii="仿宋" w:hAnsi="仿宋" w:eastAsia="仿宋" w:cs="仿宋"/>
                <w:color w:val="auto"/>
                <w:kern w:val="0"/>
                <w:sz w:val="21"/>
                <w:szCs w:val="21"/>
                <w:lang w:eastAsia="zh-CN"/>
              </w:rPr>
              <w:t>。</w:t>
            </w:r>
          </w:p>
        </w:tc>
      </w:tr>
      <w:tr w14:paraId="62F772E5">
        <w:tblPrEx>
          <w:tblCellMar>
            <w:top w:w="0" w:type="dxa"/>
            <w:left w:w="108" w:type="dxa"/>
            <w:bottom w:w="0" w:type="dxa"/>
            <w:right w:w="108" w:type="dxa"/>
          </w:tblCellMar>
        </w:tblPrEx>
        <w:trPr>
          <w:trHeight w:val="1127" w:hRule="atLeast"/>
        </w:trPr>
        <w:tc>
          <w:tcPr>
            <w:tcW w:w="4296" w:type="dxa"/>
            <w:gridSpan w:val="2"/>
            <w:tcBorders>
              <w:top w:val="single" w:color="auto" w:sz="4" w:space="0"/>
              <w:left w:val="single" w:color="auto" w:sz="4" w:space="0"/>
              <w:bottom w:val="single" w:color="auto" w:sz="4" w:space="0"/>
              <w:right w:val="single" w:color="auto" w:sz="4" w:space="0"/>
            </w:tcBorders>
            <w:vAlign w:val="center"/>
          </w:tcPr>
          <w:p w14:paraId="2F93E30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3.检修前未停电闭锁；未挂停电牌；未执行验放电程序</w:t>
            </w:r>
            <w:r>
              <w:rPr>
                <w:rFonts w:hint="eastAsia" w:ascii="仿宋" w:hAnsi="仿宋" w:eastAsia="仿宋" w:cs="仿宋"/>
                <w:color w:val="auto"/>
                <w:kern w:val="0"/>
                <w:sz w:val="21"/>
                <w:szCs w:val="21"/>
                <w:lang w:eastAsia="zh-CN"/>
              </w:rPr>
              <w:t>。</w:t>
            </w:r>
          </w:p>
        </w:tc>
        <w:tc>
          <w:tcPr>
            <w:tcW w:w="5664" w:type="dxa"/>
            <w:gridSpan w:val="2"/>
            <w:tcBorders>
              <w:top w:val="single" w:color="auto" w:sz="4" w:space="0"/>
              <w:left w:val="nil"/>
              <w:bottom w:val="single" w:color="auto" w:sz="4" w:space="0"/>
              <w:right w:val="single" w:color="auto" w:sz="4" w:space="0"/>
            </w:tcBorders>
            <w:vAlign w:val="center"/>
          </w:tcPr>
          <w:p w14:paraId="5EE4152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检修或维修前，先将开关把手扳到停电位置并闭锁；在开关上挂“有人工作，禁止送电”警示牌，必要时设专人看护，严禁带电操作；电气接线或使用工具前，必须检查验电笔是否符合所用绝缘等级；将接地线一端挂在接地端子上，开盖后进行验电、放电</w:t>
            </w:r>
            <w:r>
              <w:rPr>
                <w:rFonts w:hint="eastAsia" w:ascii="仿宋" w:hAnsi="仿宋" w:eastAsia="仿宋" w:cs="仿宋"/>
                <w:color w:val="auto"/>
                <w:kern w:val="0"/>
                <w:sz w:val="21"/>
                <w:szCs w:val="21"/>
                <w:lang w:eastAsia="zh-CN"/>
              </w:rPr>
              <w:t>。</w:t>
            </w:r>
          </w:p>
        </w:tc>
      </w:tr>
      <w:tr w14:paraId="7D083D06">
        <w:tblPrEx>
          <w:tblCellMar>
            <w:top w:w="0" w:type="dxa"/>
            <w:left w:w="108" w:type="dxa"/>
            <w:bottom w:w="0" w:type="dxa"/>
            <w:right w:w="108" w:type="dxa"/>
          </w:tblCellMar>
        </w:tblPrEx>
        <w:trPr>
          <w:trHeight w:val="546" w:hRule="atLeast"/>
        </w:trPr>
        <w:tc>
          <w:tcPr>
            <w:tcW w:w="4296" w:type="dxa"/>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14:paraId="21D42A1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4.各零部件不齐全，连接不牢固；电缆破损、漏电</w:t>
            </w:r>
            <w:r>
              <w:rPr>
                <w:rFonts w:hint="eastAsia" w:ascii="仿宋" w:hAnsi="仿宋" w:eastAsia="仿宋" w:cs="仿宋"/>
                <w:color w:val="auto"/>
                <w:kern w:val="0"/>
                <w:sz w:val="21"/>
                <w:szCs w:val="21"/>
                <w:lang w:eastAsia="zh-CN"/>
              </w:rPr>
              <w:t>。</w:t>
            </w:r>
          </w:p>
        </w:tc>
        <w:tc>
          <w:tcPr>
            <w:tcW w:w="5664" w:type="dxa"/>
            <w:gridSpan w:val="2"/>
            <w:tcBorders>
              <w:top w:val="single" w:color="auto" w:sz="4" w:space="0"/>
              <w:left w:val="nil"/>
              <w:bottom w:val="single" w:color="auto" w:sz="4" w:space="0"/>
              <w:right w:val="single" w:color="auto" w:sz="4" w:space="0"/>
            </w:tcBorders>
            <w:shd w:val="clear" w:color="auto" w:fill="FFFFFF" w:themeFill="background1"/>
            <w:vAlign w:val="center"/>
          </w:tcPr>
          <w:p w14:paraId="256B734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4.检查设备各零部件是否齐全，连接是否牢固，设备经实验正常后方可使用；加强巡查，电缆外皮破损及时修复</w:t>
            </w:r>
            <w:r>
              <w:rPr>
                <w:rFonts w:hint="eastAsia" w:ascii="仿宋" w:hAnsi="仿宋" w:eastAsia="仿宋" w:cs="仿宋"/>
                <w:color w:val="auto"/>
                <w:kern w:val="0"/>
                <w:sz w:val="21"/>
                <w:szCs w:val="21"/>
                <w:lang w:eastAsia="zh-CN"/>
              </w:rPr>
              <w:t>。</w:t>
            </w:r>
          </w:p>
        </w:tc>
      </w:tr>
      <w:tr w14:paraId="3346EF58">
        <w:tblPrEx>
          <w:tblCellMar>
            <w:top w:w="0" w:type="dxa"/>
            <w:left w:w="108" w:type="dxa"/>
            <w:bottom w:w="0" w:type="dxa"/>
            <w:right w:w="108" w:type="dxa"/>
          </w:tblCellMar>
        </w:tblPrEx>
        <w:trPr>
          <w:trHeight w:val="546" w:hRule="atLeast"/>
        </w:trPr>
        <w:tc>
          <w:tcPr>
            <w:tcW w:w="4296" w:type="dxa"/>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14:paraId="78DBC5C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电气设备未设接地保护，可能发生电气事故。</w:t>
            </w:r>
          </w:p>
        </w:tc>
        <w:tc>
          <w:tcPr>
            <w:tcW w:w="5664" w:type="dxa"/>
            <w:gridSpan w:val="2"/>
            <w:tcBorders>
              <w:top w:val="single" w:color="auto" w:sz="4" w:space="0"/>
              <w:left w:val="nil"/>
              <w:bottom w:val="single" w:color="auto" w:sz="4" w:space="0"/>
              <w:right w:val="single" w:color="auto" w:sz="4" w:space="0"/>
            </w:tcBorders>
            <w:shd w:val="clear" w:color="auto" w:fill="FFFFFF" w:themeFill="background1"/>
            <w:vAlign w:val="center"/>
          </w:tcPr>
          <w:p w14:paraId="33B0A84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5.必须对电气设备安设接地保护。</w:t>
            </w:r>
          </w:p>
        </w:tc>
      </w:tr>
      <w:tr w14:paraId="1468FB1B">
        <w:tblPrEx>
          <w:tblCellMar>
            <w:top w:w="0" w:type="dxa"/>
            <w:left w:w="108" w:type="dxa"/>
            <w:bottom w:w="0" w:type="dxa"/>
            <w:right w:w="108" w:type="dxa"/>
          </w:tblCellMar>
        </w:tblPrEx>
        <w:trPr>
          <w:trHeight w:val="683" w:hRule="atLeast"/>
        </w:trPr>
        <w:tc>
          <w:tcPr>
            <w:tcW w:w="1410" w:type="dxa"/>
            <w:tcBorders>
              <w:top w:val="nil"/>
              <w:left w:val="single" w:color="auto" w:sz="4" w:space="0"/>
              <w:bottom w:val="single" w:color="auto" w:sz="4" w:space="0"/>
              <w:right w:val="single" w:color="auto" w:sz="4" w:space="0"/>
            </w:tcBorders>
            <w:vAlign w:val="center"/>
          </w:tcPr>
          <w:p w14:paraId="10FEDC79">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33B4F82D">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550" w:type="dxa"/>
            <w:gridSpan w:val="3"/>
            <w:tcBorders>
              <w:top w:val="single" w:color="auto" w:sz="4" w:space="0"/>
              <w:left w:val="nil"/>
              <w:bottom w:val="single" w:color="auto" w:sz="4" w:space="0"/>
              <w:right w:val="single" w:color="auto" w:sz="4" w:space="0"/>
            </w:tcBorders>
            <w:vAlign w:val="center"/>
          </w:tcPr>
          <w:p w14:paraId="7955F05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2471F7C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78332C4F">
        <w:tblPrEx>
          <w:tblCellMar>
            <w:top w:w="0" w:type="dxa"/>
            <w:left w:w="108" w:type="dxa"/>
            <w:bottom w:w="0" w:type="dxa"/>
            <w:right w:w="108" w:type="dxa"/>
          </w:tblCellMar>
        </w:tblPrEx>
        <w:trPr>
          <w:trHeight w:val="863" w:hRule="atLeast"/>
        </w:trPr>
        <w:tc>
          <w:tcPr>
            <w:tcW w:w="1410" w:type="dxa"/>
            <w:tcBorders>
              <w:top w:val="nil"/>
              <w:left w:val="single" w:color="auto" w:sz="4" w:space="0"/>
              <w:bottom w:val="single" w:color="auto" w:sz="4" w:space="0"/>
              <w:right w:val="single" w:color="auto" w:sz="4" w:space="0"/>
            </w:tcBorders>
            <w:vAlign w:val="center"/>
          </w:tcPr>
          <w:p w14:paraId="6005CFC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2263008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239AB95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550" w:type="dxa"/>
            <w:gridSpan w:val="3"/>
            <w:tcBorders>
              <w:top w:val="single" w:color="auto" w:sz="4" w:space="0"/>
              <w:left w:val="nil"/>
              <w:bottom w:val="single" w:color="auto" w:sz="4" w:space="0"/>
              <w:right w:val="single" w:color="auto" w:sz="4" w:space="0"/>
            </w:tcBorders>
            <w:vAlign w:val="center"/>
          </w:tcPr>
          <w:p w14:paraId="0DFC45CA">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发生事故后，第一时间向工区值班室和调度室汇报</w:t>
            </w:r>
            <w:r>
              <w:rPr>
                <w:rFonts w:hint="eastAsia" w:ascii="仿宋" w:hAnsi="仿宋" w:eastAsia="仿宋" w:cs="仿宋"/>
                <w:color w:val="auto"/>
                <w:kern w:val="0"/>
                <w:sz w:val="21"/>
                <w:szCs w:val="21"/>
                <w:lang w:eastAsia="zh-CN"/>
              </w:rPr>
              <w:t>。</w:t>
            </w:r>
          </w:p>
          <w:p w14:paraId="5173DF95">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2.如果是电气火灾，立即找到电源开关，切断电源</w:t>
            </w:r>
            <w:r>
              <w:rPr>
                <w:rFonts w:hint="eastAsia" w:ascii="仿宋" w:hAnsi="仿宋" w:eastAsia="仿宋" w:cs="仿宋"/>
                <w:color w:val="auto"/>
                <w:kern w:val="0"/>
                <w:sz w:val="21"/>
                <w:szCs w:val="21"/>
                <w:lang w:eastAsia="zh-CN"/>
              </w:rPr>
              <w:t>。</w:t>
            </w:r>
          </w:p>
          <w:p w14:paraId="30601E9A">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3.抢救伤员遵循“三先三后”原则</w:t>
            </w:r>
            <w:r>
              <w:rPr>
                <w:rFonts w:hint="eastAsia" w:ascii="仿宋" w:hAnsi="仿宋" w:eastAsia="仿宋" w:cs="仿宋"/>
                <w:color w:val="auto"/>
                <w:kern w:val="0"/>
                <w:sz w:val="21"/>
                <w:szCs w:val="21"/>
                <w:lang w:eastAsia="zh-CN"/>
              </w:rPr>
              <w:t>。</w:t>
            </w:r>
          </w:p>
          <w:p w14:paraId="38D14D7C">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4.当火势得不到有效控制时，立即选择逃生，在逃生时注意方式方法，要俯下身子用湿毛巾捂住口鼻，迅速打开自救器逃生，必要时进入避难硐室避灾</w:t>
            </w:r>
            <w:r>
              <w:rPr>
                <w:rFonts w:hint="eastAsia" w:ascii="仿宋" w:hAnsi="仿宋" w:eastAsia="仿宋" w:cs="仿宋"/>
                <w:color w:val="auto"/>
                <w:kern w:val="0"/>
                <w:sz w:val="21"/>
                <w:szCs w:val="21"/>
                <w:lang w:eastAsia="zh-CN"/>
              </w:rPr>
              <w:t>。</w:t>
            </w:r>
          </w:p>
        </w:tc>
      </w:tr>
    </w:tbl>
    <w:tbl>
      <w:tblPr>
        <w:tblStyle w:val="12"/>
        <w:tblpPr w:leftFromText="180" w:rightFromText="180" w:vertAnchor="text" w:horzAnchor="margin" w:tblpXSpec="center" w:tblpY="173"/>
        <w:tblW w:w="93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41"/>
        <w:gridCol w:w="7035"/>
      </w:tblGrid>
      <w:tr w14:paraId="3B7E4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9376" w:type="dxa"/>
            <w:gridSpan w:val="2"/>
            <w:vAlign w:val="center"/>
          </w:tcPr>
          <w:p w14:paraId="628976DB">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color w:val="auto"/>
                <w:sz w:val="21"/>
                <w:szCs w:val="21"/>
              </w:rPr>
            </w:pPr>
            <w:bookmarkStart w:id="385" w:name="_Toc32208"/>
            <w:bookmarkStart w:id="386" w:name="_Toc11397"/>
            <w:bookmarkStart w:id="387" w:name="_Toc373581547"/>
            <w:bookmarkStart w:id="388" w:name="_Toc366478482"/>
            <w:bookmarkStart w:id="389" w:name="_Toc3666"/>
            <w:bookmarkStart w:id="390" w:name="_Toc8674"/>
            <w:r>
              <w:rPr>
                <w:rFonts w:hint="eastAsia" w:ascii="仿宋" w:hAnsi="仿宋" w:eastAsia="仿宋" w:cs="仿宋"/>
                <w:b/>
                <w:color w:val="auto"/>
                <w:sz w:val="21"/>
                <w:szCs w:val="21"/>
              </w:rPr>
              <w:t>电钳工</w:t>
            </w:r>
            <w:r>
              <w:rPr>
                <w:rFonts w:hint="eastAsia" w:ascii="仿宋" w:hAnsi="仿宋" w:eastAsia="仿宋" w:cs="仿宋"/>
                <w:b/>
                <w:bCs/>
                <w:color w:val="auto"/>
                <w:kern w:val="0"/>
                <w:sz w:val="21"/>
                <w:szCs w:val="21"/>
              </w:rPr>
              <w:t>安全提示卡</w:t>
            </w:r>
            <w:bookmarkEnd w:id="385"/>
            <w:bookmarkEnd w:id="386"/>
            <w:bookmarkEnd w:id="387"/>
            <w:bookmarkEnd w:id="388"/>
            <w:bookmarkEnd w:id="389"/>
            <w:bookmarkEnd w:id="390"/>
          </w:p>
          <w:p w14:paraId="43B3F74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7" w:firstLineChars="98"/>
              <w:jc w:val="center"/>
              <w:outlineLvl w:val="9"/>
              <w:rPr>
                <w:rFonts w:hint="eastAsia" w:ascii="仿宋" w:hAnsi="仿宋" w:eastAsia="仿宋" w:cs="仿宋"/>
                <w:b/>
                <w:color w:val="auto"/>
                <w:sz w:val="21"/>
                <w:szCs w:val="21"/>
              </w:rPr>
            </w:pPr>
          </w:p>
        </w:tc>
      </w:tr>
      <w:tr w14:paraId="7D8B4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14:paraId="4AEF571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839" w:firstLineChars="398"/>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操作前检查</w:t>
            </w:r>
          </w:p>
        </w:tc>
        <w:tc>
          <w:tcPr>
            <w:tcW w:w="7035" w:type="dxa"/>
            <w:vAlign w:val="center"/>
          </w:tcPr>
          <w:p w14:paraId="18690AE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7" w:firstLineChars="98"/>
              <w:jc w:val="center"/>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操作后确认</w:t>
            </w:r>
          </w:p>
        </w:tc>
      </w:tr>
      <w:tr w14:paraId="4E60F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14:paraId="5226C39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7035" w:type="dxa"/>
            <w:vAlign w:val="center"/>
          </w:tcPr>
          <w:p w14:paraId="0EA14C2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1.零部件连接</w:t>
            </w:r>
          </w:p>
        </w:tc>
      </w:tr>
      <w:tr w14:paraId="34C6C9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14:paraId="7FCAB0B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r>
              <w:rPr>
                <w:rFonts w:hint="eastAsia" w:ascii="仿宋" w:hAnsi="仿宋" w:eastAsia="仿宋" w:cs="仿宋"/>
                <w:color w:val="auto"/>
                <w:sz w:val="21"/>
                <w:szCs w:val="21"/>
              </w:rPr>
              <w:t>★2.瓦斯</w:t>
            </w:r>
          </w:p>
        </w:tc>
        <w:tc>
          <w:tcPr>
            <w:tcW w:w="7035" w:type="dxa"/>
            <w:vAlign w:val="center"/>
          </w:tcPr>
          <w:p w14:paraId="5FE9E86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2.工具、材料</w:t>
            </w:r>
          </w:p>
        </w:tc>
      </w:tr>
      <w:tr w14:paraId="19118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14:paraId="595E256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3.防护用品</w:t>
            </w:r>
          </w:p>
        </w:tc>
        <w:tc>
          <w:tcPr>
            <w:tcW w:w="7035" w:type="dxa"/>
            <w:vAlign w:val="center"/>
          </w:tcPr>
          <w:p w14:paraId="65D9E93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r>
              <w:rPr>
                <w:rFonts w:hint="eastAsia" w:ascii="仿宋" w:hAnsi="仿宋" w:eastAsia="仿宋" w:cs="仿宋"/>
                <w:color w:val="auto"/>
                <w:sz w:val="21"/>
                <w:szCs w:val="21"/>
              </w:rPr>
              <w:t>★3.恢复供电</w:t>
            </w:r>
          </w:p>
        </w:tc>
      </w:tr>
      <w:tr w14:paraId="60730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14:paraId="2E9ABD8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4.工具、材料</w:t>
            </w:r>
          </w:p>
        </w:tc>
        <w:tc>
          <w:tcPr>
            <w:tcW w:w="7035" w:type="dxa"/>
            <w:vAlign w:val="center"/>
          </w:tcPr>
          <w:p w14:paraId="761248E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p>
        </w:tc>
      </w:tr>
      <w:tr w14:paraId="62A7EF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14:paraId="34BD8CF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5.监护人</w:t>
            </w:r>
          </w:p>
        </w:tc>
        <w:tc>
          <w:tcPr>
            <w:tcW w:w="7035" w:type="dxa"/>
            <w:vAlign w:val="center"/>
          </w:tcPr>
          <w:p w14:paraId="3089DB5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p>
        </w:tc>
      </w:tr>
      <w:tr w14:paraId="5F273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14:paraId="1F8FE02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6.站位</w:t>
            </w:r>
          </w:p>
        </w:tc>
        <w:tc>
          <w:tcPr>
            <w:tcW w:w="7035" w:type="dxa"/>
            <w:vAlign w:val="center"/>
          </w:tcPr>
          <w:p w14:paraId="25D2C6D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p>
        </w:tc>
      </w:tr>
      <w:tr w14:paraId="6B6F6D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14:paraId="4970FC2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r>
              <w:rPr>
                <w:rFonts w:hint="eastAsia" w:ascii="仿宋" w:hAnsi="仿宋" w:eastAsia="仿宋" w:cs="仿宋"/>
                <w:color w:val="auto"/>
                <w:sz w:val="21"/>
                <w:szCs w:val="21"/>
              </w:rPr>
              <w:t>★7.停电</w:t>
            </w:r>
          </w:p>
        </w:tc>
        <w:tc>
          <w:tcPr>
            <w:tcW w:w="7035" w:type="dxa"/>
            <w:vAlign w:val="center"/>
          </w:tcPr>
          <w:p w14:paraId="2475A36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p>
        </w:tc>
      </w:tr>
      <w:tr w14:paraId="48A35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2" w:hRule="exact"/>
          <w:jc w:val="center"/>
        </w:trPr>
        <w:tc>
          <w:tcPr>
            <w:tcW w:w="9376" w:type="dxa"/>
            <w:gridSpan w:val="2"/>
            <w:vAlign w:val="top"/>
          </w:tcPr>
          <w:p w14:paraId="395C5CAF">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firstLine="420" w:firstLineChars="200"/>
              <w:outlineLvl w:val="9"/>
              <w:rPr>
                <w:rFonts w:hint="eastAsia" w:ascii="仿宋" w:hAnsi="仿宋" w:eastAsia="仿宋" w:cs="仿宋"/>
                <w:color w:val="auto"/>
                <w:w w:val="95"/>
                <w:sz w:val="21"/>
                <w:szCs w:val="21"/>
              </w:rPr>
            </w:pPr>
            <w:r>
              <w:rPr>
                <w:rFonts w:hint="eastAsia" w:ascii="仿宋" w:hAnsi="仿宋" w:eastAsia="仿宋" w:cs="仿宋"/>
                <w:b w:val="0"/>
                <w:bCs w:val="0"/>
                <w:color w:val="auto"/>
                <w:sz w:val="21"/>
                <w:szCs w:val="21"/>
              </w:rPr>
              <w:t>注：第一次按维修前内容逐项检查并确认，存在问题整改后再确认；中间再次操作只检查带“★”部分；维修任务全部结束后按维修后内容逐项检查并确认。</w:t>
            </w:r>
          </w:p>
        </w:tc>
      </w:tr>
    </w:tbl>
    <w:p w14:paraId="766BC601">
      <w:pPr>
        <w:pStyle w:val="4"/>
        <w:pageBreakBefore w:val="0"/>
        <w:kinsoku/>
        <w:wordWrap/>
        <w:overflowPunct/>
        <w:topLinePunct w:val="0"/>
        <w:autoSpaceDN/>
        <w:bidi w:val="0"/>
        <w:adjustRightInd/>
        <w:snapToGrid/>
        <w:spacing w:line="240" w:lineRule="auto"/>
        <w:ind w:left="0" w:leftChars="0" w:firstLine="0" w:firstLineChars="0"/>
        <w:outlineLvl w:val="9"/>
        <w:rPr>
          <w:rFonts w:hint="eastAsia" w:ascii="仿宋" w:hAnsi="仿宋" w:eastAsia="仿宋" w:cs="仿宋"/>
          <w:b/>
          <w:color w:val="auto"/>
          <w:sz w:val="21"/>
          <w:szCs w:val="21"/>
          <w:highlight w:val="cyan"/>
        </w:rPr>
      </w:pPr>
    </w:p>
    <w:p w14:paraId="2554C906">
      <w:pPr>
        <w:pageBreakBefore w:val="0"/>
        <w:kinsoku/>
        <w:wordWrap/>
        <w:overflowPunct/>
        <w:topLinePunct w:val="0"/>
        <w:autoSpaceDN/>
        <w:bidi w:val="0"/>
        <w:adjustRightInd/>
        <w:snapToGrid/>
        <w:spacing w:line="240" w:lineRule="auto"/>
        <w:jc w:val="center"/>
        <w:outlineLvl w:val="9"/>
        <w:rPr>
          <w:rFonts w:hint="eastAsia" w:ascii="仿宋" w:hAnsi="仿宋" w:eastAsia="仿宋" w:cs="仿宋"/>
          <w:b/>
          <w:color w:val="auto"/>
          <w:sz w:val="21"/>
          <w:szCs w:val="21"/>
        </w:rPr>
      </w:pPr>
    </w:p>
    <w:tbl>
      <w:tblPr>
        <w:tblStyle w:val="12"/>
        <w:tblW w:w="87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749"/>
      </w:tblGrid>
      <w:tr w14:paraId="147F0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6429A12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0"/>
                <w:sz w:val="21"/>
                <w:szCs w:val="21"/>
                <w:lang w:val="en-US" w:eastAsia="zh-CN" w:bidi="ar"/>
              </w:rPr>
            </w:pPr>
            <w:r>
              <w:rPr>
                <w:rFonts w:hint="eastAsia" w:ascii="仿宋" w:hAnsi="仿宋" w:eastAsia="仿宋" w:cs="仿宋"/>
                <w:b w:val="0"/>
                <w:bCs w:val="0"/>
                <w:color w:val="auto"/>
                <w:kern w:val="0"/>
                <w:sz w:val="21"/>
                <w:szCs w:val="21"/>
                <w:lang w:eastAsia="zh-CN" w:bidi="ar"/>
              </w:rPr>
              <w:t>电钳</w:t>
            </w:r>
            <w:r>
              <w:rPr>
                <w:rFonts w:hint="eastAsia" w:ascii="仿宋" w:hAnsi="仿宋" w:eastAsia="仿宋" w:cs="仿宋"/>
                <w:b w:val="0"/>
                <w:bCs w:val="0"/>
                <w:color w:val="auto"/>
                <w:kern w:val="0"/>
                <w:sz w:val="21"/>
                <w:szCs w:val="21"/>
                <w:lang w:val="en-US" w:eastAsia="zh-CN" w:bidi="ar"/>
              </w:rPr>
              <w:t>作业单元检查表</w:t>
            </w:r>
          </w:p>
        </w:tc>
      </w:tr>
      <w:tr w14:paraId="5BA60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4D6DB82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1.记录</w:t>
            </w:r>
          </w:p>
        </w:tc>
      </w:tr>
      <w:tr w14:paraId="4AE1C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26CE4F7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2.设备外观</w:t>
            </w:r>
          </w:p>
        </w:tc>
      </w:tr>
      <w:tr w14:paraId="4F0F8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4B4AA12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3.保护试验</w:t>
            </w:r>
          </w:p>
        </w:tc>
      </w:tr>
      <w:tr w14:paraId="549B7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220D185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4.电缆吊挂</w:t>
            </w:r>
          </w:p>
        </w:tc>
      </w:tr>
      <w:tr w14:paraId="2EE17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0B23129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5.防爆检查</w:t>
            </w:r>
          </w:p>
        </w:tc>
      </w:tr>
      <w:tr w14:paraId="4FA912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02B0708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6.工器具试验</w:t>
            </w:r>
          </w:p>
        </w:tc>
      </w:tr>
      <w:tr w14:paraId="40A95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1F1E3C9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7.故障处理</w:t>
            </w:r>
          </w:p>
        </w:tc>
      </w:tr>
      <w:tr w14:paraId="6E6AF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645C281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8.接线工艺</w:t>
            </w:r>
          </w:p>
        </w:tc>
      </w:tr>
      <w:tr w14:paraId="7A1F03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210C1DF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9.其他电气作业项目</w:t>
            </w:r>
          </w:p>
        </w:tc>
      </w:tr>
      <w:tr w14:paraId="20A04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24"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14:paraId="72870E2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注：1、患有高血压、心脏病、哮喘、色盲、听力障碍等疾病的人，不得从事</w:t>
            </w:r>
            <w:r>
              <w:rPr>
                <w:rFonts w:hint="eastAsia" w:ascii="仿宋" w:hAnsi="仿宋" w:eastAsia="仿宋" w:cs="仿宋"/>
                <w:b w:val="0"/>
                <w:bCs w:val="0"/>
                <w:color w:val="auto"/>
                <w:kern w:val="0"/>
                <w:sz w:val="21"/>
                <w:szCs w:val="21"/>
                <w:lang w:eastAsia="zh-CN" w:bidi="ar"/>
              </w:rPr>
              <w:t>电钳</w:t>
            </w:r>
            <w:r>
              <w:rPr>
                <w:rFonts w:hint="eastAsia" w:ascii="仿宋" w:hAnsi="仿宋" w:eastAsia="仿宋" w:cs="仿宋"/>
                <w:b w:val="0"/>
                <w:bCs w:val="0"/>
                <w:color w:val="auto"/>
                <w:kern w:val="0"/>
                <w:sz w:val="21"/>
                <w:szCs w:val="21"/>
                <w:lang w:val="en-US" w:eastAsia="zh-CN" w:bidi="ar"/>
              </w:rPr>
              <w:t>作业。</w:t>
            </w:r>
          </w:p>
          <w:p w14:paraId="06B17491">
            <w:pPr>
              <w:keepNext w:val="0"/>
              <w:keepLines w:val="0"/>
              <w:pageBreakBefore w:val="0"/>
              <w:widowControl/>
              <w:numPr>
                <w:ilvl w:val="0"/>
                <w:numId w:val="19"/>
              </w:numPr>
              <w:suppressLineNumbers w:val="0"/>
              <w:kinsoku/>
              <w:wordWrap/>
              <w:overflowPunct/>
              <w:topLinePunct w:val="0"/>
              <w:autoSpaceDN/>
              <w:bidi w:val="0"/>
              <w:adjustRightInd/>
              <w:snapToGrid/>
              <w:spacing w:before="0" w:beforeAutospacing="0" w:after="0" w:afterAutospacing="0" w:line="240" w:lineRule="auto"/>
              <w:ind w:left="630" w:leftChars="0" w:right="0" w:firstLine="0" w:firstLineChars="0"/>
              <w:jc w:val="both"/>
              <w:outlineLvl w:val="9"/>
              <w:rPr>
                <w:rFonts w:hint="eastAsia"/>
                <w:color w:val="auto"/>
              </w:rPr>
            </w:pPr>
            <w:r>
              <w:rPr>
                <w:rFonts w:hint="eastAsia" w:ascii="仿宋" w:hAnsi="仿宋" w:eastAsia="仿宋" w:cs="仿宋"/>
                <w:b w:val="0"/>
                <w:bCs w:val="0"/>
                <w:color w:val="auto"/>
                <w:kern w:val="0"/>
                <w:sz w:val="21"/>
                <w:szCs w:val="21"/>
                <w:lang w:val="en-US" w:eastAsia="zh-CN" w:bidi="ar"/>
              </w:rPr>
              <w:t>从事</w:t>
            </w:r>
            <w:r>
              <w:rPr>
                <w:rFonts w:hint="eastAsia" w:ascii="仿宋" w:hAnsi="仿宋" w:eastAsia="仿宋" w:cs="仿宋"/>
                <w:b w:val="0"/>
                <w:bCs w:val="0"/>
                <w:color w:val="auto"/>
                <w:kern w:val="0"/>
                <w:sz w:val="21"/>
                <w:szCs w:val="21"/>
                <w:lang w:eastAsia="zh-CN" w:bidi="ar"/>
              </w:rPr>
              <w:t>电钳</w:t>
            </w:r>
            <w:r>
              <w:rPr>
                <w:rFonts w:hint="eastAsia" w:ascii="仿宋" w:hAnsi="仿宋" w:eastAsia="仿宋" w:cs="仿宋"/>
                <w:b w:val="0"/>
                <w:bCs w:val="0"/>
                <w:color w:val="auto"/>
                <w:kern w:val="0"/>
                <w:sz w:val="21"/>
                <w:szCs w:val="21"/>
                <w:lang w:val="en-US" w:eastAsia="zh-CN" w:bidi="ar"/>
              </w:rPr>
              <w:t>作业人员，经过安全技术培训和考试合格，取得“电工操作证”，并受过触电急救法训练合格后，方可进行上岗作业。</w:t>
            </w:r>
          </w:p>
        </w:tc>
      </w:tr>
    </w:tbl>
    <w:p w14:paraId="649CFCBF">
      <w:pPr>
        <w:pStyle w:val="4"/>
        <w:pageBreakBefore w:val="0"/>
        <w:kinsoku/>
        <w:wordWrap/>
        <w:overflowPunct/>
        <w:topLinePunct w:val="0"/>
        <w:autoSpaceDN/>
        <w:bidi w:val="0"/>
        <w:adjustRightInd/>
        <w:snapToGrid/>
        <w:spacing w:line="240" w:lineRule="auto"/>
        <w:ind w:left="0" w:leftChars="0" w:firstLine="0" w:firstLineChars="0"/>
        <w:outlineLvl w:val="9"/>
        <w:rPr>
          <w:rFonts w:hint="eastAsia" w:ascii="仿宋" w:hAnsi="仿宋" w:eastAsia="仿宋" w:cs="仿宋"/>
          <w:color w:val="auto"/>
          <w:sz w:val="21"/>
          <w:szCs w:val="21"/>
        </w:rPr>
      </w:pPr>
    </w:p>
    <w:tbl>
      <w:tblPr>
        <w:tblStyle w:val="12"/>
        <w:tblW w:w="8740" w:type="dxa"/>
        <w:jc w:val="center"/>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Layout w:type="fixed"/>
        <w:tblCellMar>
          <w:top w:w="0" w:type="dxa"/>
          <w:left w:w="108" w:type="dxa"/>
          <w:bottom w:w="0" w:type="dxa"/>
          <w:right w:w="108" w:type="dxa"/>
        </w:tblCellMar>
      </w:tblPr>
      <w:tblGrid>
        <w:gridCol w:w="1503"/>
        <w:gridCol w:w="2132"/>
        <w:gridCol w:w="5105"/>
      </w:tblGrid>
      <w:tr w14:paraId="4A878EDA">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574" w:hRule="atLeast"/>
          <w:jc w:val="center"/>
        </w:trPr>
        <w:tc>
          <w:tcPr>
            <w:tcW w:w="874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DBF9B1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color w:val="auto"/>
                <w:sz w:val="21"/>
                <w:szCs w:val="21"/>
                <w:lang w:val="en-US" w:eastAsia="zh-CN"/>
              </w:rPr>
              <w:t>电钳工作业过程注意事项</w:t>
            </w:r>
          </w:p>
        </w:tc>
      </w:tr>
      <w:tr w14:paraId="529BA886">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50" w:hRule="atLeast"/>
          <w:jc w:val="center"/>
        </w:trPr>
        <w:tc>
          <w:tcPr>
            <w:tcW w:w="15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36DAB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22318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7125D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14:paraId="37F2770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867" w:hRule="atLeast"/>
          <w:jc w:val="center"/>
        </w:trPr>
        <w:tc>
          <w:tcPr>
            <w:tcW w:w="150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3AC78C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rPr>
            </w:pPr>
            <w:r>
              <w:rPr>
                <w:rFonts w:hint="eastAsia" w:ascii="仿宋" w:hAnsi="仿宋" w:eastAsia="仿宋" w:cs="仿宋"/>
                <w:i w:val="0"/>
                <w:iCs w:val="0"/>
                <w:color w:val="auto"/>
                <w:kern w:val="0"/>
                <w:sz w:val="22"/>
                <w:szCs w:val="22"/>
                <w:highlight w:val="none"/>
                <w:u w:val="none"/>
                <w:lang w:val="en-US" w:eastAsia="zh-CN" w:bidi="ar"/>
              </w:rPr>
              <w:t>停送电操作</w:t>
            </w: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61C9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看环境</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36B96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lang w:val="en-US"/>
              </w:rPr>
            </w:pPr>
            <w:r>
              <w:rPr>
                <w:rFonts w:hint="eastAsia" w:ascii="仿宋" w:hAnsi="仿宋" w:eastAsia="仿宋" w:cs="仿宋"/>
                <w:i w:val="0"/>
                <w:iCs w:val="0"/>
                <w:color w:val="auto"/>
                <w:sz w:val="22"/>
                <w:szCs w:val="22"/>
                <w:highlight w:val="none"/>
                <w:u w:val="none"/>
                <w:lang w:val="en-US"/>
              </w:rPr>
              <w:t>作业过程前排查周围环境并严格执行敲帮问顶制度。</w:t>
            </w:r>
          </w:p>
        </w:tc>
      </w:tr>
      <w:tr w14:paraId="23F9E435">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74" w:hRule="atLeast"/>
          <w:jc w:val="center"/>
        </w:trPr>
        <w:tc>
          <w:tcPr>
            <w:tcW w:w="150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1361A1">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rPr>
            </w:pP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AC3CB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佩戴防护用具</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36B6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sz w:val="22"/>
                <w:szCs w:val="22"/>
                <w:highlight w:val="none"/>
                <w:u w:val="none"/>
              </w:rPr>
              <w:t>操作电气设备时必须按照要求佩戴好个人防护用具。</w:t>
            </w:r>
          </w:p>
        </w:tc>
      </w:tr>
      <w:tr w14:paraId="2EDE91C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856" w:hRule="atLeast"/>
          <w:jc w:val="center"/>
        </w:trPr>
        <w:tc>
          <w:tcPr>
            <w:tcW w:w="150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A8F949">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rPr>
            </w:pP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FE90C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停电操作</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FBEDC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sz w:val="22"/>
                <w:szCs w:val="22"/>
                <w:highlight w:val="none"/>
                <w:u w:val="none"/>
              </w:rPr>
              <w:t>停电作业</w:t>
            </w:r>
            <w:r>
              <w:rPr>
                <w:rFonts w:hint="eastAsia" w:ascii="仿宋" w:hAnsi="仿宋" w:eastAsia="仿宋" w:cs="仿宋"/>
                <w:i w:val="0"/>
                <w:iCs w:val="0"/>
                <w:color w:val="auto"/>
                <w:sz w:val="22"/>
                <w:szCs w:val="22"/>
                <w:highlight w:val="none"/>
                <w:u w:val="none"/>
                <w:lang w:val="en-US" w:eastAsia="zh-CN"/>
              </w:rPr>
              <w:t>前</w:t>
            </w:r>
            <w:r>
              <w:rPr>
                <w:rFonts w:hint="eastAsia" w:ascii="仿宋" w:hAnsi="仿宋" w:eastAsia="仿宋" w:cs="仿宋"/>
                <w:i w:val="0"/>
                <w:iCs w:val="0"/>
                <w:color w:val="auto"/>
                <w:sz w:val="22"/>
                <w:szCs w:val="22"/>
                <w:highlight w:val="none"/>
                <w:u w:val="none"/>
              </w:rPr>
              <w:t>必须执行好</w:t>
            </w:r>
            <w:r>
              <w:rPr>
                <w:rFonts w:hint="eastAsia" w:ascii="仿宋" w:hAnsi="仿宋" w:eastAsia="仿宋" w:cs="仿宋"/>
                <w:i w:val="0"/>
                <w:iCs w:val="0"/>
                <w:color w:val="auto"/>
                <w:sz w:val="22"/>
                <w:szCs w:val="22"/>
                <w:highlight w:val="none"/>
                <w:u w:val="none"/>
                <w:lang w:val="en-US" w:eastAsia="zh-CN"/>
              </w:rPr>
              <w:t>现场</w:t>
            </w:r>
            <w:r>
              <w:rPr>
                <w:rFonts w:hint="eastAsia" w:ascii="仿宋" w:hAnsi="仿宋" w:eastAsia="仿宋" w:cs="仿宋"/>
                <w:i w:val="0"/>
                <w:iCs w:val="0"/>
                <w:color w:val="auto"/>
                <w:sz w:val="22"/>
                <w:szCs w:val="22"/>
                <w:highlight w:val="none"/>
                <w:u w:val="none"/>
              </w:rPr>
              <w:t>瓦斯</w:t>
            </w:r>
            <w:r>
              <w:rPr>
                <w:rFonts w:hint="eastAsia" w:ascii="仿宋" w:hAnsi="仿宋" w:eastAsia="仿宋" w:cs="仿宋"/>
                <w:i w:val="0"/>
                <w:iCs w:val="0"/>
                <w:color w:val="auto"/>
                <w:sz w:val="22"/>
                <w:szCs w:val="22"/>
                <w:highlight w:val="none"/>
                <w:u w:val="none"/>
                <w:lang w:val="en-US" w:eastAsia="zh-CN"/>
              </w:rPr>
              <w:t>检查，瓦斯浓度合格后方可操作开关，停电后必须对设备进行</w:t>
            </w:r>
            <w:r>
              <w:rPr>
                <w:rFonts w:hint="eastAsia" w:ascii="仿宋" w:hAnsi="仿宋" w:eastAsia="仿宋" w:cs="仿宋"/>
                <w:i w:val="0"/>
                <w:iCs w:val="0"/>
                <w:color w:val="auto"/>
                <w:sz w:val="22"/>
                <w:szCs w:val="22"/>
                <w:highlight w:val="none"/>
                <w:u w:val="none"/>
              </w:rPr>
              <w:t>验电、放电制度。并悬挂停电作业牌。</w:t>
            </w:r>
          </w:p>
        </w:tc>
      </w:tr>
      <w:tr w14:paraId="794B435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74" w:hRule="atLeast"/>
          <w:jc w:val="center"/>
        </w:trPr>
        <w:tc>
          <w:tcPr>
            <w:tcW w:w="150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F552B1">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rPr>
            </w:pP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FA16F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rPr>
            </w:pPr>
            <w:r>
              <w:rPr>
                <w:rFonts w:hint="eastAsia" w:ascii="仿宋" w:hAnsi="仿宋" w:eastAsia="仿宋" w:cs="仿宋"/>
                <w:i w:val="0"/>
                <w:iCs w:val="0"/>
                <w:color w:val="auto"/>
                <w:kern w:val="0"/>
                <w:sz w:val="22"/>
                <w:szCs w:val="22"/>
                <w:highlight w:val="none"/>
                <w:u w:val="none"/>
                <w:lang w:val="en-US" w:eastAsia="zh-CN" w:bidi="ar"/>
              </w:rPr>
              <w:t>送电操作</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FBFA6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检修结束后，确认检修设备状况。正常后，检查设备无问题后进行送电操作。</w:t>
            </w:r>
          </w:p>
        </w:tc>
      </w:tr>
      <w:tr w14:paraId="4DF63F55">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81" w:hRule="atLeast"/>
          <w:jc w:val="center"/>
        </w:trPr>
        <w:tc>
          <w:tcPr>
            <w:tcW w:w="15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44E8A3">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收尾工作</w:t>
            </w: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49DE1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kern w:val="0"/>
                <w:sz w:val="22"/>
                <w:szCs w:val="22"/>
                <w:highlight w:val="none"/>
                <w:u w:val="none"/>
                <w:lang w:val="en-US" w:eastAsia="zh-CN" w:bidi="ar"/>
              </w:rPr>
            </w:pPr>
            <w:r>
              <w:rPr>
                <w:rFonts w:hint="eastAsia" w:ascii="仿宋" w:hAnsi="仿宋" w:eastAsia="仿宋" w:cs="仿宋"/>
                <w:i w:val="0"/>
                <w:iCs w:val="0"/>
                <w:color w:val="auto"/>
                <w:kern w:val="0"/>
                <w:sz w:val="22"/>
                <w:szCs w:val="22"/>
                <w:highlight w:val="none"/>
                <w:u w:val="none"/>
                <w:lang w:val="en-US" w:eastAsia="zh-CN" w:bidi="ar"/>
              </w:rPr>
              <w:t>卫生、记录</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A6C73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清理现场卫生，填写设备检修记录。</w:t>
            </w:r>
          </w:p>
        </w:tc>
      </w:tr>
    </w:tbl>
    <w:p w14:paraId="0C59A85C">
      <w:pPr>
        <w:keepNext w:val="0"/>
        <w:keepLines w:val="0"/>
        <w:pageBreakBefore w:val="0"/>
        <w:widowControl w:val="0"/>
        <w:numPr>
          <w:ilvl w:val="0"/>
          <w:numId w:val="0"/>
        </w:numPr>
        <w:kinsoku/>
        <w:wordWrap/>
        <w:overflowPunct/>
        <w:topLinePunct w:val="0"/>
        <w:autoSpaceDN/>
        <w:bidi w:val="0"/>
        <w:adjustRightInd/>
        <w:snapToGrid/>
        <w:spacing w:line="500" w:lineRule="exact"/>
        <w:outlineLvl w:val="9"/>
        <w:rPr>
          <w:rFonts w:hint="eastAsia" w:ascii="仿宋" w:hAnsi="仿宋" w:eastAsia="仿宋" w:cs="仿宋"/>
          <w:b/>
          <w:bCs/>
          <w:color w:val="auto"/>
          <w:sz w:val="28"/>
          <w:szCs w:val="28"/>
          <w:lang w:eastAsia="zh-CN"/>
        </w:rPr>
      </w:pPr>
    </w:p>
    <w:p w14:paraId="33C5D638">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lang w:eastAsia="zh-CN"/>
        </w:rPr>
      </w:pPr>
    </w:p>
    <w:p w14:paraId="64936FCF">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lang w:eastAsia="zh-CN"/>
        </w:rPr>
      </w:pPr>
    </w:p>
    <w:p w14:paraId="58CC7E3D">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一般规定</w:t>
      </w:r>
    </w:p>
    <w:p w14:paraId="7678BCB9">
      <w:pPr>
        <w:keepNext w:val="0"/>
        <w:keepLines w:val="0"/>
        <w:pageBreakBefore w:val="0"/>
        <w:widowControl w:val="0"/>
        <w:numPr>
          <w:ilvl w:val="0"/>
          <w:numId w:val="0"/>
        </w:numPr>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（一）</w:t>
      </w:r>
      <w:r>
        <w:rPr>
          <w:rFonts w:hint="eastAsia" w:ascii="仿宋" w:hAnsi="仿宋" w:eastAsia="仿宋" w:cs="仿宋"/>
          <w:color w:val="auto"/>
          <w:sz w:val="28"/>
          <w:szCs w:val="28"/>
          <w:lang w:val="en-US" w:eastAsia="zh-CN"/>
        </w:rPr>
        <w:t>经过培训合格后，持证上岗，无证不得上岗进行电气操作。</w:t>
      </w:r>
    </w:p>
    <w:p w14:paraId="1A25B1B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熟知《煤矿安全规程》有关内容、《煤矿机电设备完好标准》、《煤矿机电设备检修质量标准》和电气设备防爆的有关标准和规定。</w:t>
      </w:r>
    </w:p>
    <w:p w14:paraId="2C01B94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三</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具备电工基本知识，熟悉所维修范围内的供电系统、电气设备和电缆线路的主要技术特征，以及电缆的分布情况。</w:t>
      </w:r>
    </w:p>
    <w:p w14:paraId="2304692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四</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了解所负责维修的设备性能、工作原理和保护装置的运行情况，有维修及故障处理等方面的技能和基础理论知识，能独立工作。</w:t>
      </w:r>
    </w:p>
    <w:p w14:paraId="2FE6F3C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五</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熟悉矿井巷道布置，了解作业地点的瓦斯浓度，熟悉在灾害情况下的停电顺序及人员撤离路线，掌握电气防灭火方法和触电急救知识。</w:t>
      </w:r>
    </w:p>
    <w:p w14:paraId="72CC94F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六</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上班前不喝酒，遵守劳动纪律，上班时不做与本职工作无关的事情，遵守操作规程及各项规章制度，服从管理。</w:t>
      </w:r>
    </w:p>
    <w:p w14:paraId="3531EAB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七</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高压电器设备停送电操作，必须填写操作票。</w:t>
      </w:r>
    </w:p>
    <w:p w14:paraId="7EAA090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八</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检修、安装、挪移机电设备、电缆时，禁止带电作业。</w:t>
      </w:r>
    </w:p>
    <w:p w14:paraId="48900C5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九</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井下电气设备在检查、修理、搬移时应由2人协同工作，相互监护。检修前必须首先切断电源，经验电确认已停电后再放电（采区变电所的电气设备及供电电缆的放电，只能在硐室内瓦斯浓度在1﹪以下时才准进行）、悬挂接地线，操作手把上挂“有人工作，禁止合闸”警示牌后，才允许触及电气设备。</w:t>
      </w:r>
    </w:p>
    <w:p w14:paraId="65B8605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操作高压电器设备时，操作人员必须戴绝缘手套，穿高压绝缘靴或站在绝缘台上操作。127伏手持式电气设备的操作手柄和工作中必须接触部分的绝缘应良好。</w:t>
      </w:r>
    </w:p>
    <w:p w14:paraId="7B3FD1E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十一</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井下电气维修工工作期间，应携带电工常用工具、电压等级相符的验电笔和便携式瓦斯检查仪。</w:t>
      </w:r>
    </w:p>
    <w:p w14:paraId="6E685033">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工作完毕后，工作负责人对检修工作进行检查验收，拆除临时接地线和摘掉停电牌，清点工具，确认无误后，恢复正常供电。并对检修设备进行试运转。</w:t>
      </w:r>
    </w:p>
    <w:p w14:paraId="100FEAF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7F07107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2A8351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23664A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4AC014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085619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0854F7C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469BCB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053D4D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45632C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6D0A3E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2D3844C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27AE91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196437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1E397E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07C08C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4DB408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44584B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68ACED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152058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4565A3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0556C0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4529685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42F774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033041F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729AA5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81191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62332D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09B5CB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7AED00A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338A39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68549CE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38BBD0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1F38B7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30E7F5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345C7FD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125B9B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2BE9AF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6EF3E9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2DEB1A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6BC0B4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668C87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2BA9AA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10BDC7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105FFF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12272B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45C9E8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67896D6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4CD2C3EF">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三、安全风险辨识与管控措施</w:t>
      </w:r>
    </w:p>
    <w:p w14:paraId="43CDFD76">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14:paraId="0378298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风险描述：施工现场顶板破碎，支护网生锈开裂，存在漏顶片帮伤人的风险。</w:t>
      </w:r>
    </w:p>
    <w:p w14:paraId="7DD5EE2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管控措施：加强顶板排查管理，发现顶帮网开裂锚杆（索）失效时及时汇报进行补打。使用长把工具及时找掉危岩活矸。</w:t>
      </w:r>
    </w:p>
    <w:p w14:paraId="6AB65A78">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14:paraId="20196A4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14:paraId="4E323BA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①风险描述：防护用品不完好，不按规定佩带，存在人员受伤的风险。</w:t>
      </w:r>
    </w:p>
    <w:p w14:paraId="1761C93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管控措施：检查好防护用品，确保齐全完好，作业前按规定佩带好安全防护用品。</w:t>
      </w:r>
    </w:p>
    <w:p w14:paraId="1BB2FA6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②风险描述：工具材料不齐全完好，存在设备检修不到位或人员伤亡的风险。</w:t>
      </w:r>
    </w:p>
    <w:p w14:paraId="01A284B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管控措施：操作前，工具材料准备齐全完好。</w:t>
      </w:r>
    </w:p>
    <w:p w14:paraId="1E0BC07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③风险描述：操作高压电气设备，监护人未到位，操作人员容易误操作，存在人员触电的风险。</w:t>
      </w:r>
    </w:p>
    <w:p w14:paraId="3D8FEAB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管控措施：操作高压电气设备严格执行一人操作一人监护，监护人不到位严禁操作。</w:t>
      </w:r>
    </w:p>
    <w:p w14:paraId="376B40A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④风险描述：检修地点人员站位不正确，存在设备碰伤人员、人员触电的风险。</w:t>
      </w:r>
    </w:p>
    <w:p w14:paraId="02BDDE7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管控措施：检修前规范站位，重物下方及可能倾向方向严禁有人，检修人员与带电设备保持安全距离。</w:t>
      </w:r>
    </w:p>
    <w:p w14:paraId="64D0060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⑤风险描述：检修电气设备，带电作业，未对上级电源停电，存在人员触电的风险。</w:t>
      </w:r>
    </w:p>
    <w:p w14:paraId="6C70632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管控措施：检修电气是设备必须对上级电源进行停电，并挂停电牌，谁停电谁送电，严禁带电检修作业。</w:t>
      </w:r>
    </w:p>
    <w:p w14:paraId="724EE35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2.操作过程中</w:t>
      </w:r>
      <w:r>
        <w:rPr>
          <w:rFonts w:hint="default" w:ascii="仿宋" w:hAnsi="仿宋" w:eastAsia="仿宋" w:cs="仿宋"/>
          <w:color w:val="auto"/>
          <w:sz w:val="28"/>
          <w:szCs w:val="28"/>
        </w:rPr>
        <w:t>：</w:t>
      </w:r>
    </w:p>
    <w:p w14:paraId="7DB220B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①风险描述：吊装作业时，人员站位不当或工具不完好导致受伤。</w:t>
      </w:r>
    </w:p>
    <w:p w14:paraId="0216F76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14:paraId="11C1980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14:paraId="372DE3A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14:paraId="30927F4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③风险描述：人员靠近转动部位，护罩或遮拦等不完好，存在转动部位伤人的风险。</w:t>
      </w:r>
    </w:p>
    <w:p w14:paraId="3667801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14:paraId="4739952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④风险描述：带电搬迁电气设备，存在人员触电的风险。</w:t>
      </w:r>
    </w:p>
    <w:p w14:paraId="24D2FE5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管控措施：施工前将带电设备上级停电，无误后方可施工，严禁带电搬迁。</w:t>
      </w:r>
    </w:p>
    <w:p w14:paraId="58918A4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3.操作后</w:t>
      </w:r>
      <w:r>
        <w:rPr>
          <w:rFonts w:hint="default" w:ascii="仿宋" w:hAnsi="仿宋" w:eastAsia="仿宋" w:cs="仿宋"/>
          <w:color w:val="auto"/>
          <w:sz w:val="28"/>
          <w:szCs w:val="28"/>
        </w:rPr>
        <w:t>：</w:t>
      </w:r>
    </w:p>
    <w:p w14:paraId="2FA6344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①风险描述：设备检修不到位，零部件缺失、连接部位不完好等，设备带病运行，存在设备损坏的风险。</w:t>
      </w:r>
    </w:p>
    <w:p w14:paraId="1A254DB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14:paraId="76E7204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②风险描述：检修完成后工具材料未能及时清理，检修工具材料遗留在设备内，存在设备损坏的风险。</w:t>
      </w:r>
    </w:p>
    <w:p w14:paraId="3569F6DB">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14:paraId="329A5DE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③风险描述：误送电、约时停送电，存在人员触电的风险。</w:t>
      </w:r>
    </w:p>
    <w:p w14:paraId="4226EF43">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管控措施：严格执行停送电制度，停电后闭锁并挂停电牌，禁止约时送电。</w:t>
      </w:r>
    </w:p>
    <w:p w14:paraId="53D8E75D">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四、操作程序及安全规定</w:t>
      </w:r>
    </w:p>
    <w:p w14:paraId="63A38A5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（一）维修前检查：</w:t>
      </w:r>
    </w:p>
    <w:p w14:paraId="56C8003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1.顶帮：顶帮支护完好、无冒顶、无漏矸、无片帮。</w:t>
      </w:r>
    </w:p>
    <w:p w14:paraId="4233C86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2.瓦斯（&lt;1%）：工作地点瓦斯浓度不超过1%。</w:t>
      </w:r>
    </w:p>
    <w:p w14:paraId="5672517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3.防护用品：安全帽、绝缘靴、绝缘手套、自救器等安全防护用品齐全完好。</w:t>
      </w:r>
    </w:p>
    <w:p w14:paraId="449F8C7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4.工具、材料：工具齐全完好，材料、配件充足，型号相符。</w:t>
      </w:r>
    </w:p>
    <w:p w14:paraId="2DB1002B">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5.监护人：监护人到位。</w:t>
      </w:r>
    </w:p>
    <w:p w14:paraId="74A37CE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6.站位、后退路：人员站位正确，附近无闲杂人员，后退路畅通，无障碍物。</w:t>
      </w:r>
    </w:p>
    <w:p w14:paraId="182AC13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7.停电：严格遵守停送电制度（停电、验电、放电、装设接地线，悬挂停电牌），按要求需办理工作票的必须办理工作票。</w:t>
      </w:r>
    </w:p>
    <w:p w14:paraId="76F219EB">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（二）操作过程注意事项：</w:t>
      </w:r>
    </w:p>
    <w:p w14:paraId="72F5270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1.人员位置：时刻保证正确站位，确保后退路畅通、顶帮支护安全。</w:t>
      </w:r>
    </w:p>
    <w:p w14:paraId="5FF99176">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2.作业监护:检修、安装、搬移电气设备时应由两人协同工作，相互监护。</w:t>
      </w:r>
    </w:p>
    <w:p w14:paraId="2476AD7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3.停、送电:严格遵守停送电制度，检修前对设备停电、闭锁、验电、放电、挂停电牌，必要时设专人看护；送电坚持谁挂牌谁摘牌，严禁约时送电。</w:t>
      </w:r>
    </w:p>
    <w:p w14:paraId="2E3D98D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4.高压作业:操作高压电气设备时必须执行工作票制度，必须必须戴绝缘手套、穿绝缘靴或站在绝缘台上。</w:t>
      </w:r>
    </w:p>
    <w:p w14:paraId="6016FC9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5.正常操作:</w:t>
      </w:r>
    </w:p>
    <w:p w14:paraId="5E38373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（1）不得任意改变原有端子序号、接线方式，不得甩掉原有的保护装置，不得任意修改整定值。</w:t>
      </w:r>
    </w:p>
    <w:p w14:paraId="5650A62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（2）发现设备失爆、故障、保护动作或不正常时应查明原因并处理，处理不好应及时汇报，严禁强行送电。</w:t>
      </w:r>
    </w:p>
    <w:p w14:paraId="01DCA6C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6.高处作业:高处作业超过2m时必须正确佩戴安全帽和保险带，随身工具应有防脱措施，以防坠落。</w:t>
      </w:r>
    </w:p>
    <w:p w14:paraId="13B36C6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7.反送电：有可能反送电的开关必须加锁并悬挂“</w:t>
      </w:r>
      <w:r>
        <w:rPr>
          <w:rFonts w:hint="eastAsia" w:ascii="仿宋" w:hAnsi="仿宋" w:eastAsia="仿宋" w:cs="仿宋"/>
          <w:color w:val="auto"/>
          <w:sz w:val="28"/>
          <w:szCs w:val="28"/>
          <w:lang w:val="en-US" w:eastAsia="zh-CN"/>
        </w:rPr>
        <w:t>有人工作，严禁送电</w:t>
      </w:r>
      <w:r>
        <w:rPr>
          <w:rFonts w:hint="eastAsia" w:ascii="仿宋" w:hAnsi="仿宋" w:eastAsia="仿宋" w:cs="仿宋"/>
          <w:color w:val="auto"/>
          <w:sz w:val="28"/>
          <w:szCs w:val="28"/>
        </w:rPr>
        <w:t>”警示牌，如需反送电应采取可靠的安全措施。</w:t>
      </w:r>
    </w:p>
    <w:p w14:paraId="037C587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8.同时作业：同一开关控制的系统中，有两个及以上多点同时作业时，要分别悬挂停电牌，并应设置总负责人负责联络、协调，工作结束送电前由专人巡点检查，全部完工并摘掉停电牌后方可送电。</w:t>
      </w:r>
    </w:p>
    <w:p w14:paraId="408513B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9.瓦斯异常：井下距工作地点20m内风流中瓦斯浓度达到1％时，严禁使用普通电气测量仪表、开盖检修电气设备和送电试车；达到1.5％时，必须停止作业，切断电源并撤出。</w:t>
      </w:r>
    </w:p>
    <w:p w14:paraId="4D16CA9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10.异常处置：</w:t>
      </w:r>
    </w:p>
    <w:p w14:paraId="76C64D3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发生人身触电及设备事故时，立即断开有关设备的电源，在能力范围内进行应急处理，并及时向上级汇报。</w:t>
      </w:r>
    </w:p>
    <w:p w14:paraId="084961D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发现电气设备或电缆着火时，必须迅速切断电源，使用灭火器或砂子灭火，并及时汇报。</w:t>
      </w:r>
    </w:p>
    <w:p w14:paraId="18444599">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五、电钳工正规操作</w:t>
      </w:r>
    </w:p>
    <w:p w14:paraId="2EBB3B23">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1.接线柱绝缘台无损伤：接线柱螺纹无损伤、无放电痕迹、绝缘台完整无裂纹。</w:t>
      </w:r>
    </w:p>
    <w:p w14:paraId="3563A82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2.接线无毛刺：指芯线前端部分无突出的导线。</w:t>
      </w:r>
    </w:p>
    <w:p w14:paraId="109851B2">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3.接线无歪脖：布线拿弯弧度要自然平滑，避免急弯，直角弯。</w:t>
      </w:r>
    </w:p>
    <w:p w14:paraId="51C6346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4.接线无压胶片：指在线芯处接线端子的垫圈（板）不压线芯绝缘。</w:t>
      </w:r>
    </w:p>
    <w:p w14:paraId="2C9FB7D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5.导线裸露不超长：线芯绝缘与接线端子压接部分之间的芯线长度不大于5mm。</w:t>
      </w:r>
    </w:p>
    <w:p w14:paraId="6731F858">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6.一相绝缘不触及另一相导体：一相绝缘不与另一相接线柱相触。</w:t>
      </w:r>
    </w:p>
    <w:p w14:paraId="61DEC45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7.接线无交叉布线。</w:t>
      </w:r>
    </w:p>
    <w:p w14:paraId="2799F11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8.接线剁头齐整：即每一相线芯前端的线头整齐切断，无长短不齐现象。</w:t>
      </w:r>
    </w:p>
    <w:p w14:paraId="4364DA9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9.接线余头不超长：线芯最前端距接线端子压接部分的长度不大于2mm。</w:t>
      </w:r>
    </w:p>
    <w:p w14:paraId="1C9A7D73">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10.分相绝缘无刀伤：即分相芯线的绝缘没有伤痕。</w:t>
      </w:r>
    </w:p>
    <w:p w14:paraId="1BF62707">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11.接线柱卡爪：卡爪是否变形、分布是否均匀。接线是线头绕线方向与螺帽紧固方向相一致。</w:t>
      </w:r>
    </w:p>
    <w:p w14:paraId="281204E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12.接线柱弹垫压平：以压平弹垫，芯线不窜动为合格。</w:t>
      </w:r>
    </w:p>
    <w:p w14:paraId="163027EE">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13.接地芯线长短合适：接地芯线顺腔壁自然布置，不宜过长或过短（以松开线咀，拉动电缆相线拉紧或松脱地线不掉为准）。</w:t>
      </w:r>
    </w:p>
    <w:p w14:paraId="3DE75B38">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14.接地螺栓螺母垫圈不允许涂绝缘物：接触良好。</w:t>
      </w:r>
    </w:p>
    <w:p w14:paraId="65A0D3C8">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15.接地芯线紧固合适：接地芯线紧固，以压平弹垫，芯线不窜动为合格。</w:t>
      </w:r>
    </w:p>
    <w:p w14:paraId="32C8685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16.电源警示牌安装正确。</w:t>
      </w:r>
    </w:p>
    <w:p w14:paraId="088D0C0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17.防爆面涂油：操作完后，对接线盒防爆面均匀涂油。</w:t>
      </w:r>
    </w:p>
    <w:p w14:paraId="0123D1CE">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18.电缆护套割口整齐：割口无马蹄无锯齿。</w:t>
      </w:r>
    </w:p>
    <w:p w14:paraId="069545CF">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19.接线腔内清洁无杂物。</w:t>
      </w:r>
    </w:p>
    <w:p w14:paraId="69A2A21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20.同一部分螺栓、螺母规格一致：主要指同一部位螺栓头，螺母大小，厚度一致。</w:t>
      </w:r>
    </w:p>
    <w:p w14:paraId="5EF497F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21.芯线压接顺序正确：先压地线，后压火线。</w:t>
      </w:r>
    </w:p>
    <w:p w14:paraId="6BB9AF6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22.按钮线色压接正确：采用红1、绿2、黑或花为地线。</w:t>
      </w:r>
    </w:p>
    <w:p w14:paraId="5653395C">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23.卡爪（或平垫圈）弹簧垫（双帽）齐全坚固：使用线鼻子可不用平垫圈。</w:t>
      </w:r>
    </w:p>
    <w:p w14:paraId="41108E8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24.电缆护套伸入室壁长度合适：标准为：5—15mm。</w:t>
      </w:r>
    </w:p>
    <w:p w14:paraId="2B091634">
      <w:pPr>
        <w:pStyle w:val="4"/>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六、电钳工操作过程中的安全注意事项</w:t>
      </w:r>
    </w:p>
    <w:p w14:paraId="0634EF58">
      <w:pPr>
        <w:pStyle w:val="4"/>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w:t>
      </w:r>
      <w:r>
        <w:rPr>
          <w:rFonts w:hint="eastAsia" w:ascii="仿宋" w:hAnsi="仿宋" w:eastAsia="仿宋" w:cs="仿宋"/>
          <w:color w:val="auto"/>
          <w:kern w:val="2"/>
          <w:sz w:val="28"/>
          <w:szCs w:val="28"/>
          <w:lang w:eastAsia="zh-CN" w:bidi="ar"/>
        </w:rPr>
        <w:t>电钳</w:t>
      </w:r>
      <w:r>
        <w:rPr>
          <w:rFonts w:hint="eastAsia" w:ascii="仿宋" w:hAnsi="仿宋" w:eastAsia="仿宋" w:cs="仿宋"/>
          <w:color w:val="auto"/>
          <w:kern w:val="2"/>
          <w:sz w:val="28"/>
          <w:szCs w:val="28"/>
          <w:lang w:val="en-US" w:eastAsia="zh-CN" w:bidi="ar"/>
        </w:rPr>
        <w:t>工必须持证上岗，无证严禁操作。</w:t>
      </w:r>
    </w:p>
    <w:p w14:paraId="0E47EE31">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2.井下电气设备检修应在支护良好，周围环境瓦斯浓度在1%以下时工作。电气作业应不少于2人，1人监护，1人工作。</w:t>
      </w:r>
    </w:p>
    <w:p w14:paraId="36FA6DE6">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3.在采区内使用普通型仪表进行测量时，应严格执行有关规定。</w:t>
      </w:r>
    </w:p>
    <w:p w14:paraId="288DA24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4.供电系统发生故障后，必须查明原因，找出故障点，排出故障后方可送电。禁止强行送电或用强行送电的方法查找故障。</w:t>
      </w:r>
    </w:p>
    <w:p w14:paraId="74A6832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5.不准任意调整电气保护装置的整定值，供电系统的检漏必须按规定试验，严禁甩掉漏电保护运行。</w:t>
      </w:r>
    </w:p>
    <w:p w14:paraId="0B9265A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机电设备安装时，施工所用的起重工具，必须进行详细检查试验，确认安全检查后方可使用，井下起重设备时，检查支架棚梁，正式起吊前应进行试吊。被吊物上严禁站人，吊起的重物下严禁行人，严禁带电搬运设备。</w:t>
      </w:r>
    </w:p>
    <w:p w14:paraId="02747357">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7.安装防爆设备时，应按《黔金煤业防爆设备检查验收细则》中有关规定进行安装，并经过防爆检验员验收合格后再投入使用。</w:t>
      </w:r>
    </w:p>
    <w:p w14:paraId="59F780E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kern w:val="2"/>
          <w:sz w:val="28"/>
          <w:szCs w:val="28"/>
          <w:lang w:val="en-US" w:eastAsia="zh-CN" w:bidi="ar"/>
        </w:rPr>
        <w:t>8.在岗期间必须严格遵守岗位责任制。</w:t>
      </w:r>
    </w:p>
    <w:p w14:paraId="63B1440B">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七、全部注意事项</w:t>
      </w:r>
    </w:p>
    <w:p w14:paraId="65F5FE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1.经过培训合格后，持证上岗，无证不得上岗进行电气操作。</w:t>
      </w:r>
    </w:p>
    <w:p w14:paraId="540A5A3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2.熟知《煤矿安全规程》有关内容、《煤矿机电设备完好标准》、《煤矿机电设备检修质量标准》和电气设备防爆的有关标准和规定。</w:t>
      </w:r>
    </w:p>
    <w:p w14:paraId="5950D13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3.具备电工基本知识，熟悉所维修范围内的供电系统、电气设备和电缆线路的主要技术特征，以及电缆的分布情况。</w:t>
      </w:r>
    </w:p>
    <w:p w14:paraId="34E2615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4.了解所负责维修的设备性能、工作原理和保护装置的运行情况，有维修及故障处理等方面的技能和基础理论知识，能独立工作。</w:t>
      </w:r>
    </w:p>
    <w:p w14:paraId="44346F7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5.熟悉矿井巷道布置，了解作业地点的瓦斯浓度，熟悉在灾害情况下的停电顺序及人员撤离路线，掌握电气防灭火方法和触电急救知识。</w:t>
      </w:r>
    </w:p>
    <w:p w14:paraId="45AE9C9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6.上班前不喝酒，遵守劳动纪律，上班时不做与本职工作无关的事情，遵守操作规程及各项规章制度，服从管理。</w:t>
      </w:r>
    </w:p>
    <w:p w14:paraId="3271AEB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7.高压电器设备停送电操作，必须填写操作票。</w:t>
      </w:r>
    </w:p>
    <w:p w14:paraId="1005EFA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8.检修、安装、挪移机电设备、电缆时，禁止带电作业。</w:t>
      </w:r>
    </w:p>
    <w:p w14:paraId="6E489A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井下电气设备在检查、修理、搬移时应由2人协同工作，相互监护。检修前必须首先切断电源，经验电确认已停电后再放电（采区变电所的电气设备及供电电缆的放电，只能在硐室内瓦斯浓度在1﹪以下时才准进行）、悬挂接地线，操作手把上挂“有人工作，禁止合闸”警示牌后，才允许触及电气设备。</w:t>
      </w:r>
    </w:p>
    <w:p w14:paraId="0A736BC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10.操作高压电器设备时，操作人员必须戴绝缘手套，穿高压绝缘靴或站在绝缘台上操作。127伏手持式电气设备的操作手柄和工作中必须接触部分的绝缘应良好。</w:t>
      </w:r>
    </w:p>
    <w:p w14:paraId="7746024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11.井下电气维修工工作期间，应携带电工常用工具、电压等级相符的验电笔和便携式瓦斯检查仪。</w:t>
      </w:r>
    </w:p>
    <w:p w14:paraId="3F5E3C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12.井下使用普通型仪表进行测量时，应严格执行下列规定：</w:t>
      </w:r>
    </w:p>
    <w:p w14:paraId="687DFA3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①</w:t>
      </w:r>
      <w:r>
        <w:rPr>
          <w:rFonts w:hint="eastAsia" w:ascii="仿宋" w:hAnsi="仿宋" w:eastAsia="仿宋" w:cs="仿宋"/>
          <w:color w:val="auto"/>
          <w:kern w:val="2"/>
          <w:sz w:val="28"/>
          <w:szCs w:val="28"/>
          <w:lang w:val="en-US" w:eastAsia="zh-CN" w:bidi="ar"/>
        </w:rPr>
        <w:t>普通型携带式电气测量仪表，只准在瓦斯浓度为1﹪以下的地点使用。</w:t>
      </w:r>
    </w:p>
    <w:p w14:paraId="521D727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②</w:t>
      </w:r>
      <w:r>
        <w:rPr>
          <w:rFonts w:hint="eastAsia" w:ascii="仿宋" w:hAnsi="仿宋" w:eastAsia="仿宋" w:cs="仿宋"/>
          <w:color w:val="auto"/>
          <w:kern w:val="2"/>
          <w:sz w:val="28"/>
          <w:szCs w:val="28"/>
          <w:lang w:val="en-US" w:eastAsia="zh-CN" w:bidi="ar"/>
        </w:rPr>
        <w:t>在测定设备或电缆绝缘电阻后，必须将导体完全放电。</w:t>
      </w:r>
    </w:p>
    <w:p w14:paraId="43765A7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③</w:t>
      </w:r>
      <w:r>
        <w:rPr>
          <w:rFonts w:hint="eastAsia" w:ascii="仿宋" w:hAnsi="仿宋" w:eastAsia="仿宋" w:cs="仿宋"/>
          <w:color w:val="auto"/>
          <w:kern w:val="2"/>
          <w:sz w:val="28"/>
          <w:szCs w:val="28"/>
          <w:lang w:val="en-US" w:eastAsia="zh-CN" w:bidi="ar"/>
        </w:rPr>
        <w:t>被测设备中有电子插件时，在测量绝缘电阻之前，必须拔下电子插件。</w:t>
      </w:r>
    </w:p>
    <w:p w14:paraId="11EC328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13.工作完毕后，工作负责人对检修工作进行检查验收，拆除临时接地线和摘掉停电牌，清点工具，确认无误后，恢复正常供电。并对检修设备进行试运转。</w:t>
      </w:r>
    </w:p>
    <w:p w14:paraId="0552D7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14.每班工作结束升井后，必须向有关领导汇报工作情况，并认真填写检查维修记录。</w:t>
      </w:r>
    </w:p>
    <w:p w14:paraId="2B1B88B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15.认真按照安全风险分级管控和隐患排查治理双重预防机制等有关安全工作要求，抓好岗位日常安全工作。</w:t>
      </w:r>
    </w:p>
    <w:p w14:paraId="7017F9E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16.严格遵守上级单位及矿有关职业病防治的相关规定，加强职业病危害防治措施落实。按照职业病危害防治相关要求落实职业卫生相关工作。</w:t>
      </w:r>
    </w:p>
    <w:p w14:paraId="15D275C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17.发生生产安全事故后，事故现场有关人员应当立即报告本单位负责人；发现事故隐患或者其他不安全因素，应当立即向现场安全管理人员或者本单位负责人报告。</w:t>
      </w:r>
    </w:p>
    <w:p w14:paraId="0D9D0F8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18.有权对单位安全生产工作中存在的问题提出批评、检举、控告，有权拒绝违章指挥和强令冒险作业。</w:t>
      </w:r>
    </w:p>
    <w:p w14:paraId="29209719">
      <w:pPr>
        <w:pStyle w:val="4"/>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八、检修后安全确认</w:t>
      </w:r>
    </w:p>
    <w:p w14:paraId="5DA5B01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1.零部件连接：接线连接牢固，无毛刺，螺栓紧固牢靠。</w:t>
      </w:r>
    </w:p>
    <w:p w14:paraId="15BC81E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2.工具、材料：工具已清点，无缺漏；材料已清理。</w:t>
      </w:r>
    </w:p>
    <w:p w14:paraId="5955EF07">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3.恢复供电：停电牌已摘下，可恢复供电。</w:t>
      </w:r>
    </w:p>
    <w:p w14:paraId="42631642">
      <w:pPr>
        <w:pStyle w:val="4"/>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九、事故案例教育</w:t>
      </w:r>
    </w:p>
    <w:p w14:paraId="54104E0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（一）事件经过</w:t>
      </w:r>
    </w:p>
    <w:p w14:paraId="495CC22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2017年4月2日早班，综采队书记田勇峰组织召开班前会，对当班工作和安全注意事项进行安排和强调。当班工长李小朋对当班工作进行了分工，安排电工包机长张龙龙带领孙秀伟负责轨道顺槽510m点处远帮水仓水泵接火工作。下午16:00左右水泵开关运到位后，张龙龙与孙秀伟开始对水泵进行接火，由于作业地点上方临时吊挂4根电缆所用的尼龙绳（直径12mm的防倒绳）绳扣突然开扣，电缆掉落，将正在电缆下方进行接火工作的孙秀伟砸伤，造成胸、肺部挫伤。</w:t>
      </w:r>
    </w:p>
    <w:p w14:paraId="0C4D225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（二）事故原因分析</w:t>
      </w:r>
    </w:p>
    <w:p w14:paraId="17942B81">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直接原因</w:t>
      </w:r>
    </w:p>
    <w:p w14:paraId="5B4E339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综采队员工孙秀伟安全意识淡薄，在操作过程中未执行《1301工作面作业规程》第七节第二项第7条规定“禁止人员在设备下面、受力索具、钢丝绳附近及吊装物下落歪倒波及的地方通过和逗留，不得将头或手脚伸到可能被压、挤的位置”。孙秀伟准备对水泵进行接火时，自身处于吊挂物的下方，违反作业规程规定，造成个人受伤。</w:t>
      </w:r>
    </w:p>
    <w:p w14:paraId="7B771732">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间接原因</w:t>
      </w:r>
    </w:p>
    <w:p w14:paraId="53EA87F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交接班制度落实不到位。作业规程中明确规定“交接班时，交接班人员必须认真填写交接班记录，并向下一班人员交待班中发现的不安全隐患、应注意的问题等，做到交班清楚、接班明白” 。上班工长刘甲彬责任心不强，用尼龙绳临时吊挂电缆且未绑扎牢固，交接班时未详细交接此项事宜，给现场留下安全隐患，是事故发生的主要原因。</w:t>
      </w:r>
    </w:p>
    <w:p w14:paraId="1E6DBD4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互保联保制度落实不到位。《1301工作面作业规程》互保联保制度中规定“按照分工，在同一地点同一区域作业的人员，在互保联保书上签字，工作中互相照应，相互保安，共同搞好安全”。现场作业人员张龙龙互保联保意识不强，对现场存在的吊挂尼龙绳未绑牢固这一隐患未能及时检查和排除，是事故发生的重要原因。</w:t>
      </w:r>
    </w:p>
    <w:p w14:paraId="2877CEAB">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安全责任落实不到位。综采队当班跟班人员崔藏昆、工长李小朋未执行《1301工作面作业规程》第二节第五项规定“操作时，由经验丰富的职工进行操作，且跟班人员或班组长盯在现场负责安全操作”。作为区队跟班人员崔藏昆、工长李小朋未在现场盯靠监督，对现场工作安排不到位，安全责任落实不到位，是事故发生的重要原因。</w:t>
      </w:r>
    </w:p>
    <w:p w14:paraId="30FC62F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区队安全管理、安全教育不到位。综采队队长康日春安全管理不到位，未将作业规程、安全措施落实到具体管理中；书记田勇峰安全教育培训不到位，职工安全意识不强，自主保安、相互保安能力差，不能严格遵章操作，是事故发生的一个原因。</w:t>
      </w:r>
    </w:p>
    <w:p w14:paraId="299839B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安全检查工作不到位。当班安监员张绪利安全监督检查不到位，对现场存在的安全隐患未能及时发现排除，未能及时制止违章作业行为，是事故发生的一个原因。</w:t>
      </w:r>
    </w:p>
    <w:p w14:paraId="1D6BA7AC">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⑥</w:t>
      </w:r>
      <w:r>
        <w:rPr>
          <w:rFonts w:hint="eastAsia" w:ascii="仿宋" w:hAnsi="仿宋" w:eastAsia="仿宋" w:cs="仿宋"/>
          <w:color w:val="auto"/>
          <w:sz w:val="28"/>
          <w:szCs w:val="28"/>
        </w:rPr>
        <w:t>措施制定不到位。措施中未明确临时吊挂电缆所需的材料及注意事项，是事故发生的另一原因。</w:t>
      </w:r>
    </w:p>
    <w:p w14:paraId="4B9ACCC4">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（三）防范措施</w:t>
      </w:r>
    </w:p>
    <w:p w14:paraId="06F96708">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深刻吸取事故教训。深入开展一日一题、一周一例、一月一考、一季一评“四个一”安全教育活动，经常性的开展事故案例警示教育和安全大讨论活动，真正的举一反三，汲取教训，用身边的事故教育警示员工，让同样的错误不再重犯，让同样的惨剧不再重演。</w:t>
      </w:r>
    </w:p>
    <w:p w14:paraId="77090923">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继续加强安全教育。切实把员工安全教育培训工作放在首位，通过日常教育和培训，提升员工的安全意识和危机意识，做到“时时想安全、事事要安全、处处保安全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w:t>
      </w:r>
    </w:p>
    <w:p w14:paraId="71452E8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强化安全自主管理。加强班组建设，强化班组长培训工作，确保安全生产指示精神和工作要求真正落实到班组、落实到现场、落实到岗位，做到“关口前移、重心下移”。深化安全自主管理，按照“一级保一级、一级为一级负责”的层级管控模式，强化安全主体责任落实，实现“个人保班组、班组保区队、区队保专业、专业保全矿”，确保矿井安全生产形势持续稳定。</w:t>
      </w:r>
    </w:p>
    <w:p w14:paraId="4F0141B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突出风险预控管理。进一步深化“一岗双述”，真正从岗位现场的源头上、从人的思想和行为控制源头上，把事故消灭在萌芽状态。要从全员安全风险知识掌握、班前会及现场提问等方面入手，强化风险预控管理，提升员工安全风险辨识能力和规范操作水平，确保安全生产。</w:t>
      </w:r>
    </w:p>
    <w:p w14:paraId="7CFA5D0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严格安全监督检查。各级职能部门要加强对员工行为、物的状态、工作环境的监督检查，突出薄弱班次、薄弱岗位、薄弱时段的安全监察，严厉打击“三违”、“三惯”行为，加大制止和惩处力度，真正实现“薄弱时段监管不薄弱”。</w:t>
      </w:r>
    </w:p>
    <w:p w14:paraId="6C975C39">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b/>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强化工作作风建设。各级管理干部要牢记职责使命，严格执行安全生产规章制度，认真落实值班、下井带班制度，以身作则，靠前指挥，及时解决现场存在的安全问题，加大现场安全管理力度，保证安全生产。</w:t>
      </w:r>
    </w:p>
    <w:p w14:paraId="6F0B802A">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十、常见三违</w:t>
      </w:r>
    </w:p>
    <w:p w14:paraId="4D3CABFE">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bookmarkStart w:id="391" w:name="_Toc16932"/>
      <w:r>
        <w:rPr>
          <w:rFonts w:hint="default" w:ascii="仿宋" w:hAnsi="仿宋" w:eastAsia="仿宋" w:cs="仿宋"/>
          <w:b w:val="0"/>
          <w:bCs/>
          <w:color w:val="auto"/>
          <w:kern w:val="2"/>
          <w:sz w:val="28"/>
          <w:szCs w:val="28"/>
          <w:lang w:val="en-US" w:eastAsia="zh-CN" w:bidi="ar"/>
        </w:rPr>
        <w:t>（一）</w:t>
      </w:r>
      <w:r>
        <w:rPr>
          <w:rFonts w:hint="eastAsia" w:ascii="仿宋" w:hAnsi="仿宋" w:eastAsia="仿宋" w:cs="仿宋"/>
          <w:color w:val="auto"/>
          <w:sz w:val="28"/>
          <w:szCs w:val="28"/>
        </w:rPr>
        <w:t>在检修时不执行验电、放电制度</w:t>
      </w:r>
      <w:r>
        <w:rPr>
          <w:rFonts w:hint="eastAsia" w:ascii="仿宋" w:hAnsi="仿宋" w:eastAsia="仿宋" w:cs="仿宋"/>
          <w:color w:val="auto"/>
          <w:sz w:val="28"/>
          <w:szCs w:val="28"/>
          <w:lang w:eastAsia="zh-CN"/>
        </w:rPr>
        <w:t>；</w:t>
      </w:r>
    </w:p>
    <w:p w14:paraId="779D30CF">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电工维修电器设备时，未穿绝缘靴或吊挂高压电缆时未戴绝缘手套</w:t>
      </w:r>
      <w:r>
        <w:rPr>
          <w:rFonts w:hint="eastAsia" w:ascii="仿宋" w:hAnsi="仿宋" w:eastAsia="仿宋" w:cs="仿宋"/>
          <w:color w:val="auto"/>
          <w:sz w:val="28"/>
          <w:szCs w:val="28"/>
          <w:lang w:eastAsia="zh-CN"/>
        </w:rPr>
        <w:t>；</w:t>
      </w:r>
    </w:p>
    <w:p w14:paraId="170CA69A">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三</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井下打开电气设备前未检查瓦斯浓度</w:t>
      </w:r>
      <w:r>
        <w:rPr>
          <w:rFonts w:hint="eastAsia" w:ascii="仿宋" w:hAnsi="仿宋" w:eastAsia="仿宋" w:cs="仿宋"/>
          <w:color w:val="auto"/>
          <w:sz w:val="28"/>
          <w:szCs w:val="28"/>
          <w:lang w:eastAsia="zh-CN"/>
        </w:rPr>
        <w:t>；</w:t>
      </w:r>
    </w:p>
    <w:p w14:paraId="68C491B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四</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进行高压操作时不使用绝缘用具</w:t>
      </w:r>
      <w:r>
        <w:rPr>
          <w:rFonts w:hint="eastAsia" w:ascii="仿宋" w:hAnsi="仿宋" w:eastAsia="仿宋" w:cs="仿宋"/>
          <w:color w:val="auto"/>
          <w:sz w:val="28"/>
          <w:szCs w:val="28"/>
          <w:lang w:eastAsia="zh-CN"/>
        </w:rPr>
        <w:t>；</w:t>
      </w:r>
    </w:p>
    <w:p w14:paraId="27EA8D5D">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五</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检修机械时没将启动开关闭锁或闭锁后无人看管或未挂停电牌</w:t>
      </w:r>
      <w:r>
        <w:rPr>
          <w:rFonts w:hint="eastAsia" w:ascii="仿宋" w:hAnsi="仿宋" w:eastAsia="仿宋" w:cs="仿宋"/>
          <w:color w:val="auto"/>
          <w:sz w:val="28"/>
          <w:szCs w:val="28"/>
          <w:lang w:eastAsia="zh-CN"/>
        </w:rPr>
        <w:t>；</w:t>
      </w:r>
    </w:p>
    <w:p w14:paraId="3E01CB8E">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六</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不执行“停电工作票”制度或“一人操作，一人监护”制度规定，不执行停送电操作顺序</w:t>
      </w:r>
      <w:r>
        <w:rPr>
          <w:rFonts w:hint="eastAsia" w:ascii="仿宋" w:hAnsi="仿宋" w:eastAsia="仿宋" w:cs="仿宋"/>
          <w:color w:val="auto"/>
          <w:sz w:val="28"/>
          <w:szCs w:val="28"/>
          <w:lang w:eastAsia="zh-CN"/>
        </w:rPr>
        <w:t>；</w:t>
      </w:r>
    </w:p>
    <w:p w14:paraId="0C923A00">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七</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电气设备检修时不按规定挂接地线</w:t>
      </w:r>
      <w:r>
        <w:rPr>
          <w:rFonts w:hint="eastAsia" w:ascii="仿宋" w:hAnsi="仿宋" w:eastAsia="仿宋" w:cs="仿宋"/>
          <w:color w:val="auto"/>
          <w:sz w:val="28"/>
          <w:szCs w:val="28"/>
          <w:lang w:eastAsia="zh-CN"/>
        </w:rPr>
        <w:t>；</w:t>
      </w:r>
    </w:p>
    <w:p w14:paraId="54370B95">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八</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检修高压开关或变压器时，切断断路器未拉开隔离插销、隔离刀闸，不闭锁</w:t>
      </w:r>
      <w:r>
        <w:rPr>
          <w:rFonts w:hint="eastAsia" w:ascii="仿宋" w:hAnsi="仿宋" w:eastAsia="仿宋" w:cs="仿宋"/>
          <w:color w:val="auto"/>
          <w:sz w:val="28"/>
          <w:szCs w:val="28"/>
          <w:lang w:eastAsia="zh-CN"/>
        </w:rPr>
        <w:t>；</w:t>
      </w:r>
    </w:p>
    <w:p w14:paraId="178537C3">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九</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开关设备没有按规定敷设主、辅保护接地。</w:t>
      </w:r>
    </w:p>
    <w:bookmarkEnd w:id="391"/>
    <w:p w14:paraId="606B4173">
      <w:pPr>
        <w:rPr>
          <w:rFonts w:hint="eastAsia" w:cs="Times New Roman"/>
          <w:color w:val="auto"/>
          <w:lang w:val="en-US" w:eastAsia="zh-CN"/>
        </w:rPr>
      </w:pPr>
      <w:bookmarkStart w:id="392" w:name="_Toc27181"/>
      <w:bookmarkStart w:id="393" w:name="_Toc605"/>
      <w:bookmarkStart w:id="394" w:name="_Toc22102"/>
      <w:bookmarkStart w:id="395" w:name="_Toc28398"/>
      <w:r>
        <w:rPr>
          <w:rFonts w:hint="eastAsia" w:cs="Times New Roman"/>
          <w:color w:val="auto"/>
          <w:lang w:val="en-US" w:eastAsia="zh-CN"/>
        </w:rPr>
        <w:br w:type="page"/>
      </w:r>
    </w:p>
    <w:p w14:paraId="0F7416C3">
      <w:pPr>
        <w:pStyle w:val="17"/>
        <w:bidi w:val="0"/>
        <w:jc w:val="center"/>
        <w:outlineLvl w:val="1"/>
        <w:rPr>
          <w:rFonts w:hint="eastAsia" w:cs="Times New Roman"/>
          <w:color w:val="auto"/>
          <w:lang w:val="en-US" w:eastAsia="zh-CN"/>
        </w:rPr>
      </w:pPr>
      <w:bookmarkStart w:id="396" w:name="_Toc25559"/>
      <w:r>
        <w:rPr>
          <w:rFonts w:hint="eastAsia" w:cs="Times New Roman"/>
          <w:color w:val="auto"/>
          <w:lang w:val="en-US" w:eastAsia="zh-CN"/>
        </w:rPr>
        <w:t>胶带输送机司机</w:t>
      </w:r>
      <w:bookmarkEnd w:id="392"/>
      <w:bookmarkEnd w:id="393"/>
      <w:bookmarkEnd w:id="394"/>
      <w:bookmarkEnd w:id="396"/>
    </w:p>
    <w:tbl>
      <w:tblPr>
        <w:tblStyle w:val="12"/>
        <w:tblW w:w="9297" w:type="dxa"/>
        <w:tblInd w:w="-56" w:type="dxa"/>
        <w:tblLayout w:type="fixed"/>
        <w:tblCellMar>
          <w:top w:w="0" w:type="dxa"/>
          <w:left w:w="108" w:type="dxa"/>
          <w:bottom w:w="0" w:type="dxa"/>
          <w:right w:w="108" w:type="dxa"/>
        </w:tblCellMar>
      </w:tblPr>
      <w:tblGrid>
        <w:gridCol w:w="950"/>
        <w:gridCol w:w="545"/>
        <w:gridCol w:w="2858"/>
        <w:gridCol w:w="898"/>
        <w:gridCol w:w="4046"/>
      </w:tblGrid>
      <w:tr w14:paraId="319243BB">
        <w:tblPrEx>
          <w:tblCellMar>
            <w:top w:w="0" w:type="dxa"/>
            <w:left w:w="108" w:type="dxa"/>
            <w:bottom w:w="0" w:type="dxa"/>
            <w:right w:w="108" w:type="dxa"/>
          </w:tblCellMar>
        </w:tblPrEx>
        <w:trPr>
          <w:trHeight w:val="187" w:hRule="atLeast"/>
        </w:trPr>
        <w:tc>
          <w:tcPr>
            <w:tcW w:w="9297" w:type="dxa"/>
            <w:gridSpan w:val="5"/>
            <w:tcBorders>
              <w:top w:val="single" w:color="auto" w:sz="4" w:space="0"/>
              <w:left w:val="single" w:color="auto" w:sz="4" w:space="0"/>
              <w:bottom w:val="single" w:color="auto" w:sz="4" w:space="0"/>
              <w:right w:val="single" w:color="auto" w:sz="4" w:space="0"/>
            </w:tcBorders>
            <w:vAlign w:val="center"/>
          </w:tcPr>
          <w:p w14:paraId="24C3CC8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胶带输送机司机岗位风险告知卡</w:t>
            </w:r>
          </w:p>
        </w:tc>
      </w:tr>
      <w:tr w14:paraId="4C0F186D">
        <w:tblPrEx>
          <w:tblCellMar>
            <w:top w:w="0" w:type="dxa"/>
            <w:left w:w="108" w:type="dxa"/>
            <w:bottom w:w="0" w:type="dxa"/>
            <w:right w:w="108" w:type="dxa"/>
          </w:tblCellMar>
        </w:tblPrEx>
        <w:trPr>
          <w:trHeight w:val="550" w:hRule="atLeast"/>
        </w:trPr>
        <w:tc>
          <w:tcPr>
            <w:tcW w:w="950" w:type="dxa"/>
            <w:tcBorders>
              <w:top w:val="nil"/>
              <w:left w:val="single" w:color="auto" w:sz="4" w:space="0"/>
              <w:bottom w:val="single" w:color="auto" w:sz="4" w:space="0"/>
              <w:right w:val="single" w:color="auto" w:sz="4" w:space="0"/>
            </w:tcBorders>
            <w:vAlign w:val="center"/>
          </w:tcPr>
          <w:p w14:paraId="51DF666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2D5CD65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3403" w:type="dxa"/>
            <w:gridSpan w:val="2"/>
            <w:tcBorders>
              <w:top w:val="nil"/>
              <w:left w:val="nil"/>
              <w:bottom w:val="single" w:color="auto" w:sz="4" w:space="0"/>
              <w:right w:val="single" w:color="auto" w:sz="4" w:space="0"/>
            </w:tcBorders>
            <w:vAlign w:val="center"/>
          </w:tcPr>
          <w:p w14:paraId="4B2D779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冒顶、瓦斯、运输、物体打击、职业病危害、高空坠落</w:t>
            </w:r>
          </w:p>
        </w:tc>
        <w:tc>
          <w:tcPr>
            <w:tcW w:w="898" w:type="dxa"/>
            <w:tcBorders>
              <w:top w:val="nil"/>
              <w:left w:val="nil"/>
              <w:bottom w:val="single" w:color="auto" w:sz="4" w:space="0"/>
              <w:right w:val="single" w:color="auto" w:sz="4" w:space="0"/>
            </w:tcBorders>
            <w:vAlign w:val="center"/>
          </w:tcPr>
          <w:p w14:paraId="3FA365A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568FD06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046" w:type="dxa"/>
            <w:tcBorders>
              <w:top w:val="nil"/>
              <w:left w:val="nil"/>
              <w:bottom w:val="single" w:color="auto" w:sz="4" w:space="0"/>
              <w:right w:val="single" w:color="auto" w:sz="4" w:space="0"/>
            </w:tcBorders>
            <w:vAlign w:val="center"/>
          </w:tcPr>
          <w:p w14:paraId="5674C28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工区值班：8650526</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4AEED15E">
        <w:tblPrEx>
          <w:tblCellMar>
            <w:top w:w="0" w:type="dxa"/>
            <w:left w:w="108" w:type="dxa"/>
            <w:bottom w:w="0" w:type="dxa"/>
            <w:right w:w="108" w:type="dxa"/>
          </w:tblCellMar>
        </w:tblPrEx>
        <w:trPr>
          <w:trHeight w:val="187"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14:paraId="1745440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944" w:type="dxa"/>
            <w:gridSpan w:val="2"/>
            <w:tcBorders>
              <w:top w:val="single" w:color="auto" w:sz="4" w:space="0"/>
              <w:left w:val="nil"/>
              <w:bottom w:val="single" w:color="auto" w:sz="4" w:space="0"/>
              <w:right w:val="single" w:color="auto" w:sz="4" w:space="0"/>
            </w:tcBorders>
            <w:vAlign w:val="center"/>
          </w:tcPr>
          <w:p w14:paraId="7B630DD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657BF5E0">
        <w:tblPrEx>
          <w:tblCellMar>
            <w:top w:w="0" w:type="dxa"/>
            <w:left w:w="108" w:type="dxa"/>
            <w:bottom w:w="0" w:type="dxa"/>
            <w:right w:w="108" w:type="dxa"/>
          </w:tblCellMar>
        </w:tblPrEx>
        <w:trPr>
          <w:trHeight w:val="731"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14:paraId="657A7E2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1.未持证上岗；未佩戴个体防护；空顶作业；瓦斯超限作业</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14:paraId="76AF57D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1.经培训合格后，持证上岗；佩戴好安全帽、口罩、耳塞，执行好“三紧两不要；检查好顶帮支护情况，确保顶帮支护完好方可上岗作业；瓦斯浓度达到0.8%时，立即停机处理</w:t>
            </w:r>
            <w:r>
              <w:rPr>
                <w:rFonts w:hint="eastAsia" w:ascii="仿宋" w:hAnsi="仿宋" w:eastAsia="仿宋" w:cs="仿宋"/>
                <w:color w:val="auto"/>
                <w:kern w:val="0"/>
                <w:sz w:val="21"/>
                <w:szCs w:val="21"/>
                <w:lang w:eastAsia="zh-CN"/>
              </w:rPr>
              <w:t>。</w:t>
            </w:r>
          </w:p>
        </w:tc>
      </w:tr>
      <w:tr w14:paraId="1EEB3876">
        <w:tblPrEx>
          <w:tblCellMar>
            <w:top w:w="0" w:type="dxa"/>
            <w:left w:w="108" w:type="dxa"/>
            <w:bottom w:w="0" w:type="dxa"/>
            <w:right w:w="108" w:type="dxa"/>
          </w:tblCellMar>
        </w:tblPrEx>
        <w:trPr>
          <w:trHeight w:val="187"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14:paraId="59A5F5E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.停机后未停电闭锁</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14:paraId="1EFA224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.停机后立即停电闭锁</w:t>
            </w:r>
            <w:r>
              <w:rPr>
                <w:rFonts w:hint="eastAsia" w:ascii="仿宋" w:hAnsi="仿宋" w:eastAsia="仿宋" w:cs="仿宋"/>
                <w:color w:val="auto"/>
                <w:kern w:val="0"/>
                <w:sz w:val="21"/>
                <w:szCs w:val="21"/>
                <w:lang w:eastAsia="zh-CN"/>
              </w:rPr>
              <w:t>。</w:t>
            </w:r>
          </w:p>
        </w:tc>
      </w:tr>
      <w:tr w14:paraId="4A2FEA99">
        <w:tblPrEx>
          <w:tblCellMar>
            <w:top w:w="0" w:type="dxa"/>
            <w:left w:w="108" w:type="dxa"/>
            <w:bottom w:w="0" w:type="dxa"/>
            <w:right w:w="108" w:type="dxa"/>
          </w:tblCellMar>
        </w:tblPrEx>
        <w:trPr>
          <w:trHeight w:val="368"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14:paraId="4419940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.开关、照明、信号或按钮不完好或固定不牢固</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14:paraId="6DB197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.开机前必须检查好开关、照明、信号、按钮；各部件完好，固定牢固</w:t>
            </w:r>
            <w:r>
              <w:rPr>
                <w:rFonts w:hint="eastAsia" w:ascii="仿宋" w:hAnsi="仿宋" w:eastAsia="仿宋" w:cs="仿宋"/>
                <w:color w:val="auto"/>
                <w:kern w:val="0"/>
                <w:sz w:val="21"/>
                <w:szCs w:val="21"/>
                <w:lang w:eastAsia="zh-CN"/>
              </w:rPr>
              <w:t>。</w:t>
            </w:r>
          </w:p>
        </w:tc>
      </w:tr>
      <w:tr w14:paraId="4D63BC79">
        <w:tblPrEx>
          <w:tblCellMar>
            <w:top w:w="0" w:type="dxa"/>
            <w:left w:w="108" w:type="dxa"/>
            <w:bottom w:w="0" w:type="dxa"/>
            <w:right w:w="108" w:type="dxa"/>
          </w:tblCellMar>
        </w:tblPrEx>
        <w:trPr>
          <w:trHeight w:val="731"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14:paraId="09FDFDB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.靠近运转部位，造成人身伤害；开机前未检查附近是否有人；安全防护措施失效；胶带输送机皮带开裂</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14:paraId="40BE3C9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.运行前确认运转部位附近无人；包机人定期对设备保护进行检查，发现失效及时处理；每班由皮带维护人员检查一遍皮带情况，发现问题及时处理</w:t>
            </w:r>
            <w:r>
              <w:rPr>
                <w:rFonts w:hint="eastAsia" w:ascii="仿宋" w:hAnsi="仿宋" w:eastAsia="仿宋" w:cs="仿宋"/>
                <w:color w:val="auto"/>
                <w:kern w:val="0"/>
                <w:sz w:val="21"/>
                <w:szCs w:val="21"/>
                <w:lang w:eastAsia="zh-CN"/>
              </w:rPr>
              <w:t>。</w:t>
            </w:r>
          </w:p>
        </w:tc>
      </w:tr>
      <w:tr w14:paraId="53F79D34">
        <w:tblPrEx>
          <w:tblCellMar>
            <w:top w:w="0" w:type="dxa"/>
            <w:left w:w="108" w:type="dxa"/>
            <w:bottom w:w="0" w:type="dxa"/>
            <w:right w:w="108" w:type="dxa"/>
          </w:tblCellMar>
        </w:tblPrEx>
        <w:trPr>
          <w:trHeight w:val="550"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14:paraId="41AC8B7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.转载喷雾不合格，粉尘积聚；运行过程中发生异常或出现异响；超负荷运行；开机时清理运转部位浮煤</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14:paraId="09CC2A8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.开机前检查喷雾完好情况并确保喷雾效果；发生异响或出现异常时立即停机处理；控制皮带上煤量；停机后方可清理运转部位浮煤</w:t>
            </w:r>
            <w:r>
              <w:rPr>
                <w:rFonts w:hint="eastAsia" w:ascii="仿宋" w:hAnsi="仿宋" w:eastAsia="仿宋" w:cs="仿宋"/>
                <w:color w:val="auto"/>
                <w:kern w:val="0"/>
                <w:sz w:val="21"/>
                <w:szCs w:val="21"/>
                <w:lang w:eastAsia="zh-CN"/>
              </w:rPr>
              <w:t>。</w:t>
            </w:r>
          </w:p>
        </w:tc>
      </w:tr>
      <w:tr w14:paraId="53C7D0B6">
        <w:tblPrEx>
          <w:tblCellMar>
            <w:top w:w="0" w:type="dxa"/>
            <w:left w:w="108" w:type="dxa"/>
            <w:bottom w:w="0" w:type="dxa"/>
            <w:right w:w="108" w:type="dxa"/>
          </w:tblCellMar>
        </w:tblPrEx>
        <w:trPr>
          <w:trHeight w:val="731" w:hRule="atLeast"/>
        </w:trPr>
        <w:tc>
          <w:tcPr>
            <w:tcW w:w="4353" w:type="dxa"/>
            <w:gridSpan w:val="3"/>
            <w:tcBorders>
              <w:top w:val="single" w:color="auto" w:sz="4" w:space="0"/>
              <w:left w:val="single" w:color="auto" w:sz="4" w:space="0"/>
              <w:bottom w:val="single" w:color="auto" w:sz="4" w:space="0"/>
              <w:right w:val="single" w:color="000000" w:sz="4" w:space="0"/>
            </w:tcBorders>
            <w:vAlign w:val="center"/>
          </w:tcPr>
          <w:p w14:paraId="6AD124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6.处理煤仓口堵仓前未将仓口皮带机停电闭锁；单独1人进入煤仓口护栏内处理堵仓；处理煤仓口堵仓时未系挂好保险带。</w:t>
            </w:r>
          </w:p>
        </w:tc>
        <w:tc>
          <w:tcPr>
            <w:tcW w:w="4944" w:type="dxa"/>
            <w:gridSpan w:val="2"/>
            <w:tcBorders>
              <w:top w:val="single" w:color="auto" w:sz="4" w:space="0"/>
              <w:left w:val="nil"/>
              <w:bottom w:val="single" w:color="auto" w:sz="4" w:space="0"/>
              <w:right w:val="single" w:color="000000" w:sz="4" w:space="0"/>
            </w:tcBorders>
            <w:vAlign w:val="center"/>
          </w:tcPr>
          <w:p w14:paraId="0198214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6.处理煤仓口堵仓前先将仓口皮带机停电闭锁；进入煤仓口护栏内处理堵仓时不得少于两人，1人处理1人监护或协助处理；处理煤仓口堵仓时必须按规定系挂好保险带。</w:t>
            </w:r>
          </w:p>
        </w:tc>
      </w:tr>
      <w:tr w14:paraId="19DF3CF5">
        <w:tblPrEx>
          <w:tblCellMar>
            <w:top w:w="0" w:type="dxa"/>
            <w:left w:w="108" w:type="dxa"/>
            <w:bottom w:w="0" w:type="dxa"/>
            <w:right w:w="108" w:type="dxa"/>
          </w:tblCellMar>
        </w:tblPrEx>
        <w:trPr>
          <w:trHeight w:val="731" w:hRule="atLeast"/>
        </w:trPr>
        <w:tc>
          <w:tcPr>
            <w:tcW w:w="4353" w:type="dxa"/>
            <w:gridSpan w:val="3"/>
            <w:tcBorders>
              <w:top w:val="single" w:color="auto" w:sz="4" w:space="0"/>
              <w:left w:val="single" w:color="auto" w:sz="4" w:space="0"/>
              <w:bottom w:val="single" w:color="auto" w:sz="4" w:space="0"/>
              <w:right w:val="single" w:color="000000" w:sz="4" w:space="0"/>
            </w:tcBorders>
            <w:shd w:val="clear" w:color="auto" w:fill="FFFFFF" w:themeFill="background1"/>
            <w:vAlign w:val="center"/>
          </w:tcPr>
          <w:p w14:paraId="73D2E8C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7</w:t>
            </w:r>
            <w:r>
              <w:rPr>
                <w:rFonts w:hint="eastAsia" w:ascii="仿宋" w:hAnsi="仿宋" w:eastAsia="仿宋" w:cs="仿宋"/>
                <w:color w:val="auto"/>
                <w:kern w:val="0"/>
                <w:sz w:val="21"/>
                <w:szCs w:val="21"/>
              </w:rPr>
              <w:t>.皮带运行过程中，人员乘坐、直接跨越带式输送机，人员需跨越皮带时未经行人过桥。站在运行中的皮带大架、胶带或纵梁上作业。</w:t>
            </w:r>
          </w:p>
        </w:tc>
        <w:tc>
          <w:tcPr>
            <w:tcW w:w="4944" w:type="dxa"/>
            <w:gridSpan w:val="2"/>
            <w:tcBorders>
              <w:top w:val="single" w:color="auto" w:sz="4" w:space="0"/>
              <w:left w:val="nil"/>
              <w:bottom w:val="single" w:color="auto" w:sz="4" w:space="0"/>
              <w:right w:val="single" w:color="000000" w:sz="4" w:space="0"/>
            </w:tcBorders>
            <w:shd w:val="clear" w:color="auto" w:fill="FFFFFF" w:themeFill="background1"/>
            <w:vAlign w:val="center"/>
          </w:tcPr>
          <w:p w14:paraId="2192E42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7</w:t>
            </w:r>
            <w:r>
              <w:rPr>
                <w:rFonts w:hint="eastAsia" w:ascii="仿宋" w:hAnsi="仿宋" w:eastAsia="仿宋" w:cs="仿宋"/>
                <w:color w:val="auto"/>
                <w:kern w:val="0"/>
                <w:sz w:val="21"/>
                <w:szCs w:val="21"/>
              </w:rPr>
              <w:t>.皮带运行过程中，严禁人员乘坐、直接跨越带式输送机，人员需跨越皮带时必须经行人过桥。严禁站在运行中的皮带大架、胶带或纵梁上作业。</w:t>
            </w:r>
          </w:p>
        </w:tc>
      </w:tr>
      <w:tr w14:paraId="67E6FE1F">
        <w:tblPrEx>
          <w:tblCellMar>
            <w:top w:w="0" w:type="dxa"/>
            <w:left w:w="108" w:type="dxa"/>
            <w:bottom w:w="0" w:type="dxa"/>
            <w:right w:w="108" w:type="dxa"/>
          </w:tblCellMar>
        </w:tblPrEx>
        <w:trPr>
          <w:trHeight w:val="368" w:hRule="atLeast"/>
        </w:trPr>
        <w:tc>
          <w:tcPr>
            <w:tcW w:w="4353" w:type="dxa"/>
            <w:gridSpan w:val="3"/>
            <w:tcBorders>
              <w:top w:val="single" w:color="auto" w:sz="4" w:space="0"/>
              <w:left w:val="single" w:color="auto" w:sz="4" w:space="0"/>
              <w:bottom w:val="single" w:color="auto" w:sz="4" w:space="0"/>
              <w:right w:val="single" w:color="000000" w:sz="4" w:space="0"/>
            </w:tcBorders>
            <w:shd w:val="clear" w:color="auto" w:fill="FFFFFF" w:themeFill="background1"/>
            <w:vAlign w:val="center"/>
          </w:tcPr>
          <w:p w14:paraId="1A465FE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8.输送机运转时清理机头、机尾滚筒及其附近的浮煤。用手拉动输送带的清扫器。</w:t>
            </w:r>
          </w:p>
        </w:tc>
        <w:tc>
          <w:tcPr>
            <w:tcW w:w="4944" w:type="dxa"/>
            <w:gridSpan w:val="2"/>
            <w:tcBorders>
              <w:top w:val="single" w:color="auto" w:sz="4" w:space="0"/>
              <w:left w:val="nil"/>
              <w:bottom w:val="single" w:color="auto" w:sz="4" w:space="0"/>
              <w:right w:val="single" w:color="000000" w:sz="4" w:space="0"/>
            </w:tcBorders>
            <w:shd w:val="clear" w:color="auto" w:fill="FFFFFF" w:themeFill="background1"/>
            <w:vAlign w:val="center"/>
          </w:tcPr>
          <w:p w14:paraId="5935BD4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8</w:t>
            </w:r>
            <w:r>
              <w:rPr>
                <w:rFonts w:hint="eastAsia" w:ascii="仿宋" w:hAnsi="仿宋" w:eastAsia="仿宋" w:cs="仿宋"/>
                <w:color w:val="auto"/>
                <w:kern w:val="0"/>
                <w:sz w:val="21"/>
                <w:szCs w:val="21"/>
              </w:rPr>
              <w:t>.输送机运转时禁止清理机头、机尾滚筒及其附近的浮煤。严禁用手拉动输送带的清扫器。</w:t>
            </w:r>
          </w:p>
        </w:tc>
      </w:tr>
      <w:tr w14:paraId="1A7E6BE8">
        <w:tblPrEx>
          <w:tblCellMar>
            <w:top w:w="0" w:type="dxa"/>
            <w:left w:w="108" w:type="dxa"/>
            <w:bottom w:w="0" w:type="dxa"/>
            <w:right w:w="108" w:type="dxa"/>
          </w:tblCellMar>
        </w:tblPrEx>
        <w:trPr>
          <w:trHeight w:val="368" w:hRule="atLeast"/>
        </w:trPr>
        <w:tc>
          <w:tcPr>
            <w:tcW w:w="4353" w:type="dxa"/>
            <w:gridSpan w:val="3"/>
            <w:tcBorders>
              <w:top w:val="single" w:color="auto" w:sz="4" w:space="0"/>
              <w:left w:val="single" w:color="auto" w:sz="4" w:space="0"/>
              <w:bottom w:val="single" w:color="auto" w:sz="4" w:space="0"/>
              <w:right w:val="single" w:color="000000" w:sz="4" w:space="0"/>
            </w:tcBorders>
            <w:shd w:val="clear" w:color="auto" w:fill="FFFFFF" w:themeFill="background1"/>
            <w:vAlign w:val="center"/>
          </w:tcPr>
          <w:p w14:paraId="4CD73F4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9.锚杆、铁鞋等异物进入皮带运输系统造成皮带撕裂。</w:t>
            </w:r>
          </w:p>
        </w:tc>
        <w:tc>
          <w:tcPr>
            <w:tcW w:w="4944" w:type="dxa"/>
            <w:gridSpan w:val="2"/>
            <w:tcBorders>
              <w:top w:val="single" w:color="auto" w:sz="4" w:space="0"/>
              <w:left w:val="nil"/>
              <w:bottom w:val="single" w:color="auto" w:sz="4" w:space="0"/>
              <w:right w:val="single" w:color="000000" w:sz="4" w:space="0"/>
            </w:tcBorders>
            <w:shd w:val="clear" w:color="auto" w:fill="FFFFFF" w:themeFill="background1"/>
            <w:vAlign w:val="center"/>
          </w:tcPr>
          <w:p w14:paraId="0F01D23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9</w:t>
            </w:r>
            <w:r>
              <w:rPr>
                <w:rFonts w:hint="eastAsia" w:ascii="仿宋" w:hAnsi="仿宋" w:eastAsia="仿宋" w:cs="仿宋"/>
                <w:color w:val="auto"/>
                <w:kern w:val="0"/>
                <w:sz w:val="21"/>
                <w:szCs w:val="21"/>
              </w:rPr>
              <w:t>.从源头控制严禁锚杆、铁鞋等异物进入皮带运输系统。</w:t>
            </w:r>
          </w:p>
        </w:tc>
      </w:tr>
      <w:tr w14:paraId="058B2FD0">
        <w:tblPrEx>
          <w:tblCellMar>
            <w:top w:w="0" w:type="dxa"/>
            <w:left w:w="108" w:type="dxa"/>
            <w:bottom w:w="0" w:type="dxa"/>
            <w:right w:w="108" w:type="dxa"/>
          </w:tblCellMar>
        </w:tblPrEx>
        <w:trPr>
          <w:trHeight w:val="368" w:hRule="atLeast"/>
        </w:trPr>
        <w:tc>
          <w:tcPr>
            <w:tcW w:w="4353" w:type="dxa"/>
            <w:gridSpan w:val="3"/>
            <w:tcBorders>
              <w:top w:val="single" w:color="auto" w:sz="4" w:space="0"/>
              <w:left w:val="single" w:color="auto" w:sz="4" w:space="0"/>
              <w:bottom w:val="single" w:color="auto" w:sz="4" w:space="0"/>
              <w:right w:val="single" w:color="000000" w:sz="4" w:space="0"/>
            </w:tcBorders>
            <w:shd w:val="clear" w:color="auto" w:fill="FFFFFF" w:themeFill="background1"/>
            <w:vAlign w:val="center"/>
          </w:tcPr>
          <w:p w14:paraId="2101370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10.在皮带机运行的情况下，人员独自进入皮带机非人行道一侧进行作业。</w:t>
            </w:r>
          </w:p>
        </w:tc>
        <w:tc>
          <w:tcPr>
            <w:tcW w:w="4944" w:type="dxa"/>
            <w:gridSpan w:val="2"/>
            <w:tcBorders>
              <w:top w:val="single" w:color="auto" w:sz="4" w:space="0"/>
              <w:left w:val="nil"/>
              <w:bottom w:val="single" w:color="auto" w:sz="4" w:space="0"/>
              <w:right w:val="single" w:color="000000" w:sz="4" w:space="0"/>
            </w:tcBorders>
            <w:shd w:val="clear" w:color="auto" w:fill="FFFFFF" w:themeFill="background1"/>
            <w:vAlign w:val="center"/>
          </w:tcPr>
          <w:p w14:paraId="07682F4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10.在皮带机运行的情况下，严禁人员独自进入皮带机非人行道一侧进行作业。</w:t>
            </w:r>
          </w:p>
        </w:tc>
      </w:tr>
      <w:tr w14:paraId="30CAF2AA">
        <w:tblPrEx>
          <w:tblCellMar>
            <w:top w:w="0" w:type="dxa"/>
            <w:left w:w="108" w:type="dxa"/>
            <w:bottom w:w="0" w:type="dxa"/>
            <w:right w:w="108" w:type="dxa"/>
          </w:tblCellMar>
        </w:tblPrEx>
        <w:trPr>
          <w:trHeight w:val="1115" w:hRule="atLeast"/>
        </w:trPr>
        <w:tc>
          <w:tcPr>
            <w:tcW w:w="1495" w:type="dxa"/>
            <w:gridSpan w:val="2"/>
            <w:tcBorders>
              <w:top w:val="nil"/>
              <w:left w:val="single" w:color="auto" w:sz="4" w:space="0"/>
              <w:bottom w:val="single" w:color="auto" w:sz="4" w:space="0"/>
              <w:right w:val="single" w:color="auto" w:sz="4" w:space="0"/>
            </w:tcBorders>
            <w:vAlign w:val="center"/>
          </w:tcPr>
          <w:p w14:paraId="6EAF085A">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45C186A7">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02" w:type="dxa"/>
            <w:gridSpan w:val="3"/>
            <w:tcBorders>
              <w:top w:val="nil"/>
              <w:left w:val="single" w:color="auto" w:sz="4" w:space="0"/>
              <w:bottom w:val="single" w:color="auto" w:sz="4" w:space="0"/>
              <w:right w:val="single" w:color="auto" w:sz="4" w:space="0"/>
            </w:tcBorders>
            <w:vAlign w:val="center"/>
          </w:tcPr>
          <w:p w14:paraId="7161D31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36A9FF3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187F5B5D">
        <w:tblPrEx>
          <w:tblCellMar>
            <w:top w:w="0" w:type="dxa"/>
            <w:left w:w="108" w:type="dxa"/>
            <w:bottom w:w="0" w:type="dxa"/>
            <w:right w:w="108" w:type="dxa"/>
          </w:tblCellMar>
        </w:tblPrEx>
        <w:trPr>
          <w:trHeight w:val="1280" w:hRule="atLeast"/>
        </w:trPr>
        <w:tc>
          <w:tcPr>
            <w:tcW w:w="1495" w:type="dxa"/>
            <w:gridSpan w:val="2"/>
            <w:tcBorders>
              <w:top w:val="nil"/>
              <w:left w:val="single" w:color="auto" w:sz="4" w:space="0"/>
              <w:bottom w:val="single" w:color="auto" w:sz="4" w:space="0"/>
              <w:right w:val="single" w:color="auto" w:sz="4" w:space="0"/>
            </w:tcBorders>
            <w:vAlign w:val="center"/>
          </w:tcPr>
          <w:p w14:paraId="4B1C49A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3D3EAE4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4A46921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802" w:type="dxa"/>
            <w:gridSpan w:val="3"/>
            <w:tcBorders>
              <w:top w:val="nil"/>
              <w:left w:val="single" w:color="auto" w:sz="4" w:space="0"/>
              <w:bottom w:val="single" w:color="auto" w:sz="4" w:space="0"/>
              <w:right w:val="single" w:color="auto" w:sz="4" w:space="0"/>
            </w:tcBorders>
            <w:vAlign w:val="center"/>
          </w:tcPr>
          <w:p w14:paraId="79190300">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240" w:afterAutospacing="0" w:line="240" w:lineRule="auto"/>
              <w:ind w:right="0" w:rightChars="0" w:firstLine="420" w:firstLineChars="200"/>
              <w:jc w:val="left"/>
              <w:textAlignment w:val="auto"/>
              <w:outlineLvl w:val="9"/>
              <w:rPr>
                <w:rFonts w:hint="eastAsia" w:ascii="仿宋" w:hAnsi="仿宋" w:eastAsia="仿宋" w:cs="仿宋"/>
                <w:color w:val="auto"/>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机闭锁，找出故障点并将故障排除检查完毕方可开机。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336258FC">
      <w:pPr>
        <w:pageBreakBefore w:val="0"/>
        <w:kinsoku/>
        <w:wordWrap/>
        <w:overflowPunct/>
        <w:topLinePunct w:val="0"/>
        <w:autoSpaceDE/>
        <w:autoSpaceDN/>
        <w:bidi w:val="0"/>
        <w:adjustRightInd/>
        <w:snapToGrid/>
        <w:spacing w:line="240" w:lineRule="auto"/>
        <w:ind w:firstLine="422" w:firstLineChars="200"/>
        <w:textAlignment w:val="auto"/>
        <w:outlineLvl w:val="9"/>
        <w:rPr>
          <w:rFonts w:hint="eastAsia" w:ascii="仿宋" w:hAnsi="仿宋" w:eastAsia="仿宋" w:cs="仿宋"/>
          <w:b/>
          <w:bCs/>
          <w:color w:val="auto"/>
          <w:sz w:val="21"/>
          <w:szCs w:val="21"/>
        </w:rPr>
      </w:pPr>
    </w:p>
    <w:tbl>
      <w:tblPr>
        <w:tblStyle w:val="12"/>
        <w:tblW w:w="9240" w:type="dxa"/>
        <w:tblInd w:w="-56"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4647"/>
        <w:gridCol w:w="4593"/>
      </w:tblGrid>
      <w:tr w14:paraId="11A7B9A0">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654" w:hRule="atLeast"/>
        </w:trPr>
        <w:tc>
          <w:tcPr>
            <w:tcW w:w="9240" w:type="dxa"/>
            <w:gridSpan w:val="2"/>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032B6539">
            <w:pPr>
              <w:keepNext w:val="0"/>
              <w:keepLines w:val="0"/>
              <w:pageBreakBefore w:val="0"/>
              <w:widowControl/>
              <w:suppressLineNumbers w:val="0"/>
              <w:kinsoku/>
              <w:wordWrap/>
              <w:overflowPunct/>
              <w:topLinePunct w:val="0"/>
              <w:autoSpaceDE/>
              <w:autoSpaceDN/>
              <w:bidi w:val="0"/>
              <w:adjustRightInd/>
              <w:snapToGrid/>
              <w:spacing w:before="0" w:beforeAutospacing="0" w:after="200" w:afterAutospacing="0"/>
              <w:ind w:left="0" w:right="560"/>
              <w:jc w:val="center"/>
              <w:textAlignment w:val="auto"/>
              <w:outlineLvl w:val="9"/>
              <w:rPr>
                <w:rFonts w:hint="default" w:ascii="Calibri" w:hAnsi="Calibri" w:cs="Calibri"/>
                <w:color w:val="auto"/>
                <w:kern w:val="2"/>
                <w:sz w:val="21"/>
                <w:szCs w:val="21"/>
              </w:rPr>
            </w:pPr>
            <w:r>
              <w:rPr>
                <w:rFonts w:hint="default" w:ascii="仿宋" w:hAnsi="仿宋" w:eastAsia="仿宋" w:cs="仿宋"/>
                <w:b/>
                <w:color w:val="auto"/>
                <w:kern w:val="0"/>
                <w:sz w:val="21"/>
                <w:szCs w:val="21"/>
                <w:lang w:val="en-US" w:eastAsia="zh-CN" w:bidi="ar"/>
              </w:rPr>
              <w:t>胶带输送机司机安全提示卡</w:t>
            </w:r>
          </w:p>
        </w:tc>
      </w:tr>
      <w:tr w14:paraId="5062270B">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745F199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b/>
                <w:color w:val="auto"/>
                <w:kern w:val="0"/>
                <w:sz w:val="21"/>
                <w:szCs w:val="21"/>
                <w:lang w:val="en-US" w:eastAsia="zh-CN" w:bidi="ar"/>
              </w:rPr>
              <w:t>开机前检查</w:t>
            </w:r>
          </w:p>
        </w:tc>
        <w:tc>
          <w:tcPr>
            <w:tcW w:w="4593" w:type="dxa"/>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3B871F8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b/>
                <w:color w:val="auto"/>
                <w:kern w:val="0"/>
                <w:sz w:val="21"/>
                <w:szCs w:val="21"/>
                <w:lang w:val="en-US" w:eastAsia="zh-CN" w:bidi="ar"/>
              </w:rPr>
              <w:t>停机后确认</w:t>
            </w:r>
          </w:p>
        </w:tc>
      </w:tr>
      <w:tr w14:paraId="2F191C5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4CEF77C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205"/>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1.顶帮</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444EFA3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1.输送带上物料</w:t>
            </w:r>
          </w:p>
        </w:tc>
      </w:tr>
      <w:tr w14:paraId="0A5DEB34">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4ACFCAD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205"/>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2.照明、电话、信号</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3B53EE1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★2.停电闭锁</w:t>
            </w:r>
          </w:p>
        </w:tc>
      </w:tr>
      <w:tr w14:paraId="37E31E9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3F3BCD4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21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3.消防器材</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73A8F8D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3.喷雾</w:t>
            </w:r>
          </w:p>
        </w:tc>
      </w:tr>
      <w:tr w14:paraId="3C9C40DC">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6232BBF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★4.人员、障碍物</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277DC8D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p>
        </w:tc>
      </w:tr>
      <w:tr w14:paraId="73521C5F">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2E5C65D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21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5.口罩</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0AF575D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p>
        </w:tc>
      </w:tr>
      <w:tr w14:paraId="13762CC7">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72" w:hRule="atLeast"/>
        </w:trPr>
        <w:tc>
          <w:tcPr>
            <w:tcW w:w="9240" w:type="dxa"/>
            <w:gridSpan w:val="2"/>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236AE92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409"/>
              <w:jc w:val="both"/>
              <w:textAlignment w:val="auto"/>
              <w:outlineLvl w:val="9"/>
              <w:rPr>
                <w:rFonts w:hint="default" w:ascii="Calibri" w:hAnsi="Calibri" w:cs="Calibri"/>
                <w:color w:val="auto"/>
                <w:kern w:val="2"/>
                <w:sz w:val="28"/>
                <w:szCs w:val="28"/>
              </w:rPr>
            </w:pPr>
            <w:r>
              <w:rPr>
                <w:rFonts w:hint="default" w:ascii="仿宋" w:hAnsi="仿宋" w:eastAsia="仿宋" w:cs="仿宋"/>
                <w:b w:val="0"/>
                <w:color w:val="auto"/>
                <w:kern w:val="0"/>
                <w:sz w:val="21"/>
                <w:szCs w:val="21"/>
                <w:lang w:val="en-US" w:eastAsia="zh-CN" w:bidi="ar"/>
              </w:rPr>
              <w:t>注：第一次按开机前内容逐项检查并确认，存在问题整改后再确认；中间再次操作只检查带“★”部分；运输任务全部结束后按停机后确认内容逐项检查并确认。</w:t>
            </w:r>
          </w:p>
        </w:tc>
      </w:tr>
    </w:tbl>
    <w:p w14:paraId="7AF8AC7D">
      <w:pPr>
        <w:pageBreakBefore w:val="0"/>
        <w:kinsoku/>
        <w:wordWrap/>
        <w:overflowPunct/>
        <w:topLinePunct w:val="0"/>
        <w:autoSpaceDE/>
        <w:autoSpaceDN/>
        <w:bidi w:val="0"/>
        <w:adjustRightInd/>
        <w:snapToGrid/>
        <w:textAlignment w:val="auto"/>
        <w:outlineLvl w:val="9"/>
        <w:rPr>
          <w:color w:val="auto"/>
        </w:rPr>
      </w:pPr>
    </w:p>
    <w:tbl>
      <w:tblPr>
        <w:tblStyle w:val="12"/>
        <w:tblW w:w="9220" w:type="dxa"/>
        <w:tblInd w:w="-59"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9220"/>
      </w:tblGrid>
      <w:tr w14:paraId="3C475852">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17" w:hRule="atLeast"/>
        </w:trPr>
        <w:tc>
          <w:tcPr>
            <w:tcW w:w="9220" w:type="dxa"/>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054EC1C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3780" w:firstLineChars="1800"/>
              <w:jc w:val="both"/>
              <w:textAlignment w:val="auto"/>
              <w:outlineLvl w:val="9"/>
              <w:rPr>
                <w:rFonts w:hint="default" w:ascii="仿宋" w:hAnsi="仿宋" w:eastAsia="仿宋" w:cs="仿宋"/>
                <w:color w:val="auto"/>
                <w:kern w:val="0"/>
                <w:sz w:val="21"/>
                <w:szCs w:val="21"/>
              </w:rPr>
            </w:pPr>
            <w:r>
              <w:rPr>
                <w:rFonts w:hint="default" w:ascii="仿宋" w:hAnsi="仿宋" w:eastAsia="仿宋" w:cs="仿宋"/>
                <w:b w:val="0"/>
                <w:bCs/>
                <w:i w:val="0"/>
                <w:caps w:val="0"/>
                <w:color w:val="auto"/>
                <w:spacing w:val="0"/>
                <w:kern w:val="0"/>
                <w:sz w:val="21"/>
                <w:szCs w:val="21"/>
                <w:lang w:val="en-US" w:eastAsia="zh-CN" w:bidi="ar"/>
              </w:rPr>
              <w:t>皮带单元检查表</w:t>
            </w:r>
          </w:p>
        </w:tc>
      </w:tr>
      <w:tr w14:paraId="44DEC480">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14BD4AF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1.记录</w:t>
            </w:r>
          </w:p>
        </w:tc>
      </w:tr>
      <w:tr w14:paraId="00E32936">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081A89D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2.急停保护、烟雾保护</w:t>
            </w:r>
          </w:p>
        </w:tc>
      </w:tr>
      <w:tr w14:paraId="2D9EC4FB">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17FA243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3.冷却水、喷雾</w:t>
            </w:r>
          </w:p>
        </w:tc>
      </w:tr>
      <w:tr w14:paraId="56BC3C1A">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617A812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4.固定</w:t>
            </w:r>
          </w:p>
        </w:tc>
      </w:tr>
      <w:tr w14:paraId="4DD539F4">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6491DB8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5.清扫器</w:t>
            </w:r>
          </w:p>
        </w:tc>
      </w:tr>
      <w:tr w14:paraId="2ED41F1C">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01DBDB3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6.堆煤保护</w:t>
            </w:r>
          </w:p>
        </w:tc>
      </w:tr>
      <w:tr w14:paraId="07E7E533">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5A95E9D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7.煤仓口护栏</w:t>
            </w:r>
          </w:p>
        </w:tc>
      </w:tr>
      <w:tr w14:paraId="71B5155F">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16"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6D0C428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8.托辊、托梁、储带仓护栏、跑偏保护、温度保护、速度保护、超温自动洒水</w:t>
            </w:r>
          </w:p>
        </w:tc>
      </w:tr>
      <w:tr w14:paraId="1FF8E01C">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68"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3760525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9.液压站、张紧绞车、液压缸、钢丝绳、保险绳、张紧小车、张紧滚筒、限位保护</w:t>
            </w:r>
          </w:p>
        </w:tc>
      </w:tr>
      <w:tr w14:paraId="6A90E9EE">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14:paraId="7588950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10.电机、减速箱、耦合器、滚筒、联轴器、抱闸护罩、护栏</w:t>
            </w:r>
          </w:p>
        </w:tc>
      </w:tr>
      <w:tr w14:paraId="4AF67C3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79"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7A2483E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b w:val="0"/>
                <w:bCs/>
                <w:color w:val="auto"/>
                <w:kern w:val="0"/>
                <w:sz w:val="21"/>
                <w:szCs w:val="21"/>
                <w:lang w:val="en-US" w:eastAsia="zh-CN" w:bidi="ar"/>
              </w:rPr>
              <w:t>接班后检查一次，单元检查表检查前，先进行停电闭锁确认。</w:t>
            </w:r>
          </w:p>
        </w:tc>
      </w:tr>
    </w:tbl>
    <w:p w14:paraId="7763D38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p>
    <w:tbl>
      <w:tblPr>
        <w:tblStyle w:val="12"/>
        <w:tblW w:w="9270" w:type="dxa"/>
        <w:tblInd w:w="-74"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02"/>
        <w:gridCol w:w="1041"/>
        <w:gridCol w:w="7427"/>
      </w:tblGrid>
      <w:tr w14:paraId="5103B9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76" w:hRule="atLeast"/>
        </w:trPr>
        <w:tc>
          <w:tcPr>
            <w:tcW w:w="9270" w:type="dxa"/>
            <w:gridSpan w:val="3"/>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0FC3386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eastAsia" w:ascii="仿宋" w:hAnsi="仿宋" w:eastAsia="仿宋" w:cs="仿宋"/>
                <w:b/>
                <w:color w:val="auto"/>
                <w:kern w:val="0"/>
                <w:sz w:val="21"/>
                <w:szCs w:val="21"/>
                <w:lang w:val="en-US" w:eastAsia="zh-CN" w:bidi="ar"/>
              </w:rPr>
              <w:t>胶带</w:t>
            </w:r>
            <w:r>
              <w:rPr>
                <w:rFonts w:hint="default" w:ascii="仿宋" w:hAnsi="仿宋" w:eastAsia="仿宋" w:cs="仿宋"/>
                <w:b/>
                <w:color w:val="auto"/>
                <w:kern w:val="0"/>
                <w:sz w:val="21"/>
                <w:szCs w:val="21"/>
                <w:lang w:val="en-US" w:eastAsia="zh-CN" w:bidi="ar"/>
              </w:rPr>
              <w:t>输送机司机操作过程注意事项</w:t>
            </w:r>
          </w:p>
        </w:tc>
      </w:tr>
      <w:tr w14:paraId="0C6629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76"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1228CB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2"/>
                <w:szCs w:val="22"/>
              </w:rPr>
            </w:pPr>
            <w:r>
              <w:rPr>
                <w:rFonts w:hint="default" w:ascii="仿宋" w:hAnsi="仿宋" w:eastAsia="仿宋" w:cs="仿宋"/>
                <w:b/>
                <w:color w:val="auto"/>
                <w:kern w:val="0"/>
                <w:sz w:val="22"/>
                <w:szCs w:val="22"/>
                <w:lang w:val="en-US" w:eastAsia="zh-CN" w:bidi="ar"/>
              </w:rPr>
              <w:t>序号</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29E69E7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2"/>
                <w:szCs w:val="22"/>
              </w:rPr>
            </w:pPr>
            <w:r>
              <w:rPr>
                <w:rFonts w:hint="default" w:ascii="仿宋" w:hAnsi="仿宋" w:eastAsia="仿宋" w:cs="仿宋"/>
                <w:b/>
                <w:color w:val="auto"/>
                <w:kern w:val="0"/>
                <w:sz w:val="22"/>
                <w:szCs w:val="22"/>
                <w:lang w:val="en-US" w:eastAsia="zh-CN" w:bidi="ar"/>
              </w:rPr>
              <w:t>提示词</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1F7E69D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2"/>
                <w:szCs w:val="22"/>
              </w:rPr>
            </w:pPr>
            <w:r>
              <w:rPr>
                <w:rFonts w:hint="default" w:ascii="仿宋" w:hAnsi="仿宋" w:eastAsia="仿宋" w:cs="仿宋"/>
                <w:b/>
                <w:color w:val="auto"/>
                <w:kern w:val="0"/>
                <w:sz w:val="22"/>
                <w:szCs w:val="22"/>
                <w:lang w:val="en-US" w:eastAsia="zh-CN" w:bidi="ar"/>
              </w:rPr>
              <w:t>主要内容</w:t>
            </w:r>
          </w:p>
        </w:tc>
      </w:tr>
      <w:tr w14:paraId="18B8D1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94" w:hRule="atLeast"/>
        </w:trPr>
        <w:tc>
          <w:tcPr>
            <w:tcW w:w="802" w:type="dxa"/>
            <w:vMerge w:val="restart"/>
            <w:tcBorders>
              <w:top w:val="nil"/>
              <w:left w:val="single" w:color="auto" w:sz="8" w:space="0"/>
              <w:bottom w:val="single" w:color="000000" w:sz="8" w:space="0"/>
              <w:right w:val="single" w:color="auto" w:sz="8" w:space="0"/>
            </w:tcBorders>
            <w:shd w:val="clear" w:color="auto" w:fill="auto"/>
            <w:tcMar>
              <w:top w:w="0" w:type="dxa"/>
              <w:left w:w="108" w:type="dxa"/>
              <w:bottom w:w="0" w:type="dxa"/>
              <w:right w:w="108" w:type="dxa"/>
            </w:tcMar>
            <w:vAlign w:val="center"/>
          </w:tcPr>
          <w:p w14:paraId="0373FAF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49ECEB3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看显示</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3BA47D0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注意观察信号、保护显示，出现异常立即停机。</w:t>
            </w:r>
          </w:p>
        </w:tc>
      </w:tr>
      <w:tr w14:paraId="325C69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76" w:hRule="atLeast"/>
        </w:trPr>
        <w:tc>
          <w:tcPr>
            <w:tcW w:w="802" w:type="dxa"/>
            <w:vMerge w:val="continue"/>
            <w:tcBorders>
              <w:top w:val="nil"/>
              <w:left w:val="single" w:color="auto" w:sz="8" w:space="0"/>
              <w:bottom w:val="single" w:color="000000" w:sz="8" w:space="0"/>
              <w:right w:val="single" w:color="auto" w:sz="8" w:space="0"/>
            </w:tcBorders>
            <w:shd w:val="clear" w:color="auto" w:fill="auto"/>
            <w:tcMar>
              <w:top w:w="0" w:type="dxa"/>
              <w:left w:w="108" w:type="dxa"/>
              <w:bottom w:w="0" w:type="dxa"/>
              <w:right w:w="108" w:type="dxa"/>
            </w:tcMar>
            <w:vAlign w:val="center"/>
          </w:tcPr>
          <w:p w14:paraId="2FE96F02">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textAlignment w:val="auto"/>
              <w:outlineLvl w:val="9"/>
              <w:rPr>
                <w:rFonts w:hint="eastAsia" w:ascii="宋体"/>
                <w:color w:val="auto"/>
                <w:sz w:val="21"/>
                <w:szCs w:val="21"/>
              </w:rPr>
            </w:pP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3DF2843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看设备</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148EFC2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随时观察输送机、输送带运行情况，出现设备故障、输送带撕裂、接头断裂和发现有大块煤矸、铁器、超长材料时立即停机处理。</w:t>
            </w:r>
          </w:p>
        </w:tc>
      </w:tr>
      <w:tr w14:paraId="576516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194" w:hRule="atLeast"/>
        </w:trPr>
        <w:tc>
          <w:tcPr>
            <w:tcW w:w="802" w:type="dxa"/>
            <w:vMerge w:val="restart"/>
            <w:tcBorders>
              <w:top w:val="nil"/>
              <w:left w:val="single" w:color="auto" w:sz="8" w:space="0"/>
              <w:bottom w:val="single" w:color="000000" w:sz="8" w:space="0"/>
              <w:right w:val="single" w:color="auto" w:sz="8" w:space="0"/>
            </w:tcBorders>
            <w:shd w:val="clear" w:color="auto" w:fill="auto"/>
            <w:tcMar>
              <w:top w:w="0" w:type="dxa"/>
              <w:left w:w="108" w:type="dxa"/>
              <w:bottom w:w="0" w:type="dxa"/>
              <w:right w:w="108" w:type="dxa"/>
            </w:tcMar>
            <w:vAlign w:val="center"/>
          </w:tcPr>
          <w:p w14:paraId="458CBCC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2</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17F712A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听信号</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232568A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严格按信号指令操作，出现情况不明的意外信号立即停机。</w:t>
            </w:r>
          </w:p>
        </w:tc>
      </w:tr>
      <w:tr w14:paraId="349A0F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194" w:hRule="atLeast"/>
        </w:trPr>
        <w:tc>
          <w:tcPr>
            <w:tcW w:w="802" w:type="dxa"/>
            <w:vMerge w:val="continue"/>
            <w:tcBorders>
              <w:top w:val="nil"/>
              <w:left w:val="single" w:color="auto" w:sz="8" w:space="0"/>
              <w:bottom w:val="single" w:color="000000" w:sz="8" w:space="0"/>
              <w:right w:val="single" w:color="auto" w:sz="8" w:space="0"/>
            </w:tcBorders>
            <w:shd w:val="clear" w:color="auto" w:fill="auto"/>
            <w:tcMar>
              <w:top w:w="0" w:type="dxa"/>
              <w:left w:w="108" w:type="dxa"/>
              <w:bottom w:w="0" w:type="dxa"/>
              <w:right w:w="108" w:type="dxa"/>
            </w:tcMar>
            <w:vAlign w:val="center"/>
          </w:tcPr>
          <w:p w14:paraId="16AB342F">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textAlignment w:val="auto"/>
              <w:outlineLvl w:val="9"/>
              <w:rPr>
                <w:rFonts w:hint="eastAsia" w:ascii="宋体"/>
                <w:color w:val="auto"/>
                <w:sz w:val="21"/>
                <w:szCs w:val="21"/>
              </w:rPr>
            </w:pP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357C21B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听异响</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5B401CD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出现严重异响或非正常震动立即停机。</w:t>
            </w:r>
          </w:p>
        </w:tc>
      </w:tr>
      <w:tr w14:paraId="443D1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94"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63D56A4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3</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24184CB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嗅异味</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09B4DC0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闻到异常气味立即停机。</w:t>
            </w:r>
          </w:p>
        </w:tc>
      </w:tr>
      <w:tr w14:paraId="25F0F7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76"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244F078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4</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7A58FC1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正常操作</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5737B48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不准超负荷强行启动；严禁人员乘坐，严禁无措施运送设备和物料；严禁带负荷停机；</w:t>
            </w:r>
          </w:p>
        </w:tc>
      </w:tr>
      <w:tr w14:paraId="1BB874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194"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4B5D29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5</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4EC6B8C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紧急停机</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3FCC8AC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发现机械、电气部件温升超限、接力运输时下一台输送机停机和危及人身安全时立即停机。</w:t>
            </w:r>
          </w:p>
        </w:tc>
      </w:tr>
      <w:tr w14:paraId="2C6E2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206"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14:paraId="48D959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6</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689C7C4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站位</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14:paraId="0F9AA4A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严禁擅离工作岗位，禁止在输送机运转时进行维修、清理。</w:t>
            </w:r>
          </w:p>
        </w:tc>
      </w:tr>
    </w:tbl>
    <w:p w14:paraId="01DAEDD3">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rPr>
      </w:pPr>
    </w:p>
    <w:p w14:paraId="7F6D3517">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14:paraId="40A2907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（一）</w:t>
      </w:r>
      <w:r>
        <w:rPr>
          <w:rFonts w:hint="eastAsia" w:ascii="仿宋" w:hAnsi="仿宋" w:eastAsia="仿宋" w:cs="仿宋"/>
          <w:color w:val="auto"/>
          <w:sz w:val="28"/>
          <w:szCs w:val="28"/>
        </w:rPr>
        <w:t>皮带司机必须经过培训，经有关部门考试合格后，方可持证上岗。</w:t>
      </w:r>
    </w:p>
    <w:p w14:paraId="0D75BF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皮带司机必须携带维修工具及卫生清扫工具，以便随时处理问题和清扫卫生。</w:t>
      </w:r>
    </w:p>
    <w:p w14:paraId="41BCE5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三</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皮带司机应全面检查设备运行情况，发现问题应及时处理和汇报。</w:t>
      </w:r>
    </w:p>
    <w:p w14:paraId="314F9C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四</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设备运行中，皮带司机、巡检工必须精力集中，经常对设备要做到看一看、听一听、闻一闻、观察设备是否有异常、异响、异味。</w:t>
      </w:r>
    </w:p>
    <w:p w14:paraId="42C59A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五</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需做到安全生产、文明生产，及时完成生产任务，搞好优质服务，严格现场交接制度。</w:t>
      </w:r>
    </w:p>
    <w:p w14:paraId="718740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六</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交接班前必须将规定范围内的岗位卫生清理干净，确认无问题后方可交接离岗。</w:t>
      </w:r>
    </w:p>
    <w:p w14:paraId="47B215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七</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在巡检中要注意煤仓的仓位不超过规定高度。</w:t>
      </w:r>
    </w:p>
    <w:p w14:paraId="07C90D4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二、薄弱人物排查治理办法</w:t>
      </w:r>
    </w:p>
    <w:p w14:paraId="0F85FD3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086AE8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6B191A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119455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7634AB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4A428A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603E11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03E0C8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5ACA71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48715B8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24A38D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741C46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6AF8E2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4C08434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74C53A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4ED4D5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606ECF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08A0A7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6E73703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798AB0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4E66D3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14B8236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57A2399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28F02CD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12ABD68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71EB604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1BC42A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43240F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42470A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681008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4BED210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1FF39C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3DADEA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31398EC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7D225E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6DC196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7F0715D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76E9F2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38E17F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101B5B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334E9C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1B70931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47DFDE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0CBE4B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7331B3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489A89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4F7FB6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60623ED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14:paraId="6C9CEF0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14:paraId="274E6D3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1.风险描述：胶带输送机存在火灾风险</w:t>
      </w:r>
    </w:p>
    <w:p w14:paraId="2744EA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14:paraId="01CD6E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矿井必须采购具有煤安标志的阻燃胶带，分批次到货的胶带，下井使用前要联系有资质的第三方单位进行安全检验并出具检验报告，胶带磨损严重，需要及时更换。</w:t>
      </w:r>
    </w:p>
    <w:p w14:paraId="608A35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钢丝绳芯输送带硫化、修补接头必须选用阻燃胶料，滚筒包胶必须选用阻燃橡胶包裹层。</w:t>
      </w:r>
    </w:p>
    <w:p w14:paraId="378B7D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按要求配备消防器材，合理摆放、禁止随意变动、专人定期维护更换，保证完好有效。</w:t>
      </w:r>
    </w:p>
    <w:p w14:paraId="2F53CD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区队加强井下火灾事故现场处置培训，确保全体职工熟悉应急处置方案及自救器的正确使用方法，熟悉工作地点避灾路线。</w:t>
      </w:r>
    </w:p>
    <w:p w14:paraId="0ED43B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保证胶带机的安全运行距离，胶带与底板距离不小于0.2米，无胶带磨底板或积煤现象，胶带机边梁与巷帮距离不小于0.5米，机头机尾与巷帮距离不小于0.7米。</w:t>
      </w:r>
    </w:p>
    <w:p w14:paraId="4C37D3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⑥</w:t>
      </w:r>
      <w:r>
        <w:rPr>
          <w:rFonts w:hint="eastAsia" w:ascii="仿宋" w:hAnsi="仿宋" w:eastAsia="仿宋" w:cs="仿宋"/>
          <w:color w:val="auto"/>
          <w:sz w:val="28"/>
          <w:szCs w:val="28"/>
        </w:rPr>
        <w:t>专人定期检查各项保护装置，确保各项保护安装符合要求、试验灵敏可靠。</w:t>
      </w:r>
    </w:p>
    <w:p w14:paraId="350FE7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⑦</w:t>
      </w:r>
      <w:r>
        <w:rPr>
          <w:rFonts w:hint="eastAsia" w:ascii="仿宋" w:hAnsi="仿宋" w:eastAsia="仿宋" w:cs="仿宋"/>
          <w:color w:val="auto"/>
          <w:sz w:val="28"/>
          <w:szCs w:val="28"/>
        </w:rPr>
        <w:t>加强设备巡检，完善巡检制度，明确分管、维修、清理浮煤等人员巡检周期，杜绝积煤积矸磨托辊、皮带。</w:t>
      </w:r>
    </w:p>
    <w:p w14:paraId="7F6802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2.风险描述：煤尘管理不到位可能引发煤尘爆炸风险。</w:t>
      </w:r>
    </w:p>
    <w:p w14:paraId="534565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管控措施：胶带输送机卸载点安装喷雾，皮带运行时打开喷雾洒水降尘，岗位司机按规定佩戴防尘口罩；每天用水冲刷皮带架、管线、地面上的煤尘；维修人员每天检查防尘管路及喷雾效果，发现损坏及时维修。</w:t>
      </w:r>
    </w:p>
    <w:p w14:paraId="0D261F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3.风险描述：矿井存在水灾、冲击地压风险。</w:t>
      </w:r>
    </w:p>
    <w:p w14:paraId="60D971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管控措施：矿井发生水灾、冲击地压事故时，根据调度室应急语音广播通知要求，按避灾路线升井（</w:t>
      </w:r>
      <w:r>
        <w:rPr>
          <w:rFonts w:hint="eastAsia" w:ascii="仿宋" w:hAnsi="仿宋" w:eastAsia="仿宋" w:cs="仿宋"/>
          <w:color w:val="auto"/>
          <w:sz w:val="28"/>
          <w:szCs w:val="28"/>
          <w:lang w:val="en-US" w:eastAsia="zh-CN"/>
        </w:rPr>
        <w:t>皮带</w:t>
      </w:r>
      <w:r>
        <w:rPr>
          <w:rFonts w:hint="eastAsia" w:ascii="仿宋" w:hAnsi="仿宋" w:eastAsia="仿宋" w:cs="仿宋"/>
          <w:color w:val="auto"/>
          <w:sz w:val="28"/>
          <w:szCs w:val="28"/>
        </w:rPr>
        <w:t>巷→</w:t>
      </w:r>
      <w:r>
        <w:rPr>
          <w:rFonts w:hint="eastAsia" w:ascii="仿宋" w:hAnsi="仿宋" w:eastAsia="仿宋" w:cs="仿宋"/>
          <w:color w:val="auto"/>
          <w:sz w:val="28"/>
          <w:szCs w:val="28"/>
          <w:lang w:val="en-US" w:eastAsia="zh-CN"/>
        </w:rPr>
        <w:t>皮带联络巷</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东大巷</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下井口</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上</w:t>
      </w:r>
      <w:r>
        <w:rPr>
          <w:rFonts w:hint="eastAsia" w:ascii="仿宋" w:hAnsi="仿宋" w:eastAsia="仿宋" w:cs="仿宋"/>
          <w:color w:val="auto"/>
          <w:sz w:val="28"/>
          <w:szCs w:val="28"/>
        </w:rPr>
        <w:t>井口）。</w:t>
      </w:r>
    </w:p>
    <w:p w14:paraId="6212C8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4.风险描述：矿井存在停电、停风风险。</w:t>
      </w:r>
    </w:p>
    <w:p w14:paraId="2349E4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管控措施：矿井发生停电、停风事故且短时间无法恢复时，机电工区打开主井防爆门利用自然风压通风；井下工作人员撤至进风巷内，根据调度室应急语音广播通知要求，按避灾路线撤至副井底（</w:t>
      </w:r>
      <w:r>
        <w:rPr>
          <w:rFonts w:hint="eastAsia" w:ascii="仿宋" w:hAnsi="仿宋" w:eastAsia="仿宋" w:cs="仿宋"/>
          <w:color w:val="auto"/>
          <w:sz w:val="28"/>
          <w:szCs w:val="28"/>
          <w:lang w:val="en-US" w:eastAsia="zh-CN"/>
        </w:rPr>
        <w:t>皮带</w:t>
      </w:r>
      <w:r>
        <w:rPr>
          <w:rFonts w:hint="eastAsia" w:ascii="仿宋" w:hAnsi="仿宋" w:eastAsia="仿宋" w:cs="仿宋"/>
          <w:color w:val="auto"/>
          <w:sz w:val="28"/>
          <w:szCs w:val="28"/>
        </w:rPr>
        <w:t>巷→</w:t>
      </w:r>
      <w:r>
        <w:rPr>
          <w:rFonts w:hint="eastAsia" w:ascii="仿宋" w:hAnsi="仿宋" w:eastAsia="仿宋" w:cs="仿宋"/>
          <w:color w:val="auto"/>
          <w:sz w:val="28"/>
          <w:szCs w:val="28"/>
          <w:lang w:val="en-US" w:eastAsia="zh-CN"/>
        </w:rPr>
        <w:t>皮带联络巷</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东大巷</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下井口</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上</w:t>
      </w:r>
      <w:r>
        <w:rPr>
          <w:rFonts w:hint="eastAsia" w:ascii="仿宋" w:hAnsi="仿宋" w:eastAsia="仿宋" w:cs="仿宋"/>
          <w:color w:val="auto"/>
          <w:sz w:val="28"/>
          <w:szCs w:val="28"/>
        </w:rPr>
        <w:t>井口），根据实际情况等待救援或沿副井梯子间升井。</w:t>
      </w:r>
    </w:p>
    <w:p w14:paraId="06087B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5.风险描述：矿井存在瓦斯、煤尘爆炸风险。</w:t>
      </w:r>
    </w:p>
    <w:p w14:paraId="4FD232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cya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val="en-US" w:eastAsia="zh-CN"/>
        </w:rPr>
        <w:t>皮带</w:t>
      </w:r>
      <w:r>
        <w:rPr>
          <w:rFonts w:hint="eastAsia" w:ascii="仿宋" w:hAnsi="仿宋" w:eastAsia="仿宋" w:cs="仿宋"/>
          <w:color w:val="auto"/>
          <w:sz w:val="28"/>
          <w:szCs w:val="28"/>
        </w:rPr>
        <w:t>巷→</w:t>
      </w:r>
      <w:r>
        <w:rPr>
          <w:rFonts w:hint="eastAsia" w:ascii="仿宋" w:hAnsi="仿宋" w:eastAsia="仿宋" w:cs="仿宋"/>
          <w:color w:val="auto"/>
          <w:sz w:val="28"/>
          <w:szCs w:val="28"/>
          <w:lang w:val="en-US" w:eastAsia="zh-CN"/>
        </w:rPr>
        <w:t>皮带联络巷</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东大巷</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下井口</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上</w:t>
      </w:r>
      <w:r>
        <w:rPr>
          <w:rFonts w:hint="eastAsia" w:ascii="仿宋" w:hAnsi="仿宋" w:eastAsia="仿宋" w:cs="仿宋"/>
          <w:color w:val="auto"/>
          <w:sz w:val="28"/>
          <w:szCs w:val="28"/>
        </w:rPr>
        <w:t>井口）。</w:t>
      </w:r>
    </w:p>
    <w:p w14:paraId="7135D7A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14:paraId="6FCBB4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14:paraId="3003184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风险描述：局部喷层开裂、破碎，存在掉矸伤人、冒顶的风险。</w:t>
      </w:r>
    </w:p>
    <w:p w14:paraId="75BD846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进入施工地点后，首先使用专用长把工具对施工地点顶板及帮部进行敲帮问顶，找掉危岩活矸。敲帮问顶应从完好支护的地点开始，由外向里、自上而下、先顶部后两帮依次进行，敲帮问顶范围内严禁其他人员进入。</w:t>
      </w:r>
    </w:p>
    <w:p w14:paraId="362BF0F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风险描述：工作地点无照明或照明灯损坏，作业人员可能存在碰伤风险。</w:t>
      </w:r>
    </w:p>
    <w:p w14:paraId="1A25FDC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管控措施：作业地点保证充足照明；发现照明灯损坏时，及时联系电工更换。</w:t>
      </w:r>
    </w:p>
    <w:p w14:paraId="18A117D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风险描述：电话、信号不完好，设备发生故障或其他异常情况时不能联系，可能存在事故扩大风险。</w:t>
      </w:r>
    </w:p>
    <w:p w14:paraId="6BFAE33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管控措施：作业前，检查电话、信号是否完好，发现异常及时维修。</w:t>
      </w:r>
    </w:p>
    <w:p w14:paraId="12F1214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风险描述：消防器材不完好或配备不全，防灭火管理不到位可能造成火灾。</w:t>
      </w:r>
    </w:p>
    <w:p w14:paraId="2875ECD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管控措施：按规定配备灭火器材；每班检查消防器材完好情况，发现消防器材损坏时，及时进行维修或更换。</w:t>
      </w:r>
    </w:p>
    <w:p w14:paraId="3816F5A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风险描述：设备开机前人员未撤离或存在障碍物，可能存在人员受伤或设备损坏风险。</w:t>
      </w:r>
    </w:p>
    <w:p w14:paraId="608EAF0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前，将检修设备停电闭锁，参与检修人员将刻有检修人员名字的牌板悬挂到闭锁按钮上，检修完成后方可拆除；开机前，检查是否有障碍物影响设备运行；开机前，发现沿线有闭锁未复位时，联系清楚并恢复闭锁后，方可开机；开机时，通过沿线语音信号装置喊话开车，先点动试机，无异常后再正常运行。</w:t>
      </w:r>
    </w:p>
    <w:p w14:paraId="0C9820F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⑥</w:t>
      </w:r>
      <w:r>
        <w:rPr>
          <w:rFonts w:hint="eastAsia" w:ascii="仿宋" w:hAnsi="仿宋" w:eastAsia="仿宋" w:cs="仿宋"/>
          <w:color w:val="auto"/>
          <w:sz w:val="28"/>
          <w:szCs w:val="28"/>
        </w:rPr>
        <w:t>风险描述：未按规定佩戴口罩，可能发生尘肺病风险。</w:t>
      </w:r>
    </w:p>
    <w:p w14:paraId="0401051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 xml:space="preserve">管控措施：设备开机后，按规定佩戴防尘口罩。 </w:t>
      </w:r>
    </w:p>
    <w:p w14:paraId="255B81C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65BCDDF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风险描述：未按规定巡检设备，设备存在异常时不能及时发现，可能存在事故扩大风险。</w:t>
      </w:r>
    </w:p>
    <w:p w14:paraId="7108AE8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管控措施：按规定巡检设备，发现设备运行异常时，及时停机处理并汇报工区。</w:t>
      </w:r>
    </w:p>
    <w:p w14:paraId="6159046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风险描述：使用胶带输送机运送杂物或人员，可能造成设备损坏或人员受伤风险。</w:t>
      </w:r>
    </w:p>
    <w:p w14:paraId="36AF6F6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管控措施：严禁使用胶带输送机运行杂物或违规乘坐，一经发现严肃处理。</w:t>
      </w:r>
    </w:p>
    <w:p w14:paraId="77B708E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风险描述：未根据信号指令开车，可能造成人员受伤或设备损坏风险。</w:t>
      </w:r>
    </w:p>
    <w:p w14:paraId="023C3EF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管控措施：严格按信号指令开车；信号不清或不明时，严禁开机，联系清楚后方可开机运行。</w:t>
      </w:r>
    </w:p>
    <w:p w14:paraId="6A59919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风险描述：设备运行异常或有异常气味未及时停机检查，可能造成事故扩大风险。</w:t>
      </w:r>
    </w:p>
    <w:p w14:paraId="5914041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管控措施：班中加强设备巡检，发现设备异常或有异常气味时，查明原因或停机处理。</w:t>
      </w:r>
    </w:p>
    <w:p w14:paraId="350B41D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风险描述：作业人员站位不当，可能存在人员受伤风险。</w:t>
      </w:r>
    </w:p>
    <w:p w14:paraId="59962EE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管控措施：作业人员巡检时，严禁靠近设备转动部位；皮带运行时，严禁进行维修或清理积煤。</w:t>
      </w:r>
    </w:p>
    <w:p w14:paraId="4056391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14:paraId="0018F0C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风险描述：未拉空皮带上的物料，皮带重载启动可能存在断带风险。</w:t>
      </w:r>
    </w:p>
    <w:p w14:paraId="0D5D409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管控措施：皮带上的物料拉空后方可停机。</w:t>
      </w:r>
    </w:p>
    <w:p w14:paraId="15EBEA4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风险描述：设备未停电闭锁，人员误操作或设备误动作可能造成人员受伤风险。</w:t>
      </w:r>
    </w:p>
    <w:p w14:paraId="4F0CB6A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管控措施：设备停机后，皮带电源停电、闭锁。</w:t>
      </w:r>
    </w:p>
    <w:p w14:paraId="15B6168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风险描述：喷雾未关闭，积水流入煤仓内，可能存在溃仓风险。</w:t>
      </w:r>
    </w:p>
    <w:p w14:paraId="0FC11F3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管控措施：皮带停机前，放空煤仓内的原煤；皮带停机后，及时关闭喷雾。</w:t>
      </w:r>
    </w:p>
    <w:p w14:paraId="132DC645">
      <w:pPr>
        <w:keepNext w:val="0"/>
        <w:keepLines w:val="0"/>
        <w:pageBreakBefore w:val="0"/>
        <w:widowControl w:val="0"/>
        <w:numPr>
          <w:ilvl w:val="0"/>
          <w:numId w:val="20"/>
        </w:numPr>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操作程序及安全规定</w:t>
      </w:r>
    </w:p>
    <w:p w14:paraId="0F7BFE38">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（一）开机前检查：</w:t>
      </w:r>
    </w:p>
    <w:p w14:paraId="11158A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1.顶帮：操作范围内顶帮支护完好、无冒顶、漏矸、片帮现象。</w:t>
      </w:r>
    </w:p>
    <w:p w14:paraId="009D91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2.照明、电话、信号：荧光灯明亮，信号畅通，电话清晰响亮。</w:t>
      </w:r>
    </w:p>
    <w:p w14:paraId="4110DF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3.消防器材：配备的消防沙、灭火器、消防铲、消防桶等物件及其数量符合规定。</w:t>
      </w:r>
    </w:p>
    <w:p w14:paraId="36AE04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4.人员、障碍物：检查人员视力所及范围之内，皮带上及附近无人员及影响皮带运行的障碍物。</w:t>
      </w:r>
    </w:p>
    <w:p w14:paraId="58BC25B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5.口罩：口罩已佩戴。</w:t>
      </w:r>
    </w:p>
    <w:p w14:paraId="5B97C3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（二）单元检查表确认：</w:t>
      </w:r>
    </w:p>
    <w:p w14:paraId="7632E6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1.记录：记录正常。</w:t>
      </w:r>
    </w:p>
    <w:p w14:paraId="3FA210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2.急停保护、烟雾保护：急停保护、烟雾保护齐全。</w:t>
      </w:r>
    </w:p>
    <w:p w14:paraId="459BEA1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3.冷却水、喷雾：冷却水水压正常，喷雾装置齐全完好，雾化效果良好。</w:t>
      </w:r>
    </w:p>
    <w:p w14:paraId="5F68830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4.固定：固定螺栓齐全、紧固。</w:t>
      </w:r>
    </w:p>
    <w:p w14:paraId="5AF864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5.清扫器：固定牢固，长度符合要求。</w:t>
      </w:r>
    </w:p>
    <w:p w14:paraId="7C179F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6.堆煤保护：堆煤保护齐全。</w:t>
      </w:r>
    </w:p>
    <w:p w14:paraId="72E2D5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7.煤仓口护栏：煤仓口护栏齐全完好。</w:t>
      </w:r>
    </w:p>
    <w:p w14:paraId="4B88CB1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8.托辊、托梁、储带仓护栏、跑偏保护、温度保护、速度保护、超温自动洒水：托辊、托梁、储带仓护栏完好，跑偏保护、温度保护、速度保护、超温自动洒水齐全。</w:t>
      </w:r>
    </w:p>
    <w:p w14:paraId="25DE09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9.液压站、张紧绞车、液压缸、钢丝绳、保险绳、张紧小车、张紧滚筒、限位保护：液压站、张紧绞车、液压缸、钢丝绳、保险绳、张紧小车、张紧滚筒完好，限位保护齐全。</w:t>
      </w:r>
    </w:p>
    <w:p w14:paraId="4E0310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10.电机、减速箱、耦合器、滚筒、联轴器、抱闸护罩、护栏：电机、减速箱、耦合器、联轴器、滚筒完好，抱闸护罩、转动部位的护栏固定牢固，齐全完好。</w:t>
      </w:r>
    </w:p>
    <w:p w14:paraId="7A26213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五、胶带输送机司机正规操作</w:t>
      </w:r>
    </w:p>
    <w:p w14:paraId="67E06CD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（一）操作过程注意事项：</w:t>
      </w:r>
    </w:p>
    <w:p w14:paraId="6EE4AF6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1.信号指令：必须按规定信号开、停，严禁无信号、信号不清开机。</w:t>
      </w:r>
    </w:p>
    <w:p w14:paraId="7053CC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2.司机位置：严禁擅离工作岗位，输送机运转期间与高压、转动部位及信号应保持安全距离。</w:t>
      </w:r>
    </w:p>
    <w:p w14:paraId="6A8C28C9">
      <w:pPr>
        <w:pStyle w:val="4"/>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（二）胶带输送机司机正规操作：</w:t>
      </w:r>
    </w:p>
    <w:p w14:paraId="118B44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w:t>
      </w:r>
    </w:p>
    <w:p w14:paraId="0AD0A1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开机前必须发出预警信号并喊话，不准超负荷强行启动。</w:t>
      </w:r>
    </w:p>
    <w:p w14:paraId="42C5AD9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严禁人员乘坐，严禁无措施运送设备和物料。</w:t>
      </w:r>
    </w:p>
    <w:p w14:paraId="576C35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多台输送机搭接时，应按逆煤流方向逐台启动（使用集控时顺煤流方向启动）。</w:t>
      </w:r>
    </w:p>
    <w:p w14:paraId="4AF8B3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2.正常运行：</w:t>
      </w:r>
    </w:p>
    <w:p w14:paraId="748C43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运转过程中，应随时注意运行状况，经常检查电机、减速箱、轴承温度，倾听各部位运转声音，正常洒水喷雾。</w:t>
      </w:r>
    </w:p>
    <w:p w14:paraId="572CBA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运转时严禁清理机头、机尾滚筒及附近浮煤，不许拉动胶带清扫器。</w:t>
      </w:r>
    </w:p>
    <w:p w14:paraId="43547D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3.正常停机：</w:t>
      </w:r>
    </w:p>
    <w:p w14:paraId="69C7816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严禁带负荷停机。</w:t>
      </w:r>
    </w:p>
    <w:p w14:paraId="74A4297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多台输送机搭接时，应按顺煤流方向逐台停机。</w:t>
      </w:r>
    </w:p>
    <w:p w14:paraId="2AC8EF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4.瓦斯异常：输送机电机及开关附近20米内风流中瓦斯浓度达到1.5％时，必须停止工作，切断电源并撤出。</w:t>
      </w:r>
    </w:p>
    <w:p w14:paraId="3998AC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5.检修操作：</w:t>
      </w:r>
    </w:p>
    <w:p w14:paraId="6D6AEB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处理跑偏时严禁用手、脚及身体的其他部位直接接触胶带。</w:t>
      </w:r>
    </w:p>
    <w:p w14:paraId="23ADFA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在输送机上或转动部位工作时必须停电闭锁并悬挂停电牌。</w:t>
      </w:r>
    </w:p>
    <w:p w14:paraId="518880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拆卸液力耦合器易熔塞、防爆片时，应戴手套，面部躲开喷液方向，待内部气体放尽后再拧下，严禁使用不合格的易熔塞、防爆片或用替代品。</w:t>
      </w:r>
    </w:p>
    <w:p w14:paraId="65AB3E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6.停机处理：</w:t>
      </w:r>
    </w:p>
    <w:p w14:paraId="161086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发现下列情况是必须立即停车，妥善处理后方可继续运行：</w:t>
      </w:r>
    </w:p>
    <w:p w14:paraId="152CD7A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输送带跑偏、打滑、撕裂，冷、热补接头断裂或开胶。</w:t>
      </w:r>
    </w:p>
    <w:p w14:paraId="0ECABD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机械、电气部件温升超限或有异响。</w:t>
      </w:r>
    </w:p>
    <w:p w14:paraId="68D501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输送带上有大块煤（矸）、铁器、超长材料。</w:t>
      </w:r>
    </w:p>
    <w:p w14:paraId="7BBE33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液力偶合器易熔塞熔化或工作介质喷出。</w:t>
      </w:r>
    </w:p>
    <w:p w14:paraId="2E05BE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危及人身安全。</w:t>
      </w:r>
    </w:p>
    <w:p w14:paraId="06DC523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⑥</w:t>
      </w:r>
      <w:r>
        <w:rPr>
          <w:rFonts w:hint="eastAsia" w:ascii="仿宋" w:hAnsi="仿宋" w:eastAsia="仿宋" w:cs="仿宋"/>
          <w:color w:val="auto"/>
          <w:sz w:val="28"/>
          <w:szCs w:val="28"/>
        </w:rPr>
        <w:t>接到紧急停机信号或不明信号。</w:t>
      </w:r>
    </w:p>
    <w:p w14:paraId="58F09D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⑦</w:t>
      </w:r>
      <w:r>
        <w:rPr>
          <w:rFonts w:hint="eastAsia" w:ascii="仿宋" w:hAnsi="仿宋" w:eastAsia="仿宋" w:cs="仿宋"/>
          <w:color w:val="auto"/>
          <w:sz w:val="28"/>
          <w:szCs w:val="28"/>
        </w:rPr>
        <w:t>接力运输时下一台输送机停机。</w:t>
      </w:r>
    </w:p>
    <w:p w14:paraId="3C65C7CE">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六、胶带输送机司机操作过程中的安全注意事项</w:t>
      </w:r>
    </w:p>
    <w:p w14:paraId="64B9915D">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1</w:t>
      </w:r>
      <w:r>
        <w:rPr>
          <w:rFonts w:hint="eastAsia" w:ascii="仿宋" w:hAnsi="仿宋" w:eastAsia="仿宋" w:cs="仿宋"/>
          <w:b/>
          <w:bCs/>
          <w:color w:val="auto"/>
          <w:sz w:val="28"/>
          <w:szCs w:val="28"/>
          <w:lang w:val="en-US" w:eastAsia="zh-CN"/>
        </w:rPr>
        <w:t>.</w:t>
      </w:r>
      <w:r>
        <w:rPr>
          <w:rFonts w:hint="eastAsia" w:ascii="仿宋" w:hAnsi="仿宋" w:eastAsia="仿宋" w:cs="仿宋"/>
          <w:b/>
          <w:bCs/>
          <w:color w:val="auto"/>
          <w:sz w:val="28"/>
          <w:szCs w:val="28"/>
        </w:rPr>
        <w:t>看环境：</w:t>
      </w:r>
      <w:r>
        <w:rPr>
          <w:rFonts w:hint="eastAsia" w:ascii="仿宋" w:hAnsi="仿宋" w:eastAsia="仿宋" w:cs="仿宋"/>
          <w:color w:val="auto"/>
          <w:sz w:val="28"/>
          <w:szCs w:val="28"/>
        </w:rPr>
        <w:t>检查顶帮完好，胶带输送机驱动前后无人员；</w:t>
      </w:r>
    </w:p>
    <w:p w14:paraId="3801636B">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2</w:t>
      </w:r>
      <w:r>
        <w:rPr>
          <w:rFonts w:hint="eastAsia" w:ascii="仿宋" w:hAnsi="仿宋" w:eastAsia="仿宋" w:cs="仿宋"/>
          <w:b/>
          <w:bCs/>
          <w:color w:val="auto"/>
          <w:sz w:val="28"/>
          <w:szCs w:val="28"/>
          <w:lang w:val="en-US" w:eastAsia="zh-CN"/>
        </w:rPr>
        <w:t>.</w:t>
      </w:r>
      <w:r>
        <w:rPr>
          <w:rFonts w:hint="eastAsia" w:ascii="仿宋" w:hAnsi="仿宋" w:eastAsia="仿宋" w:cs="仿宋"/>
          <w:b/>
          <w:bCs/>
          <w:color w:val="auto"/>
          <w:sz w:val="28"/>
          <w:szCs w:val="28"/>
        </w:rPr>
        <w:t>听异响、信号：</w:t>
      </w:r>
      <w:r>
        <w:rPr>
          <w:rFonts w:hint="eastAsia" w:ascii="仿宋" w:hAnsi="仿宋" w:eastAsia="仿宋" w:cs="仿宋"/>
          <w:color w:val="auto"/>
          <w:sz w:val="28"/>
          <w:szCs w:val="28"/>
        </w:rPr>
        <w:t>输送机、异常声音；信号提醒；</w:t>
      </w:r>
    </w:p>
    <w:p w14:paraId="7C4315C8">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3</w:t>
      </w:r>
      <w:r>
        <w:rPr>
          <w:rFonts w:hint="eastAsia" w:ascii="仿宋" w:hAnsi="仿宋" w:eastAsia="仿宋" w:cs="仿宋"/>
          <w:b/>
          <w:bCs/>
          <w:color w:val="auto"/>
          <w:sz w:val="28"/>
          <w:szCs w:val="28"/>
          <w:lang w:val="en-US" w:eastAsia="zh-CN"/>
        </w:rPr>
        <w:t>.</w:t>
      </w:r>
      <w:r>
        <w:rPr>
          <w:rFonts w:hint="eastAsia" w:ascii="仿宋" w:hAnsi="仿宋" w:eastAsia="仿宋" w:cs="仿宋"/>
          <w:b/>
          <w:bCs/>
          <w:color w:val="auto"/>
          <w:sz w:val="28"/>
          <w:szCs w:val="28"/>
        </w:rPr>
        <w:t>稳操作：</w:t>
      </w:r>
      <w:r>
        <w:rPr>
          <w:rFonts w:hint="eastAsia" w:ascii="仿宋" w:hAnsi="仿宋" w:eastAsia="仿宋" w:cs="仿宋"/>
          <w:color w:val="auto"/>
          <w:sz w:val="28"/>
          <w:szCs w:val="28"/>
        </w:rPr>
        <w:t>司机与集控室操作员配合、异物停机（处理）；</w:t>
      </w:r>
    </w:p>
    <w:p w14:paraId="0A98047E">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4</w:t>
      </w:r>
      <w:r>
        <w:rPr>
          <w:rFonts w:hint="eastAsia" w:ascii="仿宋" w:hAnsi="仿宋" w:eastAsia="仿宋" w:cs="仿宋"/>
          <w:b/>
          <w:bCs/>
          <w:color w:val="auto"/>
          <w:sz w:val="28"/>
          <w:szCs w:val="28"/>
          <w:lang w:val="en-US" w:eastAsia="zh-CN"/>
        </w:rPr>
        <w:t>.</w:t>
      </w:r>
      <w:r>
        <w:rPr>
          <w:rFonts w:hint="eastAsia" w:ascii="仿宋" w:hAnsi="仿宋" w:eastAsia="仿宋" w:cs="仿宋"/>
          <w:b/>
          <w:bCs/>
          <w:color w:val="auto"/>
          <w:sz w:val="28"/>
          <w:szCs w:val="28"/>
        </w:rPr>
        <w:t>站好位：</w:t>
      </w:r>
      <w:r>
        <w:rPr>
          <w:rFonts w:hint="eastAsia" w:ascii="仿宋" w:hAnsi="仿宋" w:eastAsia="仿宋" w:cs="仿宋"/>
          <w:color w:val="auto"/>
          <w:sz w:val="28"/>
          <w:szCs w:val="28"/>
        </w:rPr>
        <w:t>站在顶板完好下方。</w:t>
      </w:r>
    </w:p>
    <w:p w14:paraId="2A12DD28">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七、全部注意事项</w:t>
      </w:r>
    </w:p>
    <w:p w14:paraId="7FCA6F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w:t>
      </w:r>
      <w:r>
        <w:rPr>
          <w:rFonts w:hint="eastAsia" w:ascii="仿宋" w:hAnsi="仿宋" w:eastAsia="仿宋" w:cs="仿宋"/>
          <w:color w:val="auto"/>
          <w:kern w:val="2"/>
          <w:sz w:val="28"/>
          <w:szCs w:val="28"/>
          <w:lang w:val="en-US" w:eastAsia="zh-CN" w:bidi="ar"/>
        </w:rPr>
        <w:t>.带式输送机严禁乘坐人员，不准用带式输送机运送设备、重物。</w:t>
      </w:r>
    </w:p>
    <w:p w14:paraId="1C28EE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2</w:t>
      </w:r>
      <w:r>
        <w:rPr>
          <w:rFonts w:hint="eastAsia" w:ascii="仿宋" w:hAnsi="仿宋" w:eastAsia="仿宋" w:cs="仿宋"/>
          <w:color w:val="auto"/>
          <w:kern w:val="2"/>
          <w:sz w:val="28"/>
          <w:szCs w:val="28"/>
          <w:lang w:val="en-US" w:eastAsia="zh-CN" w:bidi="ar"/>
        </w:rPr>
        <w:t>.当带式输选机的电动机及其开关附近20m内风流中瓦斯浓度达到1%时，必须停止运行，切断电源，撤出人员，进行处理。</w:t>
      </w:r>
    </w:p>
    <w:p w14:paraId="49A44B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3</w:t>
      </w:r>
      <w:r>
        <w:rPr>
          <w:rFonts w:hint="eastAsia" w:ascii="仿宋" w:hAnsi="仿宋" w:eastAsia="仿宋" w:cs="仿宋"/>
          <w:color w:val="auto"/>
          <w:kern w:val="2"/>
          <w:sz w:val="28"/>
          <w:szCs w:val="28"/>
          <w:lang w:val="en-US" w:eastAsia="zh-CN" w:bidi="ar"/>
        </w:rPr>
        <w:t>.带式输送机运行时严禁进行清理作业，不许拉动输送带的清扫器。</w:t>
      </w:r>
    </w:p>
    <w:p w14:paraId="53000F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4</w:t>
      </w:r>
      <w:r>
        <w:rPr>
          <w:rFonts w:hint="eastAsia" w:ascii="仿宋" w:hAnsi="仿宋" w:eastAsia="仿宋" w:cs="仿宋"/>
          <w:color w:val="auto"/>
          <w:kern w:val="2"/>
          <w:sz w:val="28"/>
          <w:szCs w:val="28"/>
          <w:lang w:val="en-US" w:eastAsia="zh-CN" w:bidi="ar"/>
        </w:rPr>
        <w:t>.在检修煤仓上口的机头卸载滚筒部分时，必须将煤仓上口挡严。</w:t>
      </w:r>
    </w:p>
    <w:p w14:paraId="659147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5</w:t>
      </w:r>
      <w:r>
        <w:rPr>
          <w:rFonts w:hint="eastAsia" w:ascii="仿宋" w:hAnsi="仿宋" w:eastAsia="仿宋" w:cs="仿宋"/>
          <w:color w:val="auto"/>
          <w:kern w:val="2"/>
          <w:sz w:val="28"/>
          <w:szCs w:val="28"/>
          <w:lang w:val="en-US" w:eastAsia="zh-CN" w:bidi="ar"/>
        </w:rPr>
        <w:t>.处理输送带跑偏时严禁用手、脚及身体的其他部位直接接触输送带，严禁在设备运转情况下清扫、紧固和调试设备。</w:t>
      </w:r>
    </w:p>
    <w:p w14:paraId="6996E92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6</w:t>
      </w:r>
      <w:r>
        <w:rPr>
          <w:rFonts w:hint="eastAsia" w:ascii="仿宋" w:hAnsi="仿宋" w:eastAsia="仿宋" w:cs="仿宋"/>
          <w:color w:val="auto"/>
          <w:kern w:val="2"/>
          <w:sz w:val="28"/>
          <w:szCs w:val="28"/>
          <w:lang w:val="en-US" w:eastAsia="zh-CN" w:bidi="ar"/>
        </w:rPr>
        <w:t>.拆卸液力偶合器的注油塞、易熔塞、防爆片时，应戴手套，面部躲开喷油方向，轻轻拧松几扣后停一会，待放气后再慢慢拧下。禁止使用不合格的易熔塞、防爆片或用代用品。</w:t>
      </w:r>
    </w:p>
    <w:p w14:paraId="57F426E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7</w:t>
      </w:r>
      <w:r>
        <w:rPr>
          <w:rFonts w:hint="eastAsia" w:ascii="仿宋" w:hAnsi="仿宋" w:eastAsia="仿宋" w:cs="仿宋"/>
          <w:color w:val="auto"/>
          <w:kern w:val="2"/>
          <w:sz w:val="28"/>
          <w:szCs w:val="28"/>
          <w:lang w:val="en-US" w:eastAsia="zh-CN" w:bidi="ar"/>
        </w:rPr>
        <w:t>.在式输送机上检修、处理故障或做其他工作时，必须停电闭锁输送机的控制开关，挂上“有人工作，严禁送电”的停电牌。除处理故障外，不许开倒车运转。严禁站在输送机上点动开车。</w:t>
      </w:r>
    </w:p>
    <w:p w14:paraId="4495B1A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8</w:t>
      </w:r>
      <w:r>
        <w:rPr>
          <w:rFonts w:hint="eastAsia" w:ascii="仿宋" w:hAnsi="仿宋" w:eastAsia="仿宋" w:cs="仿宋"/>
          <w:color w:val="auto"/>
          <w:kern w:val="2"/>
          <w:sz w:val="28"/>
          <w:szCs w:val="28"/>
          <w:lang w:val="en-US" w:eastAsia="zh-CN" w:bidi="ar"/>
        </w:rPr>
        <w:t>.制开关的接触器触头黏住外，禁止用控制开关的手把直接切断电动机电源。</w:t>
      </w:r>
    </w:p>
    <w:p w14:paraId="790651D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9</w:t>
      </w:r>
      <w:r>
        <w:rPr>
          <w:rFonts w:hint="eastAsia" w:ascii="仿宋" w:hAnsi="仿宋" w:eastAsia="仿宋" w:cs="仿宋"/>
          <w:color w:val="auto"/>
          <w:kern w:val="2"/>
          <w:sz w:val="28"/>
          <w:szCs w:val="28"/>
          <w:lang w:val="en-US" w:eastAsia="zh-CN" w:bidi="ar"/>
        </w:rPr>
        <w:t>.经常检查输送机巷道内的消防及喷雾降尘设施，并保持完好有效。</w:t>
      </w:r>
    </w:p>
    <w:p w14:paraId="6E59A29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10</w:t>
      </w:r>
      <w:r>
        <w:rPr>
          <w:rFonts w:hint="eastAsia" w:ascii="仿宋" w:hAnsi="仿宋" w:eastAsia="仿宋" w:cs="仿宋"/>
          <w:color w:val="auto"/>
          <w:kern w:val="2"/>
          <w:sz w:val="28"/>
          <w:szCs w:val="28"/>
          <w:lang w:val="en-US" w:eastAsia="zh-CN" w:bidi="ar"/>
        </w:rPr>
        <w:t>.作业时必须穿戴规定的劳动保护用品。</w:t>
      </w:r>
    </w:p>
    <w:p w14:paraId="594D65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11</w:t>
      </w:r>
      <w:r>
        <w:rPr>
          <w:rFonts w:hint="eastAsia" w:ascii="仿宋" w:hAnsi="仿宋" w:eastAsia="仿宋" w:cs="仿宋"/>
          <w:color w:val="auto"/>
          <w:kern w:val="2"/>
          <w:sz w:val="28"/>
          <w:szCs w:val="28"/>
          <w:lang w:val="en-US" w:eastAsia="zh-CN" w:bidi="ar"/>
        </w:rPr>
        <w:t>.认真执行岗位责任制和交接班制度，不得擅离岗位。</w:t>
      </w:r>
    </w:p>
    <w:p w14:paraId="45B6A46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12</w:t>
      </w:r>
      <w:r>
        <w:rPr>
          <w:rFonts w:hint="eastAsia" w:ascii="仿宋" w:hAnsi="仿宋" w:eastAsia="仿宋" w:cs="仿宋"/>
          <w:color w:val="auto"/>
          <w:kern w:val="2"/>
          <w:sz w:val="28"/>
          <w:szCs w:val="28"/>
          <w:lang w:val="en-US" w:eastAsia="zh-CN" w:bidi="ar"/>
        </w:rPr>
        <w:t>.上岗前，必须进行岗位安全确认。检查输送机机头范围的支护是否牢固可靠，有无障碍物或浮煤、杂物等安全隐患。</w:t>
      </w:r>
    </w:p>
    <w:p w14:paraId="1D232AE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13</w:t>
      </w:r>
      <w:r>
        <w:rPr>
          <w:rFonts w:hint="eastAsia" w:ascii="仿宋" w:hAnsi="仿宋" w:eastAsia="仿宋" w:cs="仿宋"/>
          <w:color w:val="auto"/>
          <w:kern w:val="2"/>
          <w:sz w:val="28"/>
          <w:szCs w:val="28"/>
          <w:lang w:val="en-US" w:eastAsia="zh-CN" w:bidi="ar"/>
        </w:rPr>
        <w:t>.将输送机的控制开关手把扳到断电位置闭锁好，然后对下列部位进行检查：</w:t>
      </w:r>
    </w:p>
    <w:p w14:paraId="0DAC78F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w:t>
      </w:r>
      <w:r>
        <w:rPr>
          <w:rFonts w:hint="eastAsia" w:ascii="仿宋" w:hAnsi="仿宋" w:eastAsia="仿宋" w:cs="仿宋"/>
          <w:color w:val="auto"/>
          <w:kern w:val="2"/>
          <w:sz w:val="28"/>
          <w:szCs w:val="28"/>
          <w:lang w:val="en-US" w:eastAsia="zh-CN" w:bidi="ar"/>
        </w:rPr>
        <w:t>机头及储带装置所用连接件和紧固件应齐全、牢靠，防护罩齐全完整，各滚筒、轴承应转动灵活。</w:t>
      </w:r>
    </w:p>
    <w:p w14:paraId="69B0C13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（2）</w:t>
      </w:r>
      <w:r>
        <w:rPr>
          <w:rFonts w:hint="eastAsia" w:ascii="仿宋" w:hAnsi="仿宋" w:eastAsia="仿宋" w:cs="仿宋"/>
          <w:color w:val="auto"/>
          <w:kern w:val="2"/>
          <w:sz w:val="28"/>
          <w:szCs w:val="28"/>
          <w:lang w:val="en-US" w:eastAsia="zh-CN" w:bidi="ar"/>
        </w:rPr>
        <w:t>液力偶合器的工作介质液量适当，易熔塞和防爆片应合格。</w:t>
      </w:r>
    </w:p>
    <w:p w14:paraId="7549F29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（3）</w:t>
      </w:r>
      <w:r>
        <w:rPr>
          <w:rFonts w:hint="eastAsia" w:ascii="仿宋" w:hAnsi="仿宋" w:eastAsia="仿宋" w:cs="仿宋"/>
          <w:color w:val="auto"/>
          <w:kern w:val="2"/>
          <w:sz w:val="28"/>
          <w:szCs w:val="28"/>
          <w:lang w:val="en-US" w:eastAsia="zh-CN" w:bidi="ar"/>
        </w:rPr>
        <w:t>制动器的闸带和闸轮接触严密，制动有效。</w:t>
      </w:r>
    </w:p>
    <w:p w14:paraId="1B958A5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（4）</w:t>
      </w:r>
      <w:r>
        <w:rPr>
          <w:rFonts w:hint="eastAsia" w:ascii="仿宋" w:hAnsi="仿宋" w:eastAsia="仿宋" w:cs="仿宋"/>
          <w:color w:val="auto"/>
          <w:kern w:val="2"/>
          <w:sz w:val="28"/>
          <w:szCs w:val="28"/>
          <w:lang w:val="en-US" w:eastAsia="zh-CN" w:bidi="ar"/>
        </w:rPr>
        <w:t>电源电压正常，各开关置于正常位置，软启装置正常。动力、信号，通信电缆吊挂整齐，无挤压、刮碰。</w:t>
      </w:r>
    </w:p>
    <w:p w14:paraId="4924741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（5）</w:t>
      </w:r>
      <w:r>
        <w:rPr>
          <w:rFonts w:hint="eastAsia" w:ascii="仿宋" w:hAnsi="仿宋" w:eastAsia="仿宋" w:cs="仿宋"/>
          <w:color w:val="auto"/>
          <w:kern w:val="2"/>
          <w:sz w:val="28"/>
          <w:szCs w:val="28"/>
          <w:lang w:val="en-US" w:eastAsia="zh-CN" w:bidi="ar"/>
        </w:rPr>
        <w:t>减速器无漏油现象。</w:t>
      </w:r>
    </w:p>
    <w:p w14:paraId="134E05E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（6）</w:t>
      </w:r>
      <w:r>
        <w:rPr>
          <w:rFonts w:hint="eastAsia" w:ascii="仿宋" w:hAnsi="仿宋" w:eastAsia="仿宋" w:cs="仿宋"/>
          <w:color w:val="auto"/>
          <w:kern w:val="2"/>
          <w:sz w:val="28"/>
          <w:szCs w:val="28"/>
          <w:lang w:val="en-US" w:eastAsia="zh-CN" w:bidi="ar"/>
        </w:rPr>
        <w:t>托辊齐全、转动灵活，托架吊挂装置完整可靠，托梁平直。</w:t>
      </w:r>
    </w:p>
    <w:p w14:paraId="076BA4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（7）</w:t>
      </w:r>
      <w:r>
        <w:rPr>
          <w:rFonts w:hint="eastAsia" w:ascii="仿宋" w:hAnsi="仿宋" w:eastAsia="仿宋" w:cs="仿宋"/>
          <w:color w:val="auto"/>
          <w:kern w:val="2"/>
          <w:sz w:val="28"/>
          <w:szCs w:val="28"/>
          <w:lang w:val="en-US" w:eastAsia="zh-CN" w:bidi="ar"/>
        </w:rPr>
        <w:t>承载部梁架平直，承载托辊齐全、转动灵活、无脱胶。</w:t>
      </w:r>
    </w:p>
    <w:p w14:paraId="0E16D2F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（8）</w:t>
      </w:r>
      <w:r>
        <w:rPr>
          <w:rFonts w:hint="eastAsia" w:ascii="仿宋" w:hAnsi="仿宋" w:eastAsia="仿宋" w:cs="仿宋"/>
          <w:color w:val="auto"/>
          <w:kern w:val="2"/>
          <w:sz w:val="28"/>
          <w:szCs w:val="28"/>
          <w:lang w:val="en-US" w:eastAsia="zh-CN" w:bidi="ar"/>
        </w:rPr>
        <w:t>机尾滚筒转动灵活，轴承润滑良好。</w:t>
      </w:r>
    </w:p>
    <w:p w14:paraId="72266B9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（9）</w:t>
      </w:r>
      <w:r>
        <w:rPr>
          <w:rFonts w:hint="eastAsia" w:ascii="仿宋" w:hAnsi="仿宋" w:eastAsia="仿宋" w:cs="仿宋"/>
          <w:color w:val="auto"/>
          <w:kern w:val="2"/>
          <w:sz w:val="28"/>
          <w:szCs w:val="28"/>
          <w:lang w:val="en-US" w:eastAsia="zh-CN" w:bidi="ar"/>
        </w:rPr>
        <w:t>输送带接头完好，卡子无折断、松动，输送带无撕裂、伤痕。</w:t>
      </w:r>
    </w:p>
    <w:p w14:paraId="45ACDCB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（10）</w:t>
      </w:r>
      <w:r>
        <w:rPr>
          <w:rFonts w:hint="eastAsia" w:ascii="仿宋" w:hAnsi="仿宋" w:eastAsia="仿宋" w:cs="仿宋"/>
          <w:color w:val="auto"/>
          <w:kern w:val="2"/>
          <w:sz w:val="28"/>
          <w:szCs w:val="28"/>
          <w:lang w:val="en-US" w:eastAsia="zh-CN" w:bidi="ar"/>
        </w:rPr>
        <w:t>输送带中心与前后各机的中心保持一致，无跑偏，松紧合适，挡煤板齐全完好。</w:t>
      </w:r>
    </w:p>
    <w:p w14:paraId="172234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（11）</w:t>
      </w:r>
      <w:r>
        <w:rPr>
          <w:rFonts w:hint="eastAsia" w:ascii="仿宋" w:hAnsi="仿宋" w:eastAsia="仿宋" w:cs="仿宋"/>
          <w:color w:val="auto"/>
          <w:kern w:val="2"/>
          <w:sz w:val="28"/>
          <w:szCs w:val="28"/>
          <w:lang w:val="en-US" w:eastAsia="zh-CN" w:bidi="ar"/>
        </w:rPr>
        <w:t>动力、信号、通信电维吊挂整齐，无挤压、刮碰。</w:t>
      </w:r>
    </w:p>
    <w:p w14:paraId="63A720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eastAsia="zh-CN" w:bidi="ar"/>
        </w:rPr>
        <w:t>（12）</w:t>
      </w:r>
      <w:r>
        <w:rPr>
          <w:rFonts w:hint="eastAsia" w:ascii="仿宋" w:hAnsi="仿宋" w:eastAsia="仿宋" w:cs="仿宋"/>
          <w:color w:val="auto"/>
          <w:kern w:val="2"/>
          <w:sz w:val="28"/>
          <w:szCs w:val="28"/>
          <w:lang w:val="en-US" w:eastAsia="zh-CN" w:bidi="ar"/>
        </w:rPr>
        <w:t>煤仓上口的栅栏、箅子应完整牢固，防护装置齐全可靠。</w:t>
      </w:r>
    </w:p>
    <w:p w14:paraId="5E79563C">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kern w:val="2"/>
          <w:sz w:val="28"/>
          <w:szCs w:val="28"/>
          <w:lang w:eastAsia="zh-CN" w:bidi="ar"/>
        </w:rPr>
        <w:t>八、停机后确认</w:t>
      </w:r>
    </w:p>
    <w:p w14:paraId="72A303E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1.输送带上无物料：接到停机信号后，将带式输送机上的煤完全拉净。</w:t>
      </w:r>
    </w:p>
    <w:p w14:paraId="418CD3A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2.停电闭锁：控制开关手柄扳到断电位置，锁紧闭锁螺栓。</w:t>
      </w:r>
    </w:p>
    <w:p w14:paraId="6BA4CC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3.喷雾：喷雾已关闭。</w:t>
      </w:r>
    </w:p>
    <w:p w14:paraId="7BF42C6F">
      <w:pPr>
        <w:pStyle w:val="4"/>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九、事故案例教育</w:t>
      </w:r>
    </w:p>
    <w:p w14:paraId="2CC08F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（一）事故经过</w:t>
      </w:r>
    </w:p>
    <w:p w14:paraId="2003D3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2012年2月12日夜班22：00，皮带工区副区长潘月成主持召开了夜班班前会，主要强调了当班的安全管理和煤质管理等注意事项，杨锡伦班共有三人到达煤4六采入仓皮带机头区域作业。0:00左右，人员到达工作现场，班长杨锡伦进行了岗位分工，安排高广东到暗斜井皮带机头与入仓皮带搭接处上岗。凌晨6时左右，杨锡伦安排高广东负责清理现场水沟，随后自己到矸石仓清理卫生。高广东看到杨锡伦去了矸石仓，便到入仓皮带机头平台上观察皮带运行情况，此时卸载滚筒处弹出一块体积约为550x500x400mm的大块矸石，在躲闪过程中被矸石碰伤右小腿，送到中心医院诊断治疗。</w:t>
      </w:r>
    </w:p>
    <w:p w14:paraId="0D2A41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（二）事故原因及责任</w:t>
      </w:r>
    </w:p>
    <w:p w14:paraId="6AFFE8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煤4六采入仓皮带卸载滚筒处的护栏有效高度不足，（只有220mm），皮带运行过程中不能有效防止大块煤矸弹出，防护措施不到位，是造成事故发生的直接原因。</w:t>
      </w:r>
    </w:p>
    <w:p w14:paraId="706404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煤4六采入仓皮带运行状态差。皮带涨紧力不足，皮带运行会出现不平稳现象，大块煤矸石容易弹出皮带机头；皮带机头安装托辊数量不足，卸载滚筒距第一组上托辊间距过长，造成皮带弹性过大，隐患处理不到位，是造成事故的主要原因。</w:t>
      </w:r>
    </w:p>
    <w:p w14:paraId="61A35F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岗位工高广东上岗精力不集中，自主保安意识差，对现场的危险源识别不到位，发现大块弹出之后慌忙躲闪，没有及时避开危险源，导致右小腿受伤，是造成事故的重要原因，对事故发生负有重要责任。</w:t>
      </w:r>
    </w:p>
    <w:p w14:paraId="1FBF9F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长杨锡伦是当班现场安全第一责任者，安全责任不落实，对新转岗的员工高广东负有以师带徒的责任，现场以师带徒履责不到位，离开工作现场对高广东安全注意事项没有及时叮嘱，在监护上出现失控现象，是造成事故的重要原因，对事故发生负有重要责任。</w:t>
      </w:r>
    </w:p>
    <w:p w14:paraId="43EECD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岗位工周福建身为一名老工人，现场互保联保不到位，没有对附近岗位工高广东的现场安全注意事项及时提醒，尤其是发现有大块煤矸进入系统没有及时进行联系，是造成事故的一个原因，对事故发生负有连带责任。</w:t>
      </w:r>
    </w:p>
    <w:p w14:paraId="513996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大班长韩金虎对本班人员管理不到位，现场隐患排查不到位，对安全问题执行落实不力，对转岗人员管理不到位，是造成事故的一个原因，对事故发生负有现场管理责任。</w:t>
      </w:r>
    </w:p>
    <w:p w14:paraId="2A2259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分管副区长蔡祥信现场隐患排查不到位，没能够及时发现和处理皮带运行过程中暴露的问题，是造成事故的一个原因，对事故发生负有管理责任。</w:t>
      </w:r>
    </w:p>
    <w:p w14:paraId="0C2323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皮带工区区长张治中、书记张建敏安全管理和教育培训不到位，对转岗员工未能做到理论培训与现场培训相结合，造成转岗员工上岗不规范，区队管理仍存在重生产、轻安全现象，隐患排查与处理不到位，是造成事故的主要原因，对事故发生负有主要管理责任。</w:t>
      </w:r>
    </w:p>
    <w:p w14:paraId="438ACD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、机电科、调度室等职能部门日常监督检查不到位是造成事故的一个原因，对事故发生负有监管不到位的责任。</w:t>
      </w:r>
    </w:p>
    <w:p w14:paraId="5926AD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专业自主管理不到位，隐患排查流于形式，现场监管落实不力，是造成事故的一个原因，对事故发生负有管理责任。</w:t>
      </w:r>
    </w:p>
    <w:p w14:paraId="42D4EB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（三）防范措施</w:t>
      </w:r>
    </w:p>
    <w:p w14:paraId="5478C1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在全矿范围内加强员工安全教育培训，认真开展事故案例警示教育活动，进一步提升员工的安全意识。</w:t>
      </w:r>
    </w:p>
    <w:p w14:paraId="0A1BB09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加强对变换岗位员工的培训和管理，对新转岗员工至少进行一个月的重点管理，像新工人一样进行以师带徒，确定师傅，重点帮教。</w:t>
      </w:r>
    </w:p>
    <w:p w14:paraId="7BCB2F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加强单岗作业人员的互保联保工作，对采掘、辅助单位单岗作业人员由分管领导拿出具体管理措施并严格执行。</w:t>
      </w:r>
    </w:p>
    <w:p w14:paraId="4460C1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对井下所有的皮带机头卸载部分均设置防护装置，确保每一部皮带的防护装置都牢固可靠，能够起到安全防护作用。</w:t>
      </w:r>
    </w:p>
    <w:p w14:paraId="708C89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对井下所用皮带机头进行一次检查，各部皮带卸载滚筒到第一组上托辊的距离不得超过50cm，保证皮带在负载较大的情况下能够平稳运行。</w:t>
      </w:r>
    </w:p>
    <w:p w14:paraId="085908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井下所有皮带要保证足够的涨紧力，每班必须至少检查一次，动态进行调整，保证皮带的正常运行。</w:t>
      </w:r>
    </w:p>
    <w:p w14:paraId="4CFDF9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加强现场巡检人员的安全意识教育，在安全业务上力求超前防范性，现场善于发现问题和解决问题，并及时向所在单位汇报。</w:t>
      </w:r>
    </w:p>
    <w:p w14:paraId="27C3F8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在现场条件允许的情况下，要加大皮带机头观察平台的空间，保证退路畅通，出现紧急情况时，能够安全躲闪。</w:t>
      </w:r>
    </w:p>
    <w:p w14:paraId="1412F0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皮带工区包机人员、维修人员及各级管理人员在采煤工作面生产期间要不定期到现场观察皮带的运行状态，及时发现皮带运行中存在的问题，并及时采取措施进行整改。</w:t>
      </w:r>
    </w:p>
    <w:p w14:paraId="5EF149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加大隐患排查力度。尤其是在皮带运行过程中，要彻底排查现场存在的隐患，并及时提出防治措施，各单位在隐患排查整治上都要提高自主管理能力。</w:t>
      </w:r>
    </w:p>
    <w:p w14:paraId="51A359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各单位在设备管理上要严格落实包机制，提高包机责任人的安全责任意识，抓好现场细节的安全管理，打造本质安全型作业环境。</w:t>
      </w:r>
    </w:p>
    <w:p w14:paraId="1AACB4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各单位在设备的安装、改造、设计的过程中，要首先考虑安全因素，保证设备在运行过程中具有足够的安全系数。</w:t>
      </w:r>
    </w:p>
    <w:p w14:paraId="149AED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各专业都要加强自主管理，以本次事故为借鉴，本着举一反三的原则，对分管范围内的设备开展一次全面隐患排查，并及时抓好整改落实。</w:t>
      </w:r>
    </w:p>
    <w:p w14:paraId="769D5C8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十、常见三违</w:t>
      </w:r>
      <w:bookmarkEnd w:id="395"/>
    </w:p>
    <w:p w14:paraId="1140E3C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（一）</w:t>
      </w:r>
      <w:r>
        <w:rPr>
          <w:rFonts w:hint="eastAsia" w:ascii="仿宋" w:hAnsi="仿宋" w:eastAsia="仿宋" w:cs="仿宋"/>
          <w:color w:val="auto"/>
          <w:sz w:val="28"/>
          <w:szCs w:val="28"/>
        </w:rPr>
        <w:t>在皮带上检修、处理故障时，不闭锁皮带机的控制开关，不挂停电作业牌，（措施有特殊规定的除外）</w:t>
      </w:r>
      <w:r>
        <w:rPr>
          <w:rFonts w:hint="eastAsia" w:ascii="仿宋" w:hAnsi="仿宋" w:eastAsia="仿宋" w:cs="仿宋"/>
          <w:color w:val="auto"/>
          <w:sz w:val="28"/>
          <w:szCs w:val="28"/>
          <w:lang w:eastAsia="zh-CN"/>
        </w:rPr>
        <w:t>；</w:t>
      </w:r>
    </w:p>
    <w:p w14:paraId="1C6B69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皮带运行时调整皮带的</w:t>
      </w:r>
      <w:r>
        <w:rPr>
          <w:rFonts w:hint="eastAsia" w:ascii="仿宋" w:hAnsi="仿宋" w:eastAsia="仿宋" w:cs="仿宋"/>
          <w:color w:val="auto"/>
          <w:sz w:val="28"/>
          <w:szCs w:val="28"/>
          <w:lang w:eastAsia="zh-CN"/>
        </w:rPr>
        <w:t>；</w:t>
      </w:r>
    </w:p>
    <w:p w14:paraId="2414293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带式输送机运行过程中，皮带巷返修皮带下卧底没加防护网防护</w:t>
      </w:r>
      <w:r>
        <w:rPr>
          <w:rFonts w:hint="eastAsia" w:ascii="仿宋" w:hAnsi="仿宋" w:eastAsia="仿宋" w:cs="仿宋"/>
          <w:color w:val="auto"/>
          <w:sz w:val="28"/>
          <w:szCs w:val="28"/>
          <w:lang w:eastAsia="zh-CN"/>
        </w:rPr>
        <w:t>；</w:t>
      </w:r>
    </w:p>
    <w:p w14:paraId="21771E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带式输送机运行期间，人员直接跨越皮带到皮带另一帮作业</w:t>
      </w:r>
      <w:r>
        <w:rPr>
          <w:rFonts w:hint="eastAsia" w:ascii="仿宋" w:hAnsi="仿宋" w:eastAsia="仿宋" w:cs="仿宋"/>
          <w:color w:val="auto"/>
          <w:sz w:val="28"/>
          <w:szCs w:val="28"/>
          <w:lang w:eastAsia="zh-CN"/>
        </w:rPr>
        <w:t>；</w:t>
      </w:r>
    </w:p>
    <w:p w14:paraId="1883D09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带式输送机开机时，没有按规定信号联系</w:t>
      </w:r>
      <w:r>
        <w:rPr>
          <w:rFonts w:hint="eastAsia" w:ascii="仿宋" w:hAnsi="仿宋" w:eastAsia="仿宋" w:cs="仿宋"/>
          <w:color w:val="auto"/>
          <w:sz w:val="28"/>
          <w:szCs w:val="28"/>
          <w:lang w:eastAsia="zh-CN"/>
        </w:rPr>
        <w:t>；</w:t>
      </w:r>
    </w:p>
    <w:p w14:paraId="383C18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带式输送机跑偏使用木板、铁管等不转动物体别皮带</w:t>
      </w:r>
      <w:r>
        <w:rPr>
          <w:rFonts w:hint="eastAsia" w:ascii="仿宋" w:hAnsi="仿宋" w:eastAsia="仿宋" w:cs="仿宋"/>
          <w:color w:val="auto"/>
          <w:sz w:val="28"/>
          <w:szCs w:val="28"/>
          <w:lang w:eastAsia="zh-CN"/>
        </w:rPr>
        <w:t>；</w:t>
      </w:r>
    </w:p>
    <w:p w14:paraId="280F50A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检修机械时没将启动开关闭锁或闭锁后无人看管或未挂停电牌</w:t>
      </w:r>
      <w:r>
        <w:rPr>
          <w:rFonts w:hint="eastAsia" w:ascii="仿宋" w:hAnsi="仿宋" w:eastAsia="仿宋" w:cs="仿宋"/>
          <w:color w:val="auto"/>
          <w:sz w:val="28"/>
          <w:szCs w:val="28"/>
          <w:lang w:eastAsia="zh-CN"/>
        </w:rPr>
        <w:t>；</w:t>
      </w:r>
    </w:p>
    <w:p w14:paraId="01B918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皮带机司机开机前不发警示信号就启动皮带的</w:t>
      </w:r>
      <w:r>
        <w:rPr>
          <w:rFonts w:hint="eastAsia" w:ascii="仿宋" w:hAnsi="仿宋" w:eastAsia="仿宋" w:cs="仿宋"/>
          <w:color w:val="auto"/>
          <w:sz w:val="28"/>
          <w:szCs w:val="28"/>
          <w:lang w:eastAsia="zh-CN"/>
        </w:rPr>
        <w:t>；</w:t>
      </w:r>
    </w:p>
    <w:p w14:paraId="6E27EA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color w:val="auto"/>
          <w:kern w:val="0"/>
          <w:sz w:val="21"/>
          <w:szCs w:val="21"/>
          <w:lang w:val="en-US" w:eastAsia="zh-CN" w:bidi="ar"/>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九</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皮带机未安装</w:t>
      </w:r>
      <w:r>
        <w:rPr>
          <w:rFonts w:hint="eastAsia" w:ascii="仿宋" w:hAnsi="仿宋" w:eastAsia="仿宋" w:cs="仿宋"/>
          <w:color w:val="auto"/>
          <w:sz w:val="28"/>
          <w:szCs w:val="28"/>
          <w:lang w:eastAsia="zh-CN"/>
        </w:rPr>
        <w:t>各大保护或</w:t>
      </w:r>
      <w:r>
        <w:rPr>
          <w:rFonts w:hint="eastAsia" w:ascii="仿宋" w:hAnsi="仿宋" w:eastAsia="仿宋" w:cs="仿宋"/>
          <w:color w:val="auto"/>
          <w:sz w:val="28"/>
          <w:szCs w:val="28"/>
        </w:rPr>
        <w:t>安装后不好用的。</w:t>
      </w:r>
    </w:p>
    <w:p w14:paraId="0FB1CB5B">
      <w:pPr>
        <w:rPr>
          <w:rFonts w:hint="eastAsia" w:cs="Times New Roman"/>
          <w:color w:val="auto"/>
          <w:lang w:val="en-US" w:eastAsia="zh-CN"/>
        </w:rPr>
      </w:pPr>
      <w:bookmarkStart w:id="397" w:name="_Toc25843"/>
      <w:bookmarkStart w:id="398" w:name="_Toc25520"/>
      <w:bookmarkStart w:id="399" w:name="_Toc15932"/>
      <w:r>
        <w:rPr>
          <w:rFonts w:hint="eastAsia" w:cs="Times New Roman"/>
          <w:color w:val="auto"/>
          <w:lang w:val="en-US" w:eastAsia="zh-CN"/>
        </w:rPr>
        <w:br w:type="page"/>
      </w:r>
    </w:p>
    <w:p w14:paraId="294486F0">
      <w:pPr>
        <w:pStyle w:val="17"/>
        <w:bidi w:val="0"/>
        <w:outlineLvl w:val="1"/>
        <w:rPr>
          <w:rFonts w:hint="eastAsia" w:cs="Times New Roman"/>
          <w:color w:val="auto"/>
          <w:lang w:val="en-US" w:eastAsia="zh-CN"/>
        </w:rPr>
      </w:pPr>
      <w:bookmarkStart w:id="400" w:name="_Toc12036"/>
      <w:r>
        <w:rPr>
          <w:rFonts w:hint="eastAsia" w:cs="Times New Roman"/>
          <w:color w:val="auto"/>
          <w:lang w:val="en-US" w:eastAsia="zh-CN"/>
        </w:rPr>
        <w:t>主井提升机司机</w:t>
      </w:r>
      <w:bookmarkEnd w:id="397"/>
      <w:bookmarkEnd w:id="398"/>
      <w:bookmarkEnd w:id="399"/>
      <w:bookmarkEnd w:id="400"/>
    </w:p>
    <w:tbl>
      <w:tblPr>
        <w:tblStyle w:val="12"/>
        <w:tblW w:w="9675" w:type="dxa"/>
        <w:tblInd w:w="-3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335"/>
        <w:gridCol w:w="3006"/>
        <w:gridCol w:w="1652"/>
        <w:gridCol w:w="3682"/>
      </w:tblGrid>
      <w:tr w14:paraId="0AA725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 w:hRule="atLeast"/>
        </w:trPr>
        <w:tc>
          <w:tcPr>
            <w:tcW w:w="9675"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635E9CE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val="0"/>
                <w:bCs w:val="0"/>
                <w:color w:val="auto"/>
                <w:kern w:val="0"/>
                <w:sz w:val="21"/>
                <w:szCs w:val="21"/>
                <w:lang w:val="en-US" w:eastAsia="zh-CN" w:bidi="ar"/>
              </w:rPr>
              <w:t>提升机司机岗位风险告知卡</w:t>
            </w:r>
          </w:p>
        </w:tc>
      </w:tr>
      <w:tr w14:paraId="1EA33F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99" w:hRule="atLeast"/>
        </w:trPr>
        <w:tc>
          <w:tcPr>
            <w:tcW w:w="1335" w:type="dxa"/>
            <w:tcBorders>
              <w:top w:val="single" w:color="auto" w:sz="4" w:space="0"/>
              <w:left w:val="single" w:color="auto" w:sz="4" w:space="0"/>
              <w:bottom w:val="single" w:color="auto" w:sz="4" w:space="0"/>
              <w:right w:val="single" w:color="auto" w:sz="4" w:space="0"/>
            </w:tcBorders>
            <w:shd w:val="clear" w:color="auto" w:fill="auto"/>
            <w:vAlign w:val="center"/>
          </w:tcPr>
          <w:p w14:paraId="3BC4FEB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风险</w:t>
            </w:r>
          </w:p>
          <w:p w14:paraId="6C2ADDF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类型</w:t>
            </w:r>
          </w:p>
        </w:tc>
        <w:tc>
          <w:tcPr>
            <w:tcW w:w="3006" w:type="dxa"/>
            <w:tcBorders>
              <w:top w:val="single" w:color="auto" w:sz="4" w:space="0"/>
              <w:left w:val="single" w:color="auto" w:sz="4" w:space="0"/>
              <w:bottom w:val="single" w:color="auto" w:sz="4" w:space="0"/>
              <w:right w:val="single" w:color="auto" w:sz="4" w:space="0"/>
            </w:tcBorders>
            <w:shd w:val="clear" w:color="auto" w:fill="auto"/>
            <w:vAlign w:val="center"/>
          </w:tcPr>
          <w:p w14:paraId="5E6E532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火灾、机电（触电、机械伤害）、运输、职业病危害（噪声）、其它</w:t>
            </w:r>
          </w:p>
        </w:tc>
        <w:tc>
          <w:tcPr>
            <w:tcW w:w="1652" w:type="dxa"/>
            <w:tcBorders>
              <w:top w:val="single" w:color="auto" w:sz="4" w:space="0"/>
              <w:left w:val="single" w:color="auto" w:sz="4" w:space="0"/>
              <w:bottom w:val="single" w:color="auto" w:sz="4" w:space="0"/>
              <w:right w:val="single" w:color="auto" w:sz="4" w:space="0"/>
            </w:tcBorders>
            <w:shd w:val="clear" w:color="auto" w:fill="auto"/>
            <w:vAlign w:val="center"/>
          </w:tcPr>
          <w:p w14:paraId="434DA79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事故</w:t>
            </w:r>
          </w:p>
          <w:p w14:paraId="0B8F989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报告</w:t>
            </w:r>
          </w:p>
        </w:tc>
        <w:tc>
          <w:tcPr>
            <w:tcW w:w="3682" w:type="dxa"/>
            <w:tcBorders>
              <w:top w:val="single" w:color="auto" w:sz="4" w:space="0"/>
              <w:left w:val="single" w:color="auto" w:sz="4" w:space="0"/>
              <w:bottom w:val="single" w:color="auto" w:sz="4" w:space="0"/>
              <w:right w:val="single" w:color="auto" w:sz="4" w:space="0"/>
            </w:tcBorders>
            <w:shd w:val="clear" w:color="auto" w:fill="auto"/>
            <w:vAlign w:val="center"/>
          </w:tcPr>
          <w:p w14:paraId="06DC046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调度室：8650200、8650202、“#”</w:t>
            </w:r>
          </w:p>
          <w:p w14:paraId="02BC138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工区值班：8650484</w:t>
            </w:r>
          </w:p>
          <w:p w14:paraId="7EEDAF6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安监科值班：8650512</w:t>
            </w:r>
          </w:p>
        </w:tc>
      </w:tr>
      <w:tr w14:paraId="1D4B32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7"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9DC286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主要危害因素</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F33DF5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管控措施</w:t>
            </w:r>
          </w:p>
        </w:tc>
      </w:tr>
      <w:tr w14:paraId="55A46C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7453B6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1.未持证上岗；提人或检修期间无监护司机，司机单岗作业。</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D1FAA4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1.经培训合格后，持证上岗；主辅提升机提人或检修期间司机禁止单岗作业，监护司机和操作司机要做好互保联保。</w:t>
            </w:r>
          </w:p>
        </w:tc>
      </w:tr>
      <w:tr w14:paraId="07953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7701F2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2.提升机司机接收信号不清晰，开车前未确认信号。</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C64108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2.主提升机司机必须规范作业，信号不清严禁开车。</w:t>
            </w:r>
          </w:p>
        </w:tc>
      </w:tr>
      <w:tr w14:paraId="59CDD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9"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A4D55D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3.滚筒、减速机、电机、液压系统、润滑系统、冷却风机及启动装置等运行不正常开机；操作台、信号、控制柜等运行不正常开机。</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EB6EF3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3.加强对滚筒、减速机、电机、液压系统、润滑系统、冷却风机及启动装置的维护管理，保证运行正常才能开机；加强对操作台、信号、控制柜等设备的维护管理，保证运行正常才能开机。</w:t>
            </w:r>
          </w:p>
        </w:tc>
      </w:tr>
      <w:tr w14:paraId="4545A9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14D8B88">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4.巡检过程中未沿规定路线行走，随意触碰设备、线缆。</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235E9A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4.巡检沿路线，手脚勿乱触，检查时与设备保持安全距离，对带电体巡检时只准目检。</w:t>
            </w:r>
          </w:p>
        </w:tc>
      </w:tr>
      <w:tr w14:paraId="3073B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A7D7E5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5.开车过程中司机精力不集中，未能仔细观察主控台仪表数据变化及滚筒、钢丝绳运行情况，运行异常时未能及时停车。</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4B0349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5.开车过程中精力集中，注意观察主控台仪表数据变化及滚筒、钢丝绳运行情况，发现异常及时停车。</w:t>
            </w:r>
          </w:p>
        </w:tc>
      </w:tr>
      <w:tr w14:paraId="0E7EC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23DE75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6.设备转动部位未加防护罩，或人员在提升机运转时，清理滚筒、联轴器等转动部位附近的卫生。</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26FB57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6.设备转动部位及滚筒前方加防护罩以防司机打扫卫生或巡检时被转动部位碰伤。</w:t>
            </w:r>
          </w:p>
        </w:tc>
      </w:tr>
      <w:tr w14:paraId="0DE82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796784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7.人员巡检时，地面有油污、杂物。</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AB3339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7.做好现场的管理工作，保持动态达标，人员行走时注意力要集中，严禁嬉戏打闹，行走时观察好路况，确保道路畅通、安全，才能通过。</w:t>
            </w:r>
          </w:p>
        </w:tc>
      </w:tr>
      <w:tr w14:paraId="2A6E8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5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D56C1A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8.私拉乱接电线，违规使用电器，车房附近违规吸烟。</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2AC728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8.严禁在车房内私拉乱接电线，禁止违规使用电器，车房内外严禁吸烟或用火炉取暖。</w:t>
            </w:r>
          </w:p>
        </w:tc>
      </w:tr>
      <w:tr w14:paraId="43F59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CC4B54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9.吸音隔音装置不齐全或个人防护用品使用不当。</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4FC33F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 xml:space="preserve">9.作业人员出入操作室关闭好室门，设备巡检时佩戴耳塞。   </w:t>
            </w:r>
          </w:p>
        </w:tc>
      </w:tr>
      <w:tr w14:paraId="7F389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361B2B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10.消防器材、绝缘用具不齐全、不完好。</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8AD74F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10.消防器材、绝缘用具要齐全、完好。</w:t>
            </w:r>
          </w:p>
        </w:tc>
      </w:tr>
      <w:tr w14:paraId="7B2D4D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87" w:hRule="atLeast"/>
        </w:trPr>
        <w:tc>
          <w:tcPr>
            <w:tcW w:w="1335" w:type="dxa"/>
            <w:tcBorders>
              <w:top w:val="single" w:color="auto" w:sz="4" w:space="0"/>
              <w:left w:val="single" w:color="auto" w:sz="4" w:space="0"/>
              <w:bottom w:val="single" w:color="auto" w:sz="4" w:space="0"/>
              <w:right w:val="single" w:color="auto" w:sz="4" w:space="0"/>
            </w:tcBorders>
            <w:shd w:val="clear" w:color="auto" w:fill="auto"/>
            <w:vAlign w:val="center"/>
          </w:tcPr>
          <w:p w14:paraId="4822C11E">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4582E0D1">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4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5636A34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7970202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5E1DD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335" w:type="dxa"/>
            <w:tcBorders>
              <w:top w:val="single" w:color="auto" w:sz="4" w:space="0"/>
              <w:left w:val="single" w:color="auto" w:sz="4" w:space="0"/>
              <w:bottom w:val="single" w:color="auto" w:sz="4" w:space="0"/>
              <w:right w:val="single" w:color="auto" w:sz="4" w:space="0"/>
            </w:tcBorders>
            <w:shd w:val="clear" w:color="auto" w:fill="auto"/>
            <w:vAlign w:val="center"/>
          </w:tcPr>
          <w:p w14:paraId="6E3855F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应急</w:t>
            </w:r>
          </w:p>
          <w:p w14:paraId="1E090FB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处置</w:t>
            </w:r>
          </w:p>
          <w:p w14:paraId="5564A23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措施</w:t>
            </w:r>
          </w:p>
        </w:tc>
        <w:tc>
          <w:tcPr>
            <w:tcW w:w="834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0F20A5D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1.出现紧急情况时，立即停止运转，停电闭锁后及时汇报。抢修过程中按照应急救援方案和安全措施执行，严禁违章操作、违章指挥，防止事故扩大。</w:t>
            </w:r>
          </w:p>
          <w:p w14:paraId="27CD2E6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突发事故时，现场人员应立即采取有效措施安全避险，并及时向矿调度室汇报灾情，通知现场带班人员。听从安排，积极开展现场急救、互救工作，有序撤离。撤退前应断开与救灾无关的电源，告知矿调度避灾行走路线与目的地。</w:t>
            </w:r>
          </w:p>
          <w:p w14:paraId="0F5CF8D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3.设备恢复后，需由慢到快溜钩，检查主控台仪表数据变化及滚筒、钢丝绳运行情况，并由维修人员检查其他设备运行情况。</w:t>
            </w:r>
          </w:p>
        </w:tc>
      </w:tr>
    </w:tbl>
    <w:p w14:paraId="4254A32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 xml:space="preserve"> </w:t>
      </w:r>
    </w:p>
    <w:tbl>
      <w:tblPr>
        <w:tblStyle w:val="12"/>
        <w:tblW w:w="861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291"/>
        <w:gridCol w:w="4320"/>
      </w:tblGrid>
      <w:tr w14:paraId="100B7F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861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B93920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lang w:val="en-US" w:eastAsia="zh-CN" w:bidi="ar"/>
              </w:rPr>
              <w:t>主井提升机司机安全提示卡</w:t>
            </w:r>
          </w:p>
        </w:tc>
      </w:tr>
      <w:tr w14:paraId="402BE1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single" w:color="auto" w:sz="4" w:space="0"/>
              <w:left w:val="single" w:color="auto" w:sz="4" w:space="0"/>
              <w:bottom w:val="single" w:color="auto" w:sz="4" w:space="0"/>
              <w:right w:val="single" w:color="auto" w:sz="4" w:space="0"/>
            </w:tcBorders>
            <w:shd w:val="clear" w:color="auto" w:fill="auto"/>
            <w:vAlign w:val="center"/>
          </w:tcPr>
          <w:p w14:paraId="625EC00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开车前检查</w:t>
            </w:r>
          </w:p>
        </w:tc>
        <w:tc>
          <w:tcPr>
            <w:tcW w:w="4320" w:type="dxa"/>
            <w:tcBorders>
              <w:top w:val="single" w:color="auto" w:sz="4" w:space="0"/>
              <w:left w:val="nil"/>
              <w:bottom w:val="single" w:color="auto" w:sz="4" w:space="0"/>
              <w:right w:val="single" w:color="auto" w:sz="4" w:space="0"/>
            </w:tcBorders>
            <w:shd w:val="clear" w:color="auto" w:fill="auto"/>
            <w:vAlign w:val="center"/>
          </w:tcPr>
          <w:p w14:paraId="4551B9B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停车后确认</w:t>
            </w:r>
          </w:p>
        </w:tc>
      </w:tr>
      <w:tr w14:paraId="273876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00F616E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1.电话</w:t>
            </w:r>
          </w:p>
        </w:tc>
        <w:tc>
          <w:tcPr>
            <w:tcW w:w="4320" w:type="dxa"/>
            <w:tcBorders>
              <w:top w:val="nil"/>
              <w:left w:val="nil"/>
              <w:bottom w:val="single" w:color="auto" w:sz="4" w:space="0"/>
              <w:right w:val="single" w:color="auto" w:sz="4" w:space="0"/>
            </w:tcBorders>
            <w:shd w:val="clear" w:color="auto" w:fill="auto"/>
            <w:vAlign w:val="center"/>
          </w:tcPr>
          <w:p w14:paraId="38D0B94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★1.主令控制器、工作闸</w:t>
            </w:r>
          </w:p>
        </w:tc>
      </w:tr>
      <w:tr w14:paraId="6F12B7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64CF281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2.消防器材</w:t>
            </w:r>
          </w:p>
        </w:tc>
        <w:tc>
          <w:tcPr>
            <w:tcW w:w="4320" w:type="dxa"/>
            <w:tcBorders>
              <w:top w:val="nil"/>
              <w:left w:val="nil"/>
              <w:bottom w:val="single" w:color="auto" w:sz="4" w:space="0"/>
              <w:right w:val="single" w:color="auto" w:sz="4" w:space="0"/>
            </w:tcBorders>
            <w:shd w:val="clear" w:color="auto" w:fill="auto"/>
            <w:vAlign w:val="center"/>
          </w:tcPr>
          <w:p w14:paraId="0FA13E0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★2.提升容器位置指示</w:t>
            </w:r>
          </w:p>
        </w:tc>
      </w:tr>
      <w:tr w14:paraId="79A704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7815A66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★3.人员、障碍物</w:t>
            </w:r>
          </w:p>
        </w:tc>
        <w:tc>
          <w:tcPr>
            <w:tcW w:w="4320" w:type="dxa"/>
            <w:tcBorders>
              <w:top w:val="nil"/>
              <w:left w:val="nil"/>
              <w:bottom w:val="single" w:color="auto" w:sz="4" w:space="0"/>
              <w:right w:val="single" w:color="auto" w:sz="4" w:space="0"/>
            </w:tcBorders>
            <w:shd w:val="clear" w:color="auto" w:fill="auto"/>
            <w:vAlign w:val="center"/>
          </w:tcPr>
          <w:p w14:paraId="26D0E0E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3.按钮、转换开关</w:t>
            </w:r>
          </w:p>
        </w:tc>
      </w:tr>
      <w:tr w14:paraId="739519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1B97C75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4.监护司机</w:t>
            </w:r>
          </w:p>
        </w:tc>
        <w:tc>
          <w:tcPr>
            <w:tcW w:w="4320" w:type="dxa"/>
            <w:tcBorders>
              <w:top w:val="nil"/>
              <w:left w:val="nil"/>
              <w:bottom w:val="single" w:color="auto" w:sz="4" w:space="0"/>
              <w:right w:val="single" w:color="auto" w:sz="4" w:space="0"/>
            </w:tcBorders>
            <w:shd w:val="clear" w:color="auto" w:fill="auto"/>
            <w:vAlign w:val="center"/>
          </w:tcPr>
          <w:p w14:paraId="54884EB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★4.主控台仪表</w:t>
            </w:r>
          </w:p>
        </w:tc>
      </w:tr>
      <w:tr w14:paraId="146F5F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4F85F1B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5.装置电源</w:t>
            </w:r>
          </w:p>
        </w:tc>
        <w:tc>
          <w:tcPr>
            <w:tcW w:w="4320" w:type="dxa"/>
            <w:tcBorders>
              <w:top w:val="nil"/>
              <w:left w:val="nil"/>
              <w:bottom w:val="single" w:color="auto" w:sz="4" w:space="0"/>
              <w:right w:val="single" w:color="auto" w:sz="4" w:space="0"/>
            </w:tcBorders>
            <w:shd w:val="clear" w:color="auto" w:fill="auto"/>
            <w:vAlign w:val="center"/>
          </w:tcPr>
          <w:p w14:paraId="4393532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5.冷却风机</w:t>
            </w:r>
          </w:p>
        </w:tc>
      </w:tr>
      <w:tr w14:paraId="01C632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6601799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 xml:space="preserve">  6.按钮、转换开关</w:t>
            </w:r>
          </w:p>
        </w:tc>
        <w:tc>
          <w:tcPr>
            <w:tcW w:w="4320" w:type="dxa"/>
            <w:tcBorders>
              <w:top w:val="nil"/>
              <w:left w:val="nil"/>
              <w:bottom w:val="single" w:color="auto" w:sz="4" w:space="0"/>
              <w:right w:val="single" w:color="auto" w:sz="4" w:space="0"/>
            </w:tcBorders>
            <w:shd w:val="clear" w:color="auto" w:fill="auto"/>
            <w:vAlign w:val="center"/>
          </w:tcPr>
          <w:p w14:paraId="4165D19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★6.液压系统、润滑系统</w:t>
            </w:r>
          </w:p>
        </w:tc>
      </w:tr>
      <w:tr w14:paraId="4A7B73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47BFFFC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7.冷却风机</w:t>
            </w:r>
          </w:p>
        </w:tc>
        <w:tc>
          <w:tcPr>
            <w:tcW w:w="4320" w:type="dxa"/>
            <w:tcBorders>
              <w:top w:val="nil"/>
              <w:left w:val="nil"/>
              <w:bottom w:val="single" w:color="auto" w:sz="4" w:space="0"/>
              <w:right w:val="single" w:color="auto" w:sz="4" w:space="0"/>
            </w:tcBorders>
            <w:shd w:val="clear" w:color="auto" w:fill="auto"/>
            <w:vAlign w:val="center"/>
          </w:tcPr>
          <w:p w14:paraId="6A0531C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7.装置电源</w:t>
            </w:r>
          </w:p>
        </w:tc>
      </w:tr>
      <w:tr w14:paraId="4D2043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7BBF10C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★8.主令控制器、工作闸</w:t>
            </w:r>
          </w:p>
        </w:tc>
        <w:tc>
          <w:tcPr>
            <w:tcW w:w="4320" w:type="dxa"/>
            <w:tcBorders>
              <w:top w:val="nil"/>
              <w:left w:val="nil"/>
              <w:bottom w:val="single" w:color="auto" w:sz="4" w:space="0"/>
              <w:right w:val="single" w:color="auto" w:sz="4" w:space="0"/>
            </w:tcBorders>
            <w:shd w:val="clear" w:color="auto" w:fill="auto"/>
            <w:vAlign w:val="center"/>
          </w:tcPr>
          <w:p w14:paraId="295DFE8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8.安全回路</w:t>
            </w:r>
          </w:p>
        </w:tc>
      </w:tr>
      <w:tr w14:paraId="4B7F2B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10311D7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★9.信号</w:t>
            </w:r>
          </w:p>
        </w:tc>
        <w:tc>
          <w:tcPr>
            <w:tcW w:w="4320" w:type="dxa"/>
            <w:tcBorders>
              <w:top w:val="nil"/>
              <w:left w:val="nil"/>
              <w:bottom w:val="single" w:color="auto" w:sz="4" w:space="0"/>
              <w:right w:val="single" w:color="auto" w:sz="4" w:space="0"/>
            </w:tcBorders>
            <w:shd w:val="clear" w:color="auto" w:fill="auto"/>
            <w:vAlign w:val="center"/>
          </w:tcPr>
          <w:p w14:paraId="51DE81E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14:paraId="2070AA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3C88FD1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★10.提升方向</w:t>
            </w:r>
          </w:p>
        </w:tc>
        <w:tc>
          <w:tcPr>
            <w:tcW w:w="4320" w:type="dxa"/>
            <w:tcBorders>
              <w:top w:val="nil"/>
              <w:left w:val="nil"/>
              <w:bottom w:val="single" w:color="auto" w:sz="4" w:space="0"/>
              <w:right w:val="single" w:color="auto" w:sz="4" w:space="0"/>
            </w:tcBorders>
            <w:shd w:val="clear" w:color="auto" w:fill="auto"/>
            <w:vAlign w:val="center"/>
          </w:tcPr>
          <w:p w14:paraId="11468B6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14:paraId="28A54B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16AEEEC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★11.主控台仪表</w:t>
            </w:r>
          </w:p>
        </w:tc>
        <w:tc>
          <w:tcPr>
            <w:tcW w:w="4320" w:type="dxa"/>
            <w:tcBorders>
              <w:top w:val="nil"/>
              <w:left w:val="nil"/>
              <w:bottom w:val="single" w:color="auto" w:sz="4" w:space="0"/>
              <w:right w:val="single" w:color="auto" w:sz="4" w:space="0"/>
            </w:tcBorders>
            <w:shd w:val="clear" w:color="auto" w:fill="auto"/>
            <w:vAlign w:val="center"/>
          </w:tcPr>
          <w:p w14:paraId="2D5F881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14:paraId="63CB72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14:paraId="6BA8AB4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★12.液压系统、润滑系统</w:t>
            </w:r>
          </w:p>
        </w:tc>
        <w:tc>
          <w:tcPr>
            <w:tcW w:w="4320" w:type="dxa"/>
            <w:tcBorders>
              <w:top w:val="nil"/>
              <w:left w:val="nil"/>
              <w:bottom w:val="single" w:color="auto" w:sz="4" w:space="0"/>
              <w:right w:val="single" w:color="auto" w:sz="4" w:space="0"/>
            </w:tcBorders>
            <w:shd w:val="clear" w:color="auto" w:fill="auto"/>
            <w:vAlign w:val="center"/>
          </w:tcPr>
          <w:p w14:paraId="1A31BC7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14:paraId="6F2BF0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5" w:hRule="atLeast"/>
        </w:trPr>
        <w:tc>
          <w:tcPr>
            <w:tcW w:w="8611" w:type="dxa"/>
            <w:gridSpan w:val="2"/>
            <w:tcBorders>
              <w:top w:val="nil"/>
              <w:left w:val="single" w:color="auto" w:sz="4" w:space="0"/>
              <w:bottom w:val="single" w:color="auto" w:sz="4" w:space="0"/>
              <w:right w:val="single" w:color="auto" w:sz="4" w:space="0"/>
            </w:tcBorders>
            <w:shd w:val="clear" w:color="auto" w:fill="auto"/>
            <w:vAlign w:val="center"/>
          </w:tcPr>
          <w:p w14:paraId="44D9C60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注：第一次按开车前确认内容逐项检查并确认，存在问题整改后再确认；中间再次操作只检查带“★”部分；当班提升任务全部结束后按停车后确认内容逐项检查并确认。</w:t>
            </w:r>
          </w:p>
        </w:tc>
      </w:tr>
    </w:tbl>
    <w:p w14:paraId="252BCB6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color w:val="auto"/>
          <w:kern w:val="0"/>
          <w:sz w:val="21"/>
          <w:szCs w:val="21"/>
        </w:rPr>
      </w:pPr>
    </w:p>
    <w:tbl>
      <w:tblPr>
        <w:tblStyle w:val="12"/>
        <w:tblW w:w="866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666"/>
      </w:tblGrid>
      <w:tr w14:paraId="3B50BA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2044FB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主井提升机司机单元检查表</w:t>
            </w:r>
          </w:p>
        </w:tc>
      </w:tr>
      <w:tr w14:paraId="328EB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370CEA68">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1.记录</w:t>
            </w:r>
          </w:p>
        </w:tc>
      </w:tr>
      <w:tr w14:paraId="236A1C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718A224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2.操作台</w:t>
            </w:r>
          </w:p>
        </w:tc>
      </w:tr>
      <w:tr w14:paraId="25934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42029A2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3.监控机</w:t>
            </w:r>
          </w:p>
        </w:tc>
      </w:tr>
      <w:tr w14:paraId="4E391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063D96A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4.信号</w:t>
            </w:r>
          </w:p>
        </w:tc>
      </w:tr>
      <w:tr w14:paraId="3A3490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06515D7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5.液压站</w:t>
            </w:r>
          </w:p>
        </w:tc>
      </w:tr>
      <w:tr w14:paraId="17E3A9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443370E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6.9-20</w:t>
            </w:r>
            <w:r>
              <w:rPr>
                <w:rFonts w:hint="eastAsia" w:ascii="仿宋" w:hAnsi="仿宋" w:eastAsia="仿宋" w:cs="仿宋"/>
                <w:b w:val="0"/>
                <w:bCs/>
                <w:color w:val="auto"/>
                <w:kern w:val="0"/>
                <w:sz w:val="21"/>
                <w:szCs w:val="21"/>
                <w:vertAlign w:val="superscript"/>
                <w:lang w:val="en-US" w:eastAsia="zh-CN" w:bidi="ar"/>
              </w:rPr>
              <w:t>#</w:t>
            </w:r>
            <w:r>
              <w:rPr>
                <w:rFonts w:hint="eastAsia" w:ascii="仿宋" w:hAnsi="仿宋" w:eastAsia="仿宋" w:cs="仿宋"/>
                <w:b w:val="0"/>
                <w:bCs/>
                <w:color w:val="auto"/>
                <w:kern w:val="0"/>
                <w:sz w:val="21"/>
                <w:szCs w:val="21"/>
                <w:lang w:val="en-US" w:eastAsia="zh-CN" w:bidi="ar"/>
              </w:rPr>
              <w:t>盘形闸</w:t>
            </w:r>
          </w:p>
        </w:tc>
      </w:tr>
      <w:tr w14:paraId="3224F5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38E62C2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7.滚筒及防护罩</w:t>
            </w:r>
          </w:p>
        </w:tc>
      </w:tr>
      <w:tr w14:paraId="2D83D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39D94DD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8.轴编码器</w:t>
            </w:r>
          </w:p>
        </w:tc>
      </w:tr>
      <w:tr w14:paraId="184FB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53D291F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9.1-8</w:t>
            </w:r>
            <w:r>
              <w:rPr>
                <w:rFonts w:hint="eastAsia" w:ascii="仿宋" w:hAnsi="仿宋" w:eastAsia="仿宋" w:cs="仿宋"/>
                <w:b w:val="0"/>
                <w:bCs/>
                <w:color w:val="auto"/>
                <w:kern w:val="0"/>
                <w:sz w:val="21"/>
                <w:szCs w:val="21"/>
                <w:vertAlign w:val="superscript"/>
                <w:lang w:val="en-US" w:eastAsia="zh-CN" w:bidi="ar"/>
              </w:rPr>
              <w:t>#</w:t>
            </w:r>
            <w:r>
              <w:rPr>
                <w:rFonts w:hint="eastAsia" w:ascii="仿宋" w:hAnsi="仿宋" w:eastAsia="仿宋" w:cs="仿宋"/>
                <w:b w:val="0"/>
                <w:bCs/>
                <w:color w:val="auto"/>
                <w:kern w:val="0"/>
                <w:sz w:val="21"/>
                <w:szCs w:val="21"/>
                <w:lang w:val="en-US" w:eastAsia="zh-CN" w:bidi="ar"/>
              </w:rPr>
              <w:t>盘形闸</w:t>
            </w:r>
          </w:p>
        </w:tc>
      </w:tr>
      <w:tr w14:paraId="387681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283498B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10.减速机及联轴器</w:t>
            </w:r>
          </w:p>
        </w:tc>
      </w:tr>
      <w:tr w14:paraId="6A78B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2E012D3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11.稀油站控制盘</w:t>
            </w:r>
          </w:p>
        </w:tc>
      </w:tr>
      <w:tr w14:paraId="6FE9B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10E3826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12.电动机</w:t>
            </w:r>
          </w:p>
        </w:tc>
      </w:tr>
      <w:tr w14:paraId="0CCF5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1D9100D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13.整流变压器</w:t>
            </w:r>
          </w:p>
        </w:tc>
      </w:tr>
      <w:tr w14:paraId="2FA28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750EC09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14.平波电抗器</w:t>
            </w:r>
          </w:p>
        </w:tc>
      </w:tr>
      <w:tr w14:paraId="0F5E5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4CBD9F9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15.直流调速柜</w:t>
            </w:r>
          </w:p>
        </w:tc>
      </w:tr>
      <w:tr w14:paraId="7B824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2E59640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16.低压配电柜</w:t>
            </w:r>
          </w:p>
        </w:tc>
      </w:tr>
      <w:tr w14:paraId="4B4BC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4C0851E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17.一楼稀油站、润滑站</w:t>
            </w:r>
          </w:p>
        </w:tc>
      </w:tr>
      <w:tr w14:paraId="0F69D6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49A7831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18.冷却风机</w:t>
            </w:r>
          </w:p>
        </w:tc>
      </w:tr>
      <w:tr w14:paraId="489DA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14:paraId="262EC85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注：接班后检查一次。</w:t>
            </w:r>
          </w:p>
        </w:tc>
      </w:tr>
    </w:tbl>
    <w:p w14:paraId="12F0C2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right="0"/>
        <w:jc w:val="both"/>
        <w:textAlignment w:val="auto"/>
        <w:outlineLvl w:val="9"/>
        <w:rPr>
          <w:rFonts w:hint="eastAsia" w:ascii="仿宋" w:hAnsi="仿宋" w:eastAsia="仿宋" w:cs="仿宋"/>
          <w:b/>
          <w:bCs w:val="0"/>
          <w:color w:val="auto"/>
          <w:kern w:val="2"/>
          <w:sz w:val="21"/>
          <w:szCs w:val="21"/>
          <w:lang w:val="en-US" w:eastAsia="zh-CN" w:bidi="ar"/>
        </w:rPr>
      </w:pPr>
    </w:p>
    <w:p w14:paraId="7C66238C">
      <w:pPr>
        <w:pStyle w:val="4"/>
        <w:keepNext w:val="0"/>
        <w:keepLines w:val="0"/>
        <w:pageBreakBefore w:val="0"/>
        <w:kinsoku/>
        <w:wordWrap/>
        <w:overflowPunct/>
        <w:topLinePunct w:val="0"/>
        <w:autoSpaceDN/>
        <w:bidi w:val="0"/>
        <w:adjustRightInd/>
        <w:snapToGrid/>
        <w:textAlignment w:val="auto"/>
        <w:outlineLvl w:val="9"/>
        <w:rPr>
          <w:rFonts w:hint="eastAsia" w:ascii="仿宋" w:hAnsi="仿宋" w:eastAsia="仿宋" w:cs="仿宋"/>
          <w:b/>
          <w:bCs w:val="0"/>
          <w:color w:val="auto"/>
          <w:kern w:val="2"/>
          <w:sz w:val="21"/>
          <w:szCs w:val="21"/>
          <w:lang w:val="en-US" w:eastAsia="zh-CN" w:bidi="ar"/>
        </w:rPr>
      </w:pPr>
    </w:p>
    <w:p w14:paraId="67ABAB48">
      <w:pPr>
        <w:pStyle w:val="4"/>
        <w:keepNext w:val="0"/>
        <w:keepLines w:val="0"/>
        <w:pageBreakBefore w:val="0"/>
        <w:kinsoku/>
        <w:wordWrap/>
        <w:overflowPunct/>
        <w:topLinePunct w:val="0"/>
        <w:autoSpaceDN/>
        <w:bidi w:val="0"/>
        <w:adjustRightInd/>
        <w:snapToGrid/>
        <w:textAlignment w:val="auto"/>
        <w:outlineLvl w:val="9"/>
        <w:rPr>
          <w:rFonts w:hint="eastAsia" w:ascii="仿宋" w:hAnsi="仿宋" w:eastAsia="仿宋" w:cs="仿宋"/>
          <w:b/>
          <w:bCs w:val="0"/>
          <w:color w:val="auto"/>
          <w:kern w:val="2"/>
          <w:sz w:val="21"/>
          <w:szCs w:val="21"/>
          <w:lang w:val="en-US" w:eastAsia="zh-CN" w:bidi="ar"/>
        </w:rPr>
      </w:pPr>
    </w:p>
    <w:p w14:paraId="0C73CC04">
      <w:pPr>
        <w:pStyle w:val="4"/>
        <w:keepNext w:val="0"/>
        <w:keepLines w:val="0"/>
        <w:pageBreakBefore w:val="0"/>
        <w:kinsoku/>
        <w:wordWrap/>
        <w:overflowPunct/>
        <w:topLinePunct w:val="0"/>
        <w:autoSpaceDN/>
        <w:bidi w:val="0"/>
        <w:adjustRightInd/>
        <w:snapToGrid/>
        <w:textAlignment w:val="auto"/>
        <w:outlineLvl w:val="9"/>
        <w:rPr>
          <w:rFonts w:hint="eastAsia" w:ascii="仿宋" w:hAnsi="仿宋" w:eastAsia="仿宋" w:cs="仿宋"/>
          <w:b/>
          <w:bCs w:val="0"/>
          <w:color w:val="auto"/>
          <w:kern w:val="2"/>
          <w:sz w:val="21"/>
          <w:szCs w:val="21"/>
          <w:lang w:val="en-US" w:eastAsia="zh-CN" w:bidi="ar"/>
        </w:rPr>
      </w:pPr>
    </w:p>
    <w:tbl>
      <w:tblPr>
        <w:tblStyle w:val="12"/>
        <w:tblW w:w="87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67"/>
        <w:gridCol w:w="1629"/>
        <w:gridCol w:w="6124"/>
      </w:tblGrid>
      <w:tr w14:paraId="420ED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4" w:hRule="atLeast"/>
          <w:jc w:val="center"/>
        </w:trPr>
        <w:tc>
          <w:tcPr>
            <w:tcW w:w="872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5D4F35B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bCs w:val="0"/>
                <w:color w:val="auto"/>
                <w:kern w:val="0"/>
                <w:sz w:val="21"/>
                <w:szCs w:val="21"/>
                <w:lang w:val="en-US" w:eastAsia="zh-CN" w:bidi="ar"/>
              </w:rPr>
              <w:t>主井提升机司机操作过程注意事项</w:t>
            </w:r>
          </w:p>
        </w:tc>
      </w:tr>
      <w:tr w14:paraId="0AD092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1C84C1A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序号</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1626158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提示词</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21FE7C9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42" w:firstLineChars="20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主要内容</w:t>
            </w:r>
          </w:p>
        </w:tc>
      </w:tr>
      <w:tr w14:paraId="4F60B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7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24DC369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1</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5A731C5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看仪表</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5DF1035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随时观察电压表、电流表、压力显示、速度显示、信号、保护显示，出现异常立即停车或紧急制动。</w:t>
            </w:r>
          </w:p>
        </w:tc>
      </w:tr>
      <w:tr w14:paraId="44DA5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98"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021FE9D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2</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70ADD68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看位置</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2BEB5C1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随时观察提升容器位置和移动速度，出现异常立即停车。</w:t>
            </w:r>
          </w:p>
        </w:tc>
      </w:tr>
      <w:tr w14:paraId="7146C4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4"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0CEB3C7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3</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059A1A4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看钢丝绳</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7BAAB8C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随时观察钢丝绳有无滑动、异常跳动及排列情况，出现异常立即停车。</w:t>
            </w:r>
          </w:p>
        </w:tc>
      </w:tr>
      <w:tr w14:paraId="060327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6226E7D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4</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5C4C330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听信号</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77E83FB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 xml:space="preserve">严格按信号指令操作，信号不清严禁开车。  </w:t>
            </w:r>
          </w:p>
        </w:tc>
      </w:tr>
      <w:tr w14:paraId="3B51A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03"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5870749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5</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6862CB1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听异响</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2DEC1A6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设备出现严重异响或非正常震动立即停车。</w:t>
            </w:r>
          </w:p>
        </w:tc>
      </w:tr>
      <w:tr w14:paraId="7DEF4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3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79E308D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6</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505A095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嗅异味</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0DA2F7E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闻到异常气味立即停车。</w:t>
            </w:r>
          </w:p>
        </w:tc>
      </w:tr>
      <w:tr w14:paraId="21B79B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4"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26E0619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7</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7A810C1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禁闲谈</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57333AE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严禁闲谈和接打电话；禁止对监护司机的示警性喊话进行对答。</w:t>
            </w:r>
          </w:p>
        </w:tc>
      </w:tr>
      <w:tr w14:paraId="0BC51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4"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1EE64ED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8</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0D92C90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握手柄</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20B366D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手动方式开车时，左右手不准离开工作闸及主令控制手柄，加减速均匀。</w:t>
            </w:r>
          </w:p>
        </w:tc>
      </w:tr>
      <w:tr w14:paraId="216E3D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7BA67FD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9</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3C791C9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按急停</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69F6EE4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出现紧急情况或故障时，按下（或踩下）急停按钮实施制动。</w:t>
            </w:r>
          </w:p>
        </w:tc>
      </w:tr>
      <w:tr w14:paraId="47CA4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00C7868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10</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10F88B5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2"/>
                <w:sz w:val="22"/>
                <w:szCs w:val="22"/>
              </w:rPr>
            </w:pPr>
            <w:r>
              <w:rPr>
                <w:rFonts w:hint="eastAsia" w:ascii="仿宋" w:hAnsi="仿宋" w:eastAsia="仿宋" w:cs="仿宋"/>
                <w:color w:val="auto"/>
                <w:kern w:val="2"/>
                <w:sz w:val="22"/>
                <w:szCs w:val="22"/>
                <w:lang w:val="en-US" w:eastAsia="zh-CN" w:bidi="ar"/>
              </w:rPr>
              <w:t>坐姿</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0EE8093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2"/>
                <w:sz w:val="22"/>
                <w:szCs w:val="22"/>
              </w:rPr>
            </w:pPr>
            <w:r>
              <w:rPr>
                <w:rFonts w:hint="eastAsia" w:ascii="仿宋" w:hAnsi="仿宋" w:eastAsia="仿宋" w:cs="仿宋"/>
                <w:color w:val="auto"/>
                <w:kern w:val="2"/>
                <w:sz w:val="22"/>
                <w:szCs w:val="22"/>
                <w:lang w:val="en-US" w:eastAsia="zh-CN" w:bidi="ar"/>
              </w:rPr>
              <w:t>保持坐姿端正，双脚应平放地面，不得随意晃动。</w:t>
            </w:r>
          </w:p>
        </w:tc>
      </w:tr>
      <w:tr w14:paraId="5D08A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95"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14:paraId="7D6A3E7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11</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14:paraId="47BBE3B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2"/>
                <w:sz w:val="22"/>
                <w:szCs w:val="22"/>
              </w:rPr>
            </w:pPr>
            <w:r>
              <w:rPr>
                <w:rFonts w:hint="eastAsia" w:ascii="仿宋" w:hAnsi="仿宋" w:eastAsia="仿宋" w:cs="仿宋"/>
                <w:color w:val="auto"/>
                <w:kern w:val="2"/>
                <w:sz w:val="22"/>
                <w:szCs w:val="22"/>
                <w:lang w:val="en-US" w:eastAsia="zh-CN" w:bidi="ar"/>
              </w:rPr>
              <w:t>位置</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14:paraId="2F7CA45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2"/>
                <w:sz w:val="22"/>
                <w:szCs w:val="22"/>
              </w:rPr>
            </w:pPr>
            <w:r>
              <w:rPr>
                <w:rFonts w:hint="eastAsia" w:ascii="仿宋" w:hAnsi="仿宋" w:eastAsia="仿宋" w:cs="仿宋"/>
                <w:color w:val="auto"/>
                <w:kern w:val="2"/>
                <w:sz w:val="22"/>
                <w:szCs w:val="22"/>
                <w:lang w:val="en-US" w:eastAsia="zh-CN" w:bidi="ar"/>
              </w:rPr>
              <w:t>主司机严禁离开操作台，监护司机不得随意离开监护位置。</w:t>
            </w:r>
          </w:p>
        </w:tc>
      </w:tr>
    </w:tbl>
    <w:p w14:paraId="7C3CD76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一、一般规定</w:t>
      </w:r>
    </w:p>
    <w:p w14:paraId="33AC88D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（一）工作中着装整齐，佩戴好各种劳动保护用品，规范上岗、按章操作，杜绝“三违”现象，提人及检修期间严格执行一人操作一人监护制度。</w:t>
      </w:r>
    </w:p>
    <w:p w14:paraId="793B27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（二）严格落实本岗位责任制，清理好岗位卫生、设备卫生并保持动态达标。</w:t>
      </w:r>
    </w:p>
    <w:p w14:paraId="5AE9306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（三）定期参加各种业务学习，做到“应知应会”，不断提高自身技术水平。</w:t>
      </w:r>
    </w:p>
    <w:p w14:paraId="3F015C1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（四）按要求及时参加矿组织的特殊工种培训，考试合格，持证上岗。</w:t>
      </w:r>
    </w:p>
    <w:p w14:paraId="41BD0CD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（五）发现工作地点安全监控系统、设备等不能正常工作时，应及时汇报。</w:t>
      </w:r>
    </w:p>
    <w:p w14:paraId="06BD15A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（六）</w:t>
      </w:r>
      <w:r>
        <w:rPr>
          <w:rFonts w:hint="eastAsia" w:ascii="仿宋" w:hAnsi="仿宋" w:eastAsia="仿宋" w:cs="仿宋"/>
          <w:color w:val="auto"/>
          <w:kern w:val="0"/>
          <w:sz w:val="28"/>
          <w:szCs w:val="28"/>
          <w:lang w:val="en-US" w:eastAsia="zh-CN" w:bidi="ar"/>
        </w:rPr>
        <w:t>严格遵守劳动纪律和各种规章制度，</w:t>
      </w:r>
      <w:r>
        <w:rPr>
          <w:rFonts w:hint="eastAsia" w:ascii="仿宋" w:hAnsi="仿宋" w:eastAsia="仿宋" w:cs="仿宋"/>
          <w:color w:val="auto"/>
          <w:kern w:val="2"/>
          <w:sz w:val="28"/>
          <w:szCs w:val="28"/>
          <w:lang w:val="en-US" w:eastAsia="zh-CN" w:bidi="ar"/>
        </w:rPr>
        <w:t>对于各级管理人员的违章指挥，有权拒绝执行。</w:t>
      </w:r>
    </w:p>
    <w:p w14:paraId="0B7D56C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（七）班前、班中严禁喝酒，上班时不做与工作无关的其它事情。</w:t>
      </w:r>
    </w:p>
    <w:p w14:paraId="4A966D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（八）车房及井口20m范围内禁止吸烟，杂物不得乱扔乱放。</w:t>
      </w:r>
    </w:p>
    <w:p w14:paraId="5168928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（九）交接班司机必须按时在岗位现场进行交接班，不得迟到、早退。</w:t>
      </w:r>
    </w:p>
    <w:p w14:paraId="60F6805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（十）执行好要害场所管理制度，对于陌生人员有权拒绝其入内或让其进行登记。</w:t>
      </w:r>
    </w:p>
    <w:p w14:paraId="43DF977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8"/>
          <w:szCs w:val="28"/>
          <w:lang w:val="en-US" w:eastAsia="zh-CN" w:bidi="ar"/>
        </w:rPr>
        <w:t>（十一）全力配合维修工的工作，及时向维修工反映设备运行情况。</w:t>
      </w:r>
    </w:p>
    <w:p w14:paraId="0C24EF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二、薄弱人物排查治理办法</w:t>
      </w:r>
    </w:p>
    <w:p w14:paraId="48F37D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（一）薄弱人物范畴</w:t>
      </w:r>
    </w:p>
    <w:p w14:paraId="15DF095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1.嗜好饮酒的“迷糊人”：是指爱好喝酒、酗酒甚至容易醉酒的人。</w:t>
      </w:r>
    </w:p>
    <w:p w14:paraId="175F74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2.婚期前后的“甜蜜人”：是指正在筹备或者刚刚完成婚姻大事的人。</w:t>
      </w:r>
    </w:p>
    <w:p w14:paraId="500227B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3.家有丧事的“失落人”：是指家庭有亲人离世导致情绪失落波动。</w:t>
      </w:r>
    </w:p>
    <w:p w14:paraId="57305D2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4.经常违章的“大胆人”：是指自律能力差，对违章屡教不改的人。</w:t>
      </w:r>
    </w:p>
    <w:p w14:paraId="7C55F5C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5.挨批受罚的“情绪人”：是指受到批评处罚情绪低落的人。</w:t>
      </w:r>
    </w:p>
    <w:p w14:paraId="420A0EE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6.重新上岗的“三长人”：是指长伤、长病、长旷的返岗人员。</w:t>
      </w:r>
    </w:p>
    <w:p w14:paraId="21D090E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7.极度疲劳的“硬撑人”：是指班后从事体力劳动极度疲惫的人。</w:t>
      </w:r>
    </w:p>
    <w:p w14:paraId="49BFA15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8.临近退休的“老年人”：是指年龄偏大（50岁以上）的老工人。</w:t>
      </w:r>
    </w:p>
    <w:p w14:paraId="36D00B2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9.随时发病的“体弱人”：是指被医院诊断患有高血压、心脏病、脑血栓、抑郁症等病情的人。</w:t>
      </w:r>
    </w:p>
    <w:p w14:paraId="595E5F3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10.家境特殊的“纠结人”：是指频发家庭矛盾影响工作情绪的人。</w:t>
      </w:r>
    </w:p>
    <w:p w14:paraId="3738C8E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11.岗位调整的“转行人”：是指转换了工作岗位、改变了工作性质的人。</w:t>
      </w:r>
    </w:p>
    <w:p w14:paraId="0C8986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12.初来乍到的“新工人”：是指刚入矿或者从外单位调入的人。</w:t>
      </w:r>
    </w:p>
    <w:p w14:paraId="6B27921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13.班前教育的“落空人”：是指未参加班前会的人。</w:t>
      </w:r>
    </w:p>
    <w:p w14:paraId="3E692D6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14.心力交瘁的“上访人”：是指由于社会矛盾得不到及时解决有上访倾向的人。</w:t>
      </w:r>
    </w:p>
    <w:p w14:paraId="1841EA8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15.八小时以外的“网络人”：是指工作之余，喜欢上网的年轻员工，班前休息不好，上班精力不集中。</w:t>
      </w:r>
    </w:p>
    <w:p w14:paraId="77AA9CE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16.性格粗暴的“鲁莽人”：是指性格简单粗暴的员工，工作急躁毛躁浮躁。</w:t>
      </w:r>
    </w:p>
    <w:p w14:paraId="5E3228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17.反应迟钝的“麻木人”：是指工作麻痹大意、马虎凑付不在乎、反应迟钝的员工。</w:t>
      </w:r>
    </w:p>
    <w:p w14:paraId="0CE266B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18.不安心工作的“跳槽人”：是指不安心本职工作，意欲调动工作的人。</w:t>
      </w:r>
    </w:p>
    <w:p w14:paraId="63537A7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19.不服从管理的“顶牛人”：是指与管理人员或员工有矛盾，不服从管理的员工。</w:t>
      </w:r>
    </w:p>
    <w:p w14:paraId="4C465DF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20.肩负第二职业的“经济人”：是指挣钱不要命，工作之余另有第二职业的人。</w:t>
      </w:r>
    </w:p>
    <w:p w14:paraId="711BF11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（二）实施建档管理</w:t>
      </w:r>
    </w:p>
    <w:p w14:paraId="75A80FD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576E41F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（三）具体排查方式</w:t>
      </w:r>
    </w:p>
    <w:p w14:paraId="13EC518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5299710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65612C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6700672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64E3F8E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FF4769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50A3C5F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（四）薄弱人员管控措施</w:t>
      </w:r>
    </w:p>
    <w:p w14:paraId="60E8E41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1.对于岗前饮酒者，坚决禁止上岗作业。轻者责令其回家休息，重者在区队原地休息或者安排人员护送回家。</w:t>
      </w:r>
    </w:p>
    <w:p w14:paraId="2EB30CD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2.对于有喜事或丧事的人员，要通过面谈掌握当事人的心理状态，无异议后方可下井。</w:t>
      </w:r>
    </w:p>
    <w:p w14:paraId="40C49D2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3.对于经常违章的人员，要加强日常的教育，在班前会上注重提问，安排岗位要合理，原则上做到“疑人不用”。</w:t>
      </w:r>
    </w:p>
    <w:p w14:paraId="68FAC1D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4.对于受到批评和处罚的员工，要加强心理疏导，让当事人放下思想包袱，解除心里抱怨，避免带着情绪上岗。</w:t>
      </w:r>
    </w:p>
    <w:p w14:paraId="7D0DD89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5.对于“三长”人员，必须加强岗前教育培训，考试合格后方可上岗。上岗过程中，要作为重点的巡查盯靠对象，实施跟踪观察。</w:t>
      </w:r>
    </w:p>
    <w:p w14:paraId="07A0985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14:paraId="645C1F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7.对于家庭矛盾突出的员工，应通过谈心或者家访的方式，及时为员工解决家庭矛盾，解开症结，保证员工轻装上岗。</w:t>
      </w:r>
    </w:p>
    <w:p w14:paraId="1FC0F5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8.对于临近退休的老工人，在安排岗位上首要考虑安全因素，原则上不安排攀高、抬重、高温等急难险重类型的作业。</w:t>
      </w:r>
    </w:p>
    <w:p w14:paraId="038F30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9.对于转岗员工当成新工人尽心管理，严格履行以师带徒合同，在老工人的带领下作业。</w:t>
      </w:r>
    </w:p>
    <w:p w14:paraId="4E3A71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049594D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11.凡是没有参加班前会学习教育的人员，一律严禁上岗作业。</w:t>
      </w:r>
    </w:p>
    <w:p w14:paraId="7FAFC27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12.对于喜欢上网的年轻员工，要加强引导，多沟通勤交流，促使他们培养健康向上的生活工作情趣。</w:t>
      </w:r>
    </w:p>
    <w:p w14:paraId="708E4E1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13.对于有上访倾向的人，要及时了解情况，掌握思想状态，活血化瘀，必要时可申请法律援助，解决实际困难。</w:t>
      </w:r>
    </w:p>
    <w:p w14:paraId="5FFCB99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14:paraId="52E311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15.对于不服从管理的员工，单位管理人员要及时做好一人一事的思想工作，解决存在的矛盾，使其心悦诚服、心情舒畅的投入工作。</w:t>
      </w:r>
    </w:p>
    <w:p w14:paraId="46C25F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 w:val="0"/>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14:paraId="4D20362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三、安全风险辨识与管控措施</w:t>
      </w:r>
    </w:p>
    <w:p w14:paraId="3017777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（一）通用部分</w:t>
      </w:r>
    </w:p>
    <w:p w14:paraId="5A027A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1.风险描述：防灭火管理不到位可能造成火灾。</w:t>
      </w:r>
    </w:p>
    <w:p w14:paraId="39E66BD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管控措施：做好防灭火设备设施的维护保养，确保齐全有效，发生火灾时能够第一时间灭火。</w:t>
      </w:r>
    </w:p>
    <w:p w14:paraId="4260856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2.风险描述：人员靠近运行中的旋转部位时，可能发生人员伤害的风险。</w:t>
      </w:r>
    </w:p>
    <w:p w14:paraId="0334C48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管控措施：施工人员必须着装整齐，劳保用品齐全，熟悉机械性能和操作方法，按照操作规程施工，旋转部位安设防护罩。</w:t>
      </w:r>
    </w:p>
    <w:p w14:paraId="5681821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3.风险描述：人员上下爬梯存在坠落风险。</w:t>
      </w:r>
    </w:p>
    <w:p w14:paraId="075FAC4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管控措施：上、下爬梯时，必须抓实护栏，现场必须有充足照明。</w:t>
      </w:r>
    </w:p>
    <w:p w14:paraId="7ECBED7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4.风险描述：巡检过程中未沿规定路线行走，随意触碰设备、线缆。</w:t>
      </w:r>
    </w:p>
    <w:p w14:paraId="696B2080">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管控措施：巡检沿路线，手脚勿乱触。检查时与设备保持安全距离，对带电体巡检时只准目检。</w:t>
      </w:r>
    </w:p>
    <w:p w14:paraId="1E4A795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5.风险描述：人员巡检时精力不集中，地面有油污、杂物，可能滑倒、绊倒，受到伤害。</w:t>
      </w:r>
    </w:p>
    <w:p w14:paraId="0631555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管控措施：做好现场的管理工作，保持动态达标，人员行走时注意力要集中，严禁嬉戏打闹，行走时观察好路况，确保道路畅通、安全，才能通过。</w:t>
      </w:r>
    </w:p>
    <w:p w14:paraId="61650BC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6.风险描述：私拉乱接电线，违规使用电器，车房附近违规吸烟。</w:t>
      </w:r>
    </w:p>
    <w:p w14:paraId="7D6AD22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管控措施：严禁在车房内私拉乱接电线，禁止违规使用电器，车房内外严禁吸烟或用火炉取暖。</w:t>
      </w:r>
    </w:p>
    <w:p w14:paraId="79198649">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7.风险描述：吸音隔音装置不齐全或个人防护用品使用不当。</w:t>
      </w:r>
    </w:p>
    <w:p w14:paraId="6DCE307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管控措施：作业人员出入操作室关闭好室门，设备巡检时佩戴耳塞。</w:t>
      </w:r>
    </w:p>
    <w:p w14:paraId="34FB27F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（二）专用部分</w:t>
      </w:r>
    </w:p>
    <w:p w14:paraId="6073C47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1.作业前</w:t>
      </w:r>
    </w:p>
    <w:p w14:paraId="6458826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①风险描述：电话不畅通，现场出现问题不能及时汇报，存在事故扩大的风险。</w:t>
      </w:r>
    </w:p>
    <w:p w14:paraId="3E553F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管控措施：每班对电话进行检查，发现电话不畅通或损坏的，及时告知维护人员，确保电话畅通完好。</w:t>
      </w:r>
    </w:p>
    <w:p w14:paraId="0406475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②风险描述：消防器材失效或缺失，发生火灾时，不能及时灭火，存在设备损坏或人员伤亡的风险。</w:t>
      </w:r>
    </w:p>
    <w:p w14:paraId="40BDB48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管控措施：做好防灭火设备设施的维护保养，确保齐全有效。</w:t>
      </w:r>
    </w:p>
    <w:p w14:paraId="0FC72E3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③风险描述：提升机滚筒、钢丝绳或其它转动部位存在人员或障碍物时，开车存在转动部位伤人的风险。</w:t>
      </w:r>
    </w:p>
    <w:p w14:paraId="4A245EE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管控措施：提升机滚筒、钢丝绳或其它转动部位严禁存在障碍物或人员，开车前应认真检查，待人员离开或障碍物清理后再开车。</w:t>
      </w:r>
    </w:p>
    <w:p w14:paraId="00481DD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④风险描述：开车前，监护人未到位，操作人员容易误操作，存在设备损坏、人员伤亡的风险。</w:t>
      </w:r>
    </w:p>
    <w:p w14:paraId="0EFD116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管控措施：设备检修、提升机提人时，严格执行一人操作一人监护，监护人不到位严禁操作。</w:t>
      </w:r>
    </w:p>
    <w:p w14:paraId="3F15B4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⑤风险描述：提升机装置电源、转换开关、主令控制器、工作闸手柄不可靠，将无法确保设备正常运行。</w:t>
      </w:r>
    </w:p>
    <w:p w14:paraId="758931E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管控措施：合上安全回路，确定电源、快开、风机、励磁正常，并将主令控制器放在零位、工作闸手柄放在零位。</w:t>
      </w:r>
    </w:p>
    <w:p w14:paraId="2AA140A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⑥风险描述：提升机司机接收信号不清晰，开车前未确认信号。</w:t>
      </w:r>
    </w:p>
    <w:p w14:paraId="03AE148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管控措施：主提升机司机必须规范作业，信号不清严禁开车。</w:t>
      </w:r>
    </w:p>
    <w:p w14:paraId="571A1D4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⑦风险描述：开车时，提升方向错误，提升机未按指定路线行驶，存在设备损坏或人员伤亡的风险。</w:t>
      </w:r>
    </w:p>
    <w:p w14:paraId="55F2093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管控措施：开车前，操作司机及监护司机应检查提升容器位置，确认开车方向，监护司机要及时提醒操作人规范操作。</w:t>
      </w:r>
    </w:p>
    <w:p w14:paraId="421A7CF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2.作业过程中</w:t>
      </w:r>
    </w:p>
    <w:p w14:paraId="38B1597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①风险描述：滚筒、减速机、电机、液压系统、润滑系统、冷却风机及启动装置等运行不正常开机；操作台、信号、控制柜等运行不正常开机。</w:t>
      </w:r>
    </w:p>
    <w:p w14:paraId="10BFBA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管控措施：加强对滚筒、减速机、电机、液压系统、润滑系统、冷却风机及启动装置的维护管理，保证运行正常才能开机；加强对操作台、信号、控制柜等设备的维护管理，保证运行正常才能开机。</w:t>
      </w:r>
    </w:p>
    <w:p w14:paraId="4E0243E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②风险描述：开车过程中司机精力不集中，未能仔细观察主控台仪表数据变化及滚筒、钢丝绳运行情况，运行异常时未能及时停车。</w:t>
      </w:r>
    </w:p>
    <w:p w14:paraId="66C73096">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管控措施：开车过程中精力集中，注意观察主控台仪表数据变化及滚筒、钢丝绳运行情况，发现异常及时停车。</w:t>
      </w:r>
    </w:p>
    <w:p w14:paraId="49D1D09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③风险描述：提升机运行中，双手离开闸把，出现异常时，未紧急停车并汇报处理，存在设备损坏、人员伤亡的风险。</w:t>
      </w:r>
    </w:p>
    <w:p w14:paraId="73A57BE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管控措施：提升机运行中，司机要集中注意力，禁止嬉戏打闹、聊天，双手不准离开闸把，出现异常时，必须紧急停车，立即汇报处理。</w:t>
      </w:r>
    </w:p>
    <w:p w14:paraId="40B7183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3.作业后</w:t>
      </w:r>
    </w:p>
    <w:p w14:paraId="081EABD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①风险描述：提升机停车后，主令控制器未在零位，提升机容易误动作，存在设备损坏或人员伤亡的风险。</w:t>
      </w:r>
    </w:p>
    <w:p w14:paraId="5F9869B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管控措施：提升机停车后，操作司机及监护司机应检查主令控制器位置，确认在零位，监护司机要及时提醒操作人，规范操作。</w:t>
      </w:r>
    </w:p>
    <w:p w14:paraId="4D7B1C2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②风险描述：提升机停车后，制动闸手柄未在施闸状态，提升机容易误动作，存在设备损坏或人员伤亡的风险。</w:t>
      </w:r>
    </w:p>
    <w:p w14:paraId="3E45EBA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管控措施：提升机停车后，操作司机及监护司机应检查制动闸位置，确认在施闸位置，监护司机要及时提醒操作人，规范操作。</w:t>
      </w:r>
    </w:p>
    <w:p w14:paraId="681F62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③风险描述：提升机停车后，提升容器位置显示异常未能及时发现，提升机未停在指定位置，存在设备损坏或人员伤亡的风险。</w:t>
      </w:r>
    </w:p>
    <w:p w14:paraId="5AD012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管控措施：提升机停车后，操作司机及监护司机应检查提升容器位置，确认停车位置正确，监护司机要及时提醒操作人，规范操作。</w:t>
      </w:r>
    </w:p>
    <w:p w14:paraId="6A7F00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④风险描述：提升机长时间停车后，液压站及装置电源未停电，提升机容易误动作，存在设备损坏或人员伤亡的风险。</w:t>
      </w:r>
    </w:p>
    <w:p w14:paraId="5204DEE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管控措施：提升机停车后，操作司机应及时切断液压站，长时间停机及时切断装置电源，防止提升机误动作，监护司机要及时提醒操作人规范操作。</w:t>
      </w:r>
    </w:p>
    <w:p w14:paraId="10D6451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⑤风险描述：提升机长时间停车后，冷却风机未停电，存在设备损坏的风险。</w:t>
      </w:r>
    </w:p>
    <w:p w14:paraId="3F1A9DF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管控措施：提升机长时间停车后，操作司机应及时切断冷却风机电源，监护司机要及时提醒操作人，规范操作。</w:t>
      </w:r>
    </w:p>
    <w:p w14:paraId="39E0D23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⑥风险描述：提升机停车后，安全回路显示异常，提升机保护故障报警，存在设备损坏的风险。</w:t>
      </w:r>
    </w:p>
    <w:p w14:paraId="00B9F25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管控措施：提升机停车后，操作司机应检查安全回路是否显示正常，发现异常情况，应及时通知维护人员，待问题解除后，及时复位。</w:t>
      </w:r>
    </w:p>
    <w:p w14:paraId="47E898E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⑦风险描述：提升机停车后，仪表显示异常，存在设备损坏的风险。</w:t>
      </w:r>
    </w:p>
    <w:p w14:paraId="7B53EDB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管控措施：提升机停车后，操作司机应检查仪表是否显示正常，发现异常情况，应及时通知维护人员，问题不解决严禁动车。</w:t>
      </w:r>
    </w:p>
    <w:p w14:paraId="3C417EC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⑧风险描述：提升机停车后，按钮未复位或转换开关位置错误，下次开车时，提升机容易误动作，存在设备损坏的风险。</w:t>
      </w:r>
    </w:p>
    <w:p w14:paraId="5839BC1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管控措施：提升机停车后，操作司机应检查按钮及转换开关，按钮已复位，转换开关位置正确，监护司机要及时提醒操作人。</w:t>
      </w:r>
    </w:p>
    <w:p w14:paraId="3AD80FD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四、（一）作业前检查</w:t>
      </w:r>
    </w:p>
    <w:p w14:paraId="2F79181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1.电话：电话畅通，拨号正常、无严重杂音。</w:t>
      </w:r>
    </w:p>
    <w:p w14:paraId="4977511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2.消防器材：消防器材齐全完好。</w:t>
      </w:r>
    </w:p>
    <w:p w14:paraId="5350334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3.人员、障碍物：无人员及其他障碍物。</w:t>
      </w:r>
    </w:p>
    <w:p w14:paraId="13FB14F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4.监护司机：提升机提人及检修期间，监护司机到位。</w:t>
      </w:r>
    </w:p>
    <w:p w14:paraId="552C3ED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5.装置电源：合上安全回路，确定高压电源、快开，风机、励磁正常。</w:t>
      </w:r>
    </w:p>
    <w:p w14:paraId="58FEA2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6.按钮、转换开关：安全阀开关打到规定位置，按下制动泵启动按钮，制动泵开启。</w:t>
      </w:r>
    </w:p>
    <w:p w14:paraId="5196781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7.主令控制器、工作闸：主令控制器放在零位、工作闸手柄放在零位。</w:t>
      </w:r>
    </w:p>
    <w:p w14:paraId="48F15EF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8.信号、提升方向：确认信号，正确选择提升方向。</w:t>
      </w:r>
    </w:p>
    <w:p w14:paraId="07D52FF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9.主控台仪表：仪表数据正常，符合要求。</w:t>
      </w:r>
    </w:p>
    <w:p w14:paraId="09A4EB9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10.液压系统、润滑系统：运行正常，压力及温度正常。</w:t>
      </w:r>
    </w:p>
    <w:p w14:paraId="6E779B2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（二）单元检查表确认</w:t>
      </w:r>
    </w:p>
    <w:p w14:paraId="43FD1E0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1.记录：查看上一个班次的相关记录，</w:t>
      </w:r>
      <w:r>
        <w:rPr>
          <w:rFonts w:hint="eastAsia" w:ascii="仿宋" w:hAnsi="仿宋" w:eastAsia="仿宋" w:cs="仿宋"/>
          <w:color w:val="auto"/>
          <w:kern w:val="0"/>
          <w:sz w:val="28"/>
          <w:szCs w:val="28"/>
          <w:lang w:val="en-US" w:eastAsia="zh-CN" w:bidi="ar"/>
        </w:rPr>
        <w:t>由交接班双方对设备及需要交接的项目进行全面检查，确认无问题时，双方在交接班记录上签字后，接班人履行自己的职责。</w:t>
      </w:r>
    </w:p>
    <w:p w14:paraId="078BA8D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2.操作台：操作台按钮、控制手柄、仪表等完好。</w:t>
      </w:r>
    </w:p>
    <w:p w14:paraId="5FD591D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3.监控机：监控计算机显示画面正常。</w:t>
      </w:r>
    </w:p>
    <w:p w14:paraId="322BEA6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4.信号：信号指示正常。</w:t>
      </w:r>
    </w:p>
    <w:p w14:paraId="3267496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5.液压站：管路和阀组不渗油；油位、油温、油压正常。</w:t>
      </w:r>
    </w:p>
    <w:p w14:paraId="0DE384C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6.9-20</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盘形闸：盘形闸油管及连接处不渗油，盘型闸间隙正常、闸瓦磨损不超限，螺栓固定牢固不松动。</w:t>
      </w:r>
    </w:p>
    <w:p w14:paraId="1CC2E2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7.滚筒及防护罩：滚筒衬垫磨损不超限且固定牢固，防护罩无破损、无变形，螺栓固定牢固不松动。</w:t>
      </w:r>
    </w:p>
    <w:p w14:paraId="5C93E1A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8.轴编码器：编码器完好，固定牢固、灵活可靠。</w:t>
      </w:r>
    </w:p>
    <w:p w14:paraId="46B54EB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9.1-8</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盘形闸：盘形闸油管及连接处不渗油，盘型闸间隙正常、闸瓦磨损不超标，螺栓固定牢固不松动。</w:t>
      </w:r>
    </w:p>
    <w:p w14:paraId="716A953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10.减速机及联轴器：减速机及联轴器无异响、超温。</w:t>
      </w:r>
    </w:p>
    <w:p w14:paraId="5A75C8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11.稀油站控制盘：油温、油压正常，滤油压差不超标。</w:t>
      </w:r>
    </w:p>
    <w:p w14:paraId="446CF4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12.电动机：电机无异响、异味，温度正常；冷却油管不渗油，压力正常。</w:t>
      </w:r>
    </w:p>
    <w:p w14:paraId="4936DBF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13.整流变压器、平波电抗器、直流调速柜、低压配电柜、冷却风机：运行正常，无异响、异味，供电电压稳定。</w:t>
      </w:r>
    </w:p>
    <w:p w14:paraId="4F0B642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14.稀油站、润滑站：管路和阀组不渗油；油位、油温、油压正常。</w:t>
      </w:r>
    </w:p>
    <w:p w14:paraId="703F8CF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五、提升机司机正规操作</w:t>
      </w:r>
    </w:p>
    <w:p w14:paraId="0DDC7C5A">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color w:val="auto"/>
          <w:kern w:val="2"/>
          <w:sz w:val="28"/>
          <w:szCs w:val="28"/>
          <w:lang w:val="en-US" w:eastAsia="zh-CN" w:bidi="ar"/>
        </w:rPr>
        <w:t>（一）</w:t>
      </w:r>
      <w:r>
        <w:rPr>
          <w:rFonts w:hint="eastAsia" w:ascii="仿宋" w:hAnsi="仿宋" w:eastAsia="仿宋" w:cs="仿宋"/>
          <w:b/>
          <w:bCs w:val="0"/>
          <w:color w:val="auto"/>
          <w:kern w:val="2"/>
          <w:sz w:val="28"/>
          <w:szCs w:val="28"/>
          <w:lang w:val="en-US" w:eastAsia="zh-CN" w:bidi="ar"/>
        </w:rPr>
        <w:t>操作顺序</w:t>
      </w:r>
    </w:p>
    <w:p w14:paraId="6CF507A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检查巡视→</w:t>
      </w:r>
      <w:r>
        <w:rPr>
          <w:rFonts w:hint="eastAsia" w:ascii="仿宋" w:hAnsi="仿宋" w:eastAsia="仿宋" w:cs="仿宋"/>
          <w:color w:val="auto"/>
          <w:kern w:val="2"/>
          <w:sz w:val="28"/>
          <w:szCs w:val="28"/>
          <w:lang w:val="en-US" w:eastAsia="zh-CN" w:bidi="ar"/>
        </w:rPr>
        <w:t>正副司机就位</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确认装置电源</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确认操作手柄</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确认信号及提升方向</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提升机运转</w:t>
      </w:r>
      <w:r>
        <w:rPr>
          <w:rFonts w:hint="eastAsia" w:ascii="仿宋" w:hAnsi="仿宋" w:eastAsia="仿宋" w:cs="仿宋"/>
          <w:b w:val="0"/>
          <w:bCs/>
          <w:color w:val="auto"/>
          <w:kern w:val="2"/>
          <w:sz w:val="28"/>
          <w:szCs w:val="28"/>
          <w:lang w:val="en-US" w:eastAsia="zh-CN" w:bidi="ar"/>
        </w:rPr>
        <w:t>→设备</w:t>
      </w:r>
      <w:r>
        <w:rPr>
          <w:rFonts w:hint="eastAsia" w:ascii="仿宋" w:hAnsi="仿宋" w:eastAsia="仿宋" w:cs="仿宋"/>
          <w:color w:val="auto"/>
          <w:kern w:val="2"/>
          <w:sz w:val="28"/>
          <w:szCs w:val="28"/>
          <w:lang w:val="en-US" w:eastAsia="zh-CN" w:bidi="ar"/>
        </w:rPr>
        <w:t>状态检查</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停车</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设备闭锁。</w:t>
      </w:r>
    </w:p>
    <w:p w14:paraId="5FA533C3">
      <w:pPr>
        <w:keepNext w:val="0"/>
        <w:keepLines w:val="0"/>
        <w:pageBreakBefore w:val="0"/>
        <w:widowControl w:val="0"/>
        <w:numPr>
          <w:ilvl w:val="0"/>
          <w:numId w:val="21"/>
        </w:numPr>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提升机司机正规操作：</w:t>
      </w:r>
    </w:p>
    <w:p w14:paraId="4D8300AC">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w:t>
      </w:r>
      <w:r>
        <w:rPr>
          <w:rFonts w:hint="eastAsia" w:ascii="仿宋" w:hAnsi="仿宋" w:eastAsia="仿宋" w:cs="仿宋"/>
          <w:b w:val="0"/>
          <w:bCs/>
          <w:color w:val="auto"/>
          <w:kern w:val="2"/>
          <w:sz w:val="28"/>
          <w:szCs w:val="28"/>
          <w:lang w:val="en-US" w:eastAsia="zh-CN" w:bidi="ar"/>
        </w:rPr>
        <w:t>检查巡视：</w:t>
      </w:r>
      <w:r>
        <w:rPr>
          <w:rFonts w:hint="eastAsia" w:ascii="仿宋" w:hAnsi="仿宋" w:eastAsia="仿宋" w:cs="仿宋"/>
          <w:color w:val="auto"/>
          <w:kern w:val="2"/>
          <w:sz w:val="28"/>
          <w:szCs w:val="28"/>
          <w:lang w:val="en-US" w:eastAsia="zh-CN" w:bidi="ar"/>
        </w:rPr>
        <w:t>按照提升机司机提示卡中的开机前检查内容确认无误后，方可操作。</w:t>
      </w:r>
    </w:p>
    <w:p w14:paraId="155015DF">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2.正副司机就位：提升机提人及检修期间，操作司机及监护司机到位。</w:t>
      </w:r>
    </w:p>
    <w:p w14:paraId="560AB218">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3.确认装置电源：确定高压电源、快开、风机、励磁等正常后，合上安全回路。</w:t>
      </w:r>
    </w:p>
    <w:p w14:paraId="4966C9BC">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4.确认操作手柄：主令控制器放在零位、工作闸手柄放在零位。</w:t>
      </w:r>
    </w:p>
    <w:p w14:paraId="54E6E827">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5.确认信号及提升方向：主提升机司机必须规范作业，确认信号及提升方向。</w:t>
      </w:r>
    </w:p>
    <w:p w14:paraId="22995E1D">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提升机运转：正向开车时，确认信号后，将工作闸手柄向前推，主令向后拉，正向加速，主提升机全速运行到减速点后将减速运行，自动运行到停车位置；反向开车时，确认信号后，将工作闸手柄向前推，主令向前推，反向加速，主提升机全速运行到减速点后将减速运行，自动运行到停车位置。</w:t>
      </w:r>
    </w:p>
    <w:p w14:paraId="7A4CE273">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val="0"/>
          <w:bCs/>
          <w:color w:val="auto"/>
          <w:kern w:val="2"/>
          <w:sz w:val="28"/>
          <w:szCs w:val="28"/>
          <w:lang w:val="en-US" w:eastAsia="zh-CN" w:bidi="ar"/>
        </w:rPr>
        <w:t>7.设备</w:t>
      </w:r>
      <w:r>
        <w:rPr>
          <w:rFonts w:hint="eastAsia" w:ascii="仿宋" w:hAnsi="仿宋" w:eastAsia="仿宋" w:cs="仿宋"/>
          <w:color w:val="auto"/>
          <w:kern w:val="2"/>
          <w:sz w:val="28"/>
          <w:szCs w:val="28"/>
          <w:lang w:val="en-US" w:eastAsia="zh-CN" w:bidi="ar"/>
        </w:rPr>
        <w:t>状态检查：注意观察电流、电压、油压等读数应符合规定；各运转部位的声响应正常，无异常震动；各种保护装置的声光显示应正常；钢丝绳无异常跳动、滑绳。</w:t>
      </w:r>
    </w:p>
    <w:p w14:paraId="0031F828">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停车：正常停车时，接收到停车信号后，将主令推向零位，然后收工作闸；紧急停车时，用右脚踏下主控台下方急停开关，此时安全回路断电、高压馈电柜断电、提升机抱闸，完成紧急停车。然后将工作闸手柄、主令手柄置于零位，并联系维修人员、汇报工区值班人员，待故障处理完毕后方可试车。</w:t>
      </w:r>
    </w:p>
    <w:p w14:paraId="7A20D1F0">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9.设备闭锁：提升机长时间停机时，操作司机应及时切断各装置电源，防止提升机误动作，监护司机要及时提醒操作人规范操作。</w:t>
      </w:r>
    </w:p>
    <w:p w14:paraId="703A102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六、提升机司机操作过程中的安全注意事项：</w:t>
      </w:r>
    </w:p>
    <w:p w14:paraId="225C497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1.看仪表：</w:t>
      </w:r>
      <w:r>
        <w:rPr>
          <w:rFonts w:hint="eastAsia" w:ascii="仿宋" w:hAnsi="仿宋" w:eastAsia="仿宋" w:cs="仿宋"/>
          <w:color w:val="auto"/>
          <w:kern w:val="2"/>
          <w:sz w:val="28"/>
          <w:szCs w:val="28"/>
          <w:lang w:val="en-US" w:eastAsia="zh-CN" w:bidi="ar"/>
        </w:rPr>
        <w:t>随时观察电压表、电流表、压力显示、速度显示、信号、保护显示，出现异常立即停车或紧急制动。</w:t>
      </w:r>
    </w:p>
    <w:p w14:paraId="4515D55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2.看位置：</w:t>
      </w:r>
      <w:r>
        <w:rPr>
          <w:rFonts w:hint="eastAsia" w:ascii="仿宋" w:hAnsi="仿宋" w:eastAsia="仿宋" w:cs="仿宋"/>
          <w:color w:val="auto"/>
          <w:kern w:val="2"/>
          <w:sz w:val="28"/>
          <w:szCs w:val="28"/>
          <w:lang w:val="en-US" w:eastAsia="zh-CN" w:bidi="ar"/>
        </w:rPr>
        <w:t>随时观察提升容器位置和移动速度，出现异常立即停车。</w:t>
      </w:r>
    </w:p>
    <w:p w14:paraId="5BB9097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3.看钢丝绳：</w:t>
      </w:r>
      <w:r>
        <w:rPr>
          <w:rFonts w:hint="eastAsia" w:ascii="仿宋" w:hAnsi="仿宋" w:eastAsia="仿宋" w:cs="仿宋"/>
          <w:color w:val="auto"/>
          <w:kern w:val="2"/>
          <w:sz w:val="28"/>
          <w:szCs w:val="28"/>
          <w:lang w:val="en-US" w:eastAsia="zh-CN" w:bidi="ar"/>
        </w:rPr>
        <w:t>随时观察钢丝绳有无滑动、异常跳动及排列情况，出现异常立即停车。</w:t>
      </w:r>
    </w:p>
    <w:p w14:paraId="65F3E4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4.听信号：</w:t>
      </w:r>
      <w:r>
        <w:rPr>
          <w:rFonts w:hint="eastAsia" w:ascii="仿宋" w:hAnsi="仿宋" w:eastAsia="仿宋" w:cs="仿宋"/>
          <w:color w:val="auto"/>
          <w:kern w:val="2"/>
          <w:sz w:val="28"/>
          <w:szCs w:val="28"/>
          <w:lang w:val="en-US" w:eastAsia="zh-CN" w:bidi="ar"/>
        </w:rPr>
        <w:t>严格按信号指令操作，信号不清严禁开车。</w:t>
      </w:r>
    </w:p>
    <w:p w14:paraId="1974522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5.听异响：</w:t>
      </w:r>
      <w:r>
        <w:rPr>
          <w:rFonts w:hint="eastAsia" w:ascii="仿宋" w:hAnsi="仿宋" w:eastAsia="仿宋" w:cs="仿宋"/>
          <w:color w:val="auto"/>
          <w:kern w:val="2"/>
          <w:sz w:val="28"/>
          <w:szCs w:val="28"/>
          <w:lang w:val="en-US" w:eastAsia="zh-CN" w:bidi="ar"/>
        </w:rPr>
        <w:t>设备出现严重异响或非正常震动立即停车。</w:t>
      </w:r>
    </w:p>
    <w:p w14:paraId="196A9F1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6.嗅异味：</w:t>
      </w:r>
      <w:r>
        <w:rPr>
          <w:rFonts w:hint="eastAsia" w:ascii="仿宋" w:hAnsi="仿宋" w:eastAsia="仿宋" w:cs="仿宋"/>
          <w:color w:val="auto"/>
          <w:kern w:val="2"/>
          <w:sz w:val="28"/>
          <w:szCs w:val="28"/>
          <w:lang w:val="en-US" w:eastAsia="zh-CN" w:bidi="ar"/>
        </w:rPr>
        <w:t>闻到异常气味立即停车。</w:t>
      </w:r>
    </w:p>
    <w:p w14:paraId="0FE287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7.禁闲谈：</w:t>
      </w:r>
      <w:r>
        <w:rPr>
          <w:rFonts w:hint="eastAsia" w:ascii="仿宋" w:hAnsi="仿宋" w:eastAsia="仿宋" w:cs="仿宋"/>
          <w:color w:val="auto"/>
          <w:kern w:val="2"/>
          <w:sz w:val="28"/>
          <w:szCs w:val="28"/>
          <w:lang w:val="en-US" w:eastAsia="zh-CN" w:bidi="ar"/>
        </w:rPr>
        <w:t>严禁闲谈和接打电话；禁止对监护司机的示警性喊话进行对答。</w:t>
      </w:r>
    </w:p>
    <w:p w14:paraId="5F6F167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8.握手柄：</w:t>
      </w:r>
      <w:r>
        <w:rPr>
          <w:rFonts w:hint="eastAsia" w:ascii="仿宋" w:hAnsi="仿宋" w:eastAsia="仿宋" w:cs="仿宋"/>
          <w:color w:val="auto"/>
          <w:kern w:val="2"/>
          <w:sz w:val="28"/>
          <w:szCs w:val="28"/>
          <w:lang w:val="en-US" w:eastAsia="zh-CN" w:bidi="ar"/>
        </w:rPr>
        <w:t>手动方式开车时，左右手不准离开工作闸及主令控制手柄，加减速均匀。</w:t>
      </w:r>
    </w:p>
    <w:p w14:paraId="4E6795A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9.按急停：</w:t>
      </w:r>
      <w:r>
        <w:rPr>
          <w:rFonts w:hint="eastAsia" w:ascii="仿宋" w:hAnsi="仿宋" w:eastAsia="仿宋" w:cs="仿宋"/>
          <w:color w:val="auto"/>
          <w:kern w:val="2"/>
          <w:sz w:val="28"/>
          <w:szCs w:val="28"/>
          <w:lang w:val="en-US" w:eastAsia="zh-CN" w:bidi="ar"/>
        </w:rPr>
        <w:t>出现紧急情况或故障时按下急停按钮实施制动。</w:t>
      </w:r>
    </w:p>
    <w:p w14:paraId="0584003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10.坐姿：</w:t>
      </w:r>
      <w:r>
        <w:rPr>
          <w:rFonts w:hint="eastAsia" w:ascii="仿宋" w:hAnsi="仿宋" w:eastAsia="仿宋" w:cs="仿宋"/>
          <w:color w:val="auto"/>
          <w:kern w:val="2"/>
          <w:sz w:val="28"/>
          <w:szCs w:val="28"/>
          <w:lang w:val="en-US" w:eastAsia="zh-CN" w:bidi="ar"/>
        </w:rPr>
        <w:t>保持坐姿端正，双脚应平放地面，不得随意晃动。</w:t>
      </w:r>
    </w:p>
    <w:p w14:paraId="672F34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11.位置：</w:t>
      </w:r>
      <w:r>
        <w:rPr>
          <w:rFonts w:hint="eastAsia" w:ascii="仿宋" w:hAnsi="仿宋" w:eastAsia="仿宋" w:cs="仿宋"/>
          <w:color w:val="auto"/>
          <w:kern w:val="2"/>
          <w:sz w:val="28"/>
          <w:szCs w:val="28"/>
          <w:lang w:val="en-US" w:eastAsia="zh-CN" w:bidi="ar"/>
        </w:rPr>
        <w:t>主司机严禁离开操作台，监护司机不得随意离开监护位置。</w:t>
      </w:r>
    </w:p>
    <w:p w14:paraId="093940A1">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七、全部注意事项</w:t>
      </w:r>
    </w:p>
    <w:p w14:paraId="25D767C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1.正常开车时，开车方式选择开关打在常规位置或打在自动位置；检修时，开车方式选择开关打在手动位置。</w:t>
      </w:r>
    </w:p>
    <w:p w14:paraId="5FBE7E4D">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2.出现故障或中途停车后，应立即将开车方式选择开关打到手动位置，按照手动操作正常开车；故障解除后，先手动试车，确认正常后方可转换到自动开车方式。</w:t>
      </w:r>
    </w:p>
    <w:p w14:paraId="43C7636E">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3.提升机自动运行时，如出现故障或事故报警，应将“速度选择”开关打在半速位置，此时主提升机开始减速，当减速到爬行速度时，将开车方式选择开关打到手动，用主令控制停车。严禁直接停车，避免直接停车带来的巨大冲击。</w:t>
      </w:r>
    </w:p>
    <w:p w14:paraId="222A45D8">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4.调速柜送电后，如有故障，按调速柜操作面板的复位键复位。</w:t>
      </w:r>
    </w:p>
    <w:p w14:paraId="1833B8FE">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5.安全回路掉电后，按急停恢复按钮，安全条件具备指示灯亮起后，将安全继电器启动按钮按下，安全继电器指示灯亮，可进入开车状态。</w:t>
      </w:r>
    </w:p>
    <w:p w14:paraId="008A667E">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6.主控台接收到正确的开车信号后，将在屏幕上显示打点次数，提升司机必须看清打点次数，并且信号指示灯亮起后，方可进行操作，信号不明不准开车。</w:t>
      </w:r>
    </w:p>
    <w:p w14:paraId="65CA8566">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7.提升机运行时，应仔细观察主控台参数及监控画面，注意听清打点信号和语音提示。</w:t>
      </w:r>
    </w:p>
    <w:p w14:paraId="5BD86597">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8.上、下井口信号工打停车点，提升机自动减速停车；打事故点时，提升机将实现安全制动。</w:t>
      </w:r>
    </w:p>
    <w:p w14:paraId="350E289B">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9.提升机司机应遵守以下安全守则：</w:t>
      </w:r>
    </w:p>
    <w:p w14:paraId="39508EAC">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①</w:t>
      </w:r>
      <w:r>
        <w:rPr>
          <w:rFonts w:hint="eastAsia" w:ascii="仿宋" w:hAnsi="仿宋" w:eastAsia="仿宋" w:cs="仿宋"/>
          <w:b w:val="0"/>
          <w:color w:val="auto"/>
          <w:kern w:val="2"/>
          <w:sz w:val="28"/>
          <w:szCs w:val="28"/>
          <w:lang w:val="en-US" w:eastAsia="zh-CN" w:bidi="ar"/>
        </w:rPr>
        <w:t>严格执行交接班制度，接班后应进行一次空载试车(连续作业除外)，并做好交接班记录。</w:t>
      </w:r>
    </w:p>
    <w:p w14:paraId="7F8B39F7">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②</w:t>
      </w:r>
      <w:r>
        <w:rPr>
          <w:rFonts w:hint="eastAsia" w:ascii="仿宋" w:hAnsi="仿宋" w:eastAsia="仿宋" w:cs="仿宋"/>
          <w:b w:val="0"/>
          <w:color w:val="auto"/>
          <w:kern w:val="2"/>
          <w:sz w:val="28"/>
          <w:szCs w:val="28"/>
          <w:lang w:val="en-US" w:eastAsia="zh-CN" w:bidi="ar"/>
        </w:rPr>
        <w:t>禁止超负荷运行(电流不超限)。</w:t>
      </w:r>
    </w:p>
    <w:p w14:paraId="56AA079B">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③</w:t>
      </w:r>
      <w:r>
        <w:rPr>
          <w:rFonts w:hint="eastAsia" w:ascii="仿宋" w:hAnsi="仿宋" w:eastAsia="仿宋" w:cs="仿宋"/>
          <w:b w:val="0"/>
          <w:color w:val="auto"/>
          <w:kern w:val="2"/>
          <w:sz w:val="28"/>
          <w:szCs w:val="28"/>
          <w:lang w:val="en-US" w:eastAsia="zh-CN" w:bidi="ar"/>
        </w:rPr>
        <w:t>非紧急情况下，运行中不得使用急停按钮或脚踏急停。</w:t>
      </w:r>
    </w:p>
    <w:p w14:paraId="0262D58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④</w:t>
      </w:r>
      <w:r>
        <w:rPr>
          <w:rFonts w:hint="eastAsia" w:ascii="仿宋" w:hAnsi="仿宋" w:eastAsia="仿宋" w:cs="仿宋"/>
          <w:b w:val="0"/>
          <w:color w:val="auto"/>
          <w:kern w:val="2"/>
          <w:sz w:val="28"/>
          <w:szCs w:val="28"/>
          <w:lang w:val="en-US" w:eastAsia="zh-CN" w:bidi="ar"/>
        </w:rPr>
        <w:t>不得擅自调整制动闸。</w:t>
      </w:r>
    </w:p>
    <w:p w14:paraId="3EA640A7">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⑤</w:t>
      </w:r>
      <w:r>
        <w:rPr>
          <w:rFonts w:hint="eastAsia" w:ascii="仿宋" w:hAnsi="仿宋" w:eastAsia="仿宋" w:cs="仿宋"/>
          <w:b w:val="0"/>
          <w:color w:val="auto"/>
          <w:kern w:val="2"/>
          <w:sz w:val="28"/>
          <w:szCs w:val="28"/>
          <w:lang w:val="en-US" w:eastAsia="zh-CN" w:bidi="ar"/>
        </w:rPr>
        <w:t>不得随意变更设备整定值。</w:t>
      </w:r>
    </w:p>
    <w:p w14:paraId="4FB57250">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⑥</w:t>
      </w:r>
      <w:r>
        <w:rPr>
          <w:rFonts w:hint="eastAsia" w:ascii="仿宋" w:hAnsi="仿宋" w:eastAsia="仿宋" w:cs="仿宋"/>
          <w:b w:val="0"/>
          <w:color w:val="auto"/>
          <w:kern w:val="2"/>
          <w:sz w:val="28"/>
          <w:szCs w:val="28"/>
          <w:lang w:val="en-US" w:eastAsia="zh-CN" w:bidi="ar"/>
        </w:rPr>
        <w:t>检修后必须试车，并按规定进行提升机保护试验。</w:t>
      </w:r>
    </w:p>
    <w:p w14:paraId="4FE0039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⑦</w:t>
      </w:r>
      <w:r>
        <w:rPr>
          <w:rFonts w:hint="eastAsia" w:ascii="仿宋" w:hAnsi="仿宋" w:eastAsia="仿宋" w:cs="仿宋"/>
          <w:b w:val="0"/>
          <w:color w:val="auto"/>
          <w:kern w:val="2"/>
          <w:sz w:val="28"/>
          <w:szCs w:val="28"/>
          <w:lang w:val="en-US" w:eastAsia="zh-CN" w:bidi="ar"/>
        </w:rPr>
        <w:t>维修人员进入滚筒工作前,必须关闭液压站,锁住提升机滚简。工作完毕后，试车时应缓慢起动。</w:t>
      </w:r>
    </w:p>
    <w:p w14:paraId="07D371C9">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⑧</w:t>
      </w:r>
      <w:r>
        <w:rPr>
          <w:rFonts w:hint="eastAsia" w:ascii="仿宋" w:hAnsi="仿宋" w:eastAsia="仿宋" w:cs="仿宋"/>
          <w:b w:val="0"/>
          <w:color w:val="auto"/>
          <w:kern w:val="2"/>
          <w:sz w:val="28"/>
          <w:szCs w:val="28"/>
          <w:lang w:val="en-US" w:eastAsia="zh-CN" w:bidi="ar"/>
        </w:rPr>
        <w:t>停车期间司机离开操作位置时，必须将安全闸手把移至施闸位置，主令控制器手把置于中间零位。</w:t>
      </w:r>
    </w:p>
    <w:p w14:paraId="57A91512">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10.司机应熟悉各种信号，操作时必须严格按照信号执行:</w:t>
      </w:r>
    </w:p>
    <w:p w14:paraId="60E5F84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①</w:t>
      </w:r>
      <w:r>
        <w:rPr>
          <w:rFonts w:hint="eastAsia" w:ascii="仿宋" w:hAnsi="仿宋" w:eastAsia="仿宋" w:cs="仿宋"/>
          <w:b w:val="0"/>
          <w:color w:val="auto"/>
          <w:kern w:val="2"/>
          <w:sz w:val="28"/>
          <w:szCs w:val="28"/>
          <w:lang w:val="en-US" w:eastAsia="zh-CN" w:bidi="ar"/>
        </w:rPr>
        <w:t>当接收信号不清或有疑问时，应立即用电话与上井口信号工联系、重发信号，再进行操作。</w:t>
      </w:r>
    </w:p>
    <w:p w14:paraId="20B5C50D">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②</w:t>
      </w:r>
      <w:r>
        <w:rPr>
          <w:rFonts w:hint="eastAsia" w:ascii="仿宋" w:hAnsi="仿宋" w:eastAsia="仿宋" w:cs="仿宋"/>
          <w:b w:val="0"/>
          <w:color w:val="auto"/>
          <w:kern w:val="2"/>
          <w:sz w:val="28"/>
          <w:szCs w:val="28"/>
          <w:lang w:val="en-US" w:eastAsia="zh-CN" w:bidi="ar"/>
        </w:rPr>
        <w:t>接到信号因故未能执行时，应通知上井口信号工原信号作废，重发信号，再进行操作。</w:t>
      </w:r>
    </w:p>
    <w:p w14:paraId="647E5AC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③</w:t>
      </w:r>
      <w:r>
        <w:rPr>
          <w:rFonts w:hint="eastAsia" w:ascii="仿宋" w:hAnsi="仿宋" w:eastAsia="仿宋" w:cs="仿宋"/>
          <w:b w:val="0"/>
          <w:color w:val="auto"/>
          <w:kern w:val="2"/>
          <w:sz w:val="28"/>
          <w:szCs w:val="28"/>
          <w:lang w:val="en-US" w:eastAsia="zh-CN" w:bidi="ar"/>
        </w:rPr>
        <w:t>因检修需要，操作提升机时应先通知各信号工，经信号工确认及检修负责人同意后，再经上井口信号工发点开车。</w:t>
      </w:r>
    </w:p>
    <w:p w14:paraId="6101945F">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11.提升机司机应遵守以下操作纪律:</w:t>
      </w:r>
    </w:p>
    <w:p w14:paraId="3D37A5F0">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①</w:t>
      </w:r>
      <w:r>
        <w:rPr>
          <w:rFonts w:hint="eastAsia" w:ascii="仿宋" w:hAnsi="仿宋" w:eastAsia="仿宋" w:cs="仿宋"/>
          <w:b w:val="0"/>
          <w:color w:val="auto"/>
          <w:kern w:val="2"/>
          <w:sz w:val="28"/>
          <w:szCs w:val="28"/>
          <w:lang w:val="en-US" w:eastAsia="zh-CN" w:bidi="ar"/>
        </w:rPr>
        <w:t>司机操作时应精神集中，手不离手把，严禁与他人闲谈，开车时不得再接打电话，司机不允许连班顶岗。</w:t>
      </w:r>
    </w:p>
    <w:p w14:paraId="66F95859">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②</w:t>
      </w:r>
      <w:r>
        <w:rPr>
          <w:rFonts w:hint="eastAsia" w:ascii="仿宋" w:hAnsi="仿宋" w:eastAsia="仿宋" w:cs="仿宋"/>
          <w:b w:val="0"/>
          <w:color w:val="auto"/>
          <w:kern w:val="2"/>
          <w:sz w:val="28"/>
          <w:szCs w:val="28"/>
          <w:lang w:val="en-US" w:eastAsia="zh-CN" w:bidi="ar"/>
        </w:rPr>
        <w:t>手动操作期间，不得离开操作台及做其他与操作无关的事，操作台上不得放置与操作无关的物品，严禁放置水杯。</w:t>
      </w:r>
    </w:p>
    <w:p w14:paraId="2FC5C6D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八、作业后确认</w:t>
      </w:r>
    </w:p>
    <w:p w14:paraId="562067E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1.主令控制器、工作闸：主令控制器至零位，手柄至施闸位置。</w:t>
      </w:r>
    </w:p>
    <w:p w14:paraId="77EEDCF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2.提升容器位置指示：提升容器位置指示正确。</w:t>
      </w:r>
    </w:p>
    <w:p w14:paraId="4DB63DD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3.按钮、转换开关：按钮、转换开关位置正确。</w:t>
      </w:r>
    </w:p>
    <w:p w14:paraId="5A97D3F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4.主控台仪表：仪表指示正常。</w:t>
      </w:r>
    </w:p>
    <w:p w14:paraId="7AADF06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5.冷却风机：提升机长时间停机时，断开冷却风机电源。</w:t>
      </w:r>
    </w:p>
    <w:p w14:paraId="411ECCD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6.液压系统、润滑系统：液压站、稀油站、润滑站电源断开。</w:t>
      </w:r>
    </w:p>
    <w:p w14:paraId="7A5EA3E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7.装置电源：提升机长时间停机时，断开各装置电源。</w:t>
      </w:r>
    </w:p>
    <w:p w14:paraId="371BCB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8.安全回路：安全回路闭锁。</w:t>
      </w:r>
    </w:p>
    <w:p w14:paraId="7E9C62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九、事故案例教育</w:t>
      </w:r>
    </w:p>
    <w:p w14:paraId="6624411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（一）事故经过</w:t>
      </w:r>
    </w:p>
    <w:p w14:paraId="522F240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bookmarkStart w:id="401" w:name="_Toc4592"/>
      <w:bookmarkStart w:id="402" w:name="_Toc8216"/>
      <w:r>
        <w:rPr>
          <w:rFonts w:hint="eastAsia" w:ascii="仿宋" w:hAnsi="仿宋" w:eastAsia="仿宋" w:cs="仿宋"/>
          <w:b w:val="0"/>
          <w:bCs/>
          <w:color w:val="auto"/>
          <w:kern w:val="2"/>
          <w:sz w:val="28"/>
          <w:szCs w:val="28"/>
          <w:lang w:val="en-US" w:eastAsia="zh-CN" w:bidi="ar"/>
        </w:rPr>
        <w:t>2019年9月22日夜班，熊善辉带领欧阳可辉、黎生校、郭哭根三人到主立井乘罐笼下井，在下放过程中因提升钢丝绳断裂，导致坠罐。当时萍乡队中班4名工人何学群、龙水萍、刘国萍、陈上义在井底车场等待乘罐上井，目睹了坠罐。随即打电话向井口汇报，井口得知坠罐信息后，电话向萍乡队领队陈茂军汇报，陈茂军随后报告了煤矿副矿长刘青平，刘青平立刻打电话到井下了解情况。井下工人说罐笼掉下去了，罐笼里面的人没有反应了，刘青平随即通知法人代表金长青、矿长龚海华、总工程师付瑞平等人，并赶往主立井，在再次电话确认事故后，安排井下萍乡队4名工人将熊善辉等人搬运至井底大巷，等待救援。</w:t>
      </w:r>
      <w:bookmarkEnd w:id="401"/>
      <w:bookmarkEnd w:id="402"/>
    </w:p>
    <w:p w14:paraId="432332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（二）事故原因</w:t>
      </w:r>
    </w:p>
    <w:p w14:paraId="7E891433">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1.主立井提升钢丝绳断裂、防坠器未有效动作，导致坠罐事故。</w:t>
      </w:r>
    </w:p>
    <w:p w14:paraId="193B7D8C">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2.煤矿未严格按规定对主立井提升系统进行日常维护保养和检查，未发现主立井提升钢丝绳在楔形绳环出口处锈蚀严重、断丝较多及防坠器启动传动机构锈蚀严重等事故隐患。</w:t>
      </w:r>
    </w:p>
    <w:p w14:paraId="5D81BF0B">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3.煤矿未执行丰城市煤管局要求9月20日16时起停止井下一切作业的监管指令。</w:t>
      </w:r>
    </w:p>
    <w:p w14:paraId="59E9D950">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4.丰城市煤管局、董家镇政府对驻矿安监员落实驻矿职责监督检查不力。</w:t>
      </w:r>
    </w:p>
    <w:p w14:paraId="21E8657F">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①丰城市煤管局派驻的驻矿管理员未严格履职，在全市煤矿停产期间，没有按要求对平安煤矿主立井提升绞车上锁。</w:t>
      </w:r>
    </w:p>
    <w:p w14:paraId="284488F5">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②董家镇政府派驻的驻矿安监员对平安煤矿关闭退出期间的安全监管不严，未认真督促煤矿履行主体责任，开展隐患排查治理，落实关于加强立井提升管理的相关要求。</w:t>
      </w:r>
    </w:p>
    <w:p w14:paraId="551F9F4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（三）防范措施</w:t>
      </w:r>
    </w:p>
    <w:p w14:paraId="0F970C97">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1.牢固树立安全发展理念，严格按照江西省煤矿淘汰退出实施方案，依法推动辖区内小煤矿关闭退出。</w:t>
      </w:r>
    </w:p>
    <w:p w14:paraId="32BA78BC">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2.严格落实煤矿企业安全生产主体责任。煤矿企业要进一步增强依法办矿、依法管理意识，健全完善安全生产责任制，加强隐患排查治理，消除事故隐患。</w:t>
      </w:r>
    </w:p>
    <w:p w14:paraId="34B29069">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3.加强提升运输系统管理。严格按照《煤矿安全规程》有关规定对提升设备设施进行维护检查，严禁使用国家明令禁止使用的设备和工艺。</w:t>
      </w:r>
    </w:p>
    <w:p w14:paraId="502CFFDB">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切实履行煤矿监管职责。进一步加强属地监管，按照“谁主管、谁负责”和“管行业必须管安全”的要求，加强对辖区煤矿的安全监管、执法检查，严厉打击证照不全、未经批准擅自复工复产、擅自增加采掘工作面、“五假五超”、拒不执行监管监察指令等违法违规行为。</w:t>
      </w:r>
    </w:p>
    <w:p w14:paraId="5FC124C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十、常见三违</w:t>
      </w:r>
    </w:p>
    <w:p w14:paraId="5E30559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（一）安全生产管理人员、特种作业人员、班组长无证上岗或持假证上岗作业；</w:t>
      </w:r>
    </w:p>
    <w:p w14:paraId="40A19A5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（二）人为影响及破坏安全、监测、监控设施正常使用的；</w:t>
      </w:r>
    </w:p>
    <w:p w14:paraId="35243F8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（三）机械设备的旋转部位未按措施规定加挡板或护栏防护的；</w:t>
      </w:r>
    </w:p>
    <w:p w14:paraId="1A640B9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（四）人员酒后上岗；</w:t>
      </w:r>
    </w:p>
    <w:p w14:paraId="15974AE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（五）连续两个班次上岗作业的；</w:t>
      </w:r>
    </w:p>
    <w:p w14:paraId="65E05F6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（六）不按规定操作信号；</w:t>
      </w:r>
    </w:p>
    <w:p w14:paraId="7C76572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（七）违反安全规程、作业规程、操作规程、施工措施及有关规定的其它行为；</w:t>
      </w:r>
    </w:p>
    <w:p w14:paraId="415933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（八）要害岗位携带手机上岗的；</w:t>
      </w:r>
    </w:p>
    <w:p w14:paraId="039FC37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（九）因操作不当损坏安全设施；</w:t>
      </w:r>
    </w:p>
    <w:p w14:paraId="4C14AA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（十）地面严禁烟火区域或井口20米范围内吸烟、点火；</w:t>
      </w:r>
    </w:p>
    <w:p w14:paraId="4D272A9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（十一）对抵制或举报制止违章的人员进行打击报复。</w:t>
      </w:r>
      <w:bookmarkStart w:id="403" w:name="_Toc28702"/>
      <w:bookmarkEnd w:id="403"/>
      <w:bookmarkStart w:id="404" w:name="_Toc6371"/>
      <w:bookmarkEnd w:id="404"/>
      <w:bookmarkStart w:id="405" w:name="_Toc23739"/>
      <w:bookmarkEnd w:id="405"/>
      <w:bookmarkStart w:id="406" w:name="_Toc13670"/>
      <w:bookmarkStart w:id="407" w:name="_Toc11388"/>
    </w:p>
    <w:p w14:paraId="1A26C62E">
      <w:pPr>
        <w:rPr>
          <w:rFonts w:hint="eastAsia"/>
          <w:color w:val="auto"/>
          <w:lang w:val="en-US" w:eastAsia="zh-CN"/>
        </w:rPr>
      </w:pPr>
      <w:r>
        <w:rPr>
          <w:rFonts w:hint="eastAsia"/>
          <w:color w:val="auto"/>
          <w:lang w:val="en-US" w:eastAsia="zh-CN"/>
        </w:rPr>
        <w:br w:type="page"/>
      </w:r>
    </w:p>
    <w:p w14:paraId="0225F348">
      <w:pPr>
        <w:pStyle w:val="17"/>
        <w:bidi w:val="0"/>
        <w:outlineLvl w:val="1"/>
        <w:rPr>
          <w:rFonts w:hint="eastAsia" w:cs="Times New Roman"/>
          <w:color w:val="auto"/>
          <w:lang w:val="en-US" w:eastAsia="zh-CN"/>
        </w:rPr>
      </w:pPr>
      <w:bookmarkStart w:id="408" w:name="_Toc13280"/>
      <w:bookmarkStart w:id="409" w:name="_Toc6667"/>
      <w:bookmarkStart w:id="410" w:name="_Toc18739"/>
      <w:r>
        <w:rPr>
          <w:rFonts w:hint="eastAsia" w:cs="Times New Roman"/>
          <w:color w:val="auto"/>
          <w:lang w:val="en-US" w:eastAsia="zh-CN"/>
        </w:rPr>
        <w:t>主通风机司机</w:t>
      </w:r>
      <w:bookmarkEnd w:id="406"/>
      <w:bookmarkEnd w:id="407"/>
      <w:bookmarkEnd w:id="408"/>
      <w:bookmarkEnd w:id="409"/>
      <w:bookmarkEnd w:id="410"/>
    </w:p>
    <w:tbl>
      <w:tblPr>
        <w:tblStyle w:val="12"/>
        <w:tblW w:w="879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34"/>
        <w:gridCol w:w="2988"/>
        <w:gridCol w:w="1467"/>
        <w:gridCol w:w="3202"/>
      </w:tblGrid>
      <w:tr w14:paraId="6FC892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 w:hRule="atLeast"/>
        </w:trPr>
        <w:tc>
          <w:tcPr>
            <w:tcW w:w="8791"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B21B9E">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val="0"/>
                <w:bCs w:val="0"/>
                <w:color w:val="auto"/>
                <w:kern w:val="0"/>
                <w:sz w:val="21"/>
                <w:szCs w:val="21"/>
                <w:lang w:val="en-US" w:eastAsia="zh-CN" w:bidi="ar"/>
              </w:rPr>
              <w:t>主通风司机岗位风险告知卡</w:t>
            </w:r>
          </w:p>
        </w:tc>
      </w:tr>
      <w:tr w14:paraId="1F308E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77" w:hRule="atLeast"/>
        </w:trPr>
        <w:tc>
          <w:tcPr>
            <w:tcW w:w="1134" w:type="dxa"/>
            <w:tcBorders>
              <w:top w:val="nil"/>
              <w:left w:val="single" w:color="auto" w:sz="4" w:space="0"/>
              <w:bottom w:val="single" w:color="auto" w:sz="4" w:space="0"/>
              <w:right w:val="single" w:color="auto" w:sz="4" w:space="0"/>
            </w:tcBorders>
            <w:shd w:val="clear" w:color="auto" w:fill="auto"/>
            <w:vAlign w:val="center"/>
          </w:tcPr>
          <w:p w14:paraId="41B6AD7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风险</w:t>
            </w:r>
          </w:p>
          <w:p w14:paraId="4C5065A1">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类型</w:t>
            </w:r>
          </w:p>
        </w:tc>
        <w:tc>
          <w:tcPr>
            <w:tcW w:w="2988" w:type="dxa"/>
            <w:tcBorders>
              <w:top w:val="nil"/>
              <w:left w:val="nil"/>
              <w:bottom w:val="single" w:color="auto" w:sz="4" w:space="0"/>
              <w:right w:val="single" w:color="auto" w:sz="4" w:space="0"/>
            </w:tcBorders>
            <w:shd w:val="clear" w:color="auto" w:fill="auto"/>
            <w:vAlign w:val="center"/>
          </w:tcPr>
          <w:p w14:paraId="21DF9C49">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机电、职业病危害、其它</w:t>
            </w:r>
          </w:p>
        </w:tc>
        <w:tc>
          <w:tcPr>
            <w:tcW w:w="1467" w:type="dxa"/>
            <w:tcBorders>
              <w:top w:val="nil"/>
              <w:left w:val="nil"/>
              <w:bottom w:val="single" w:color="auto" w:sz="4" w:space="0"/>
              <w:right w:val="single" w:color="auto" w:sz="4" w:space="0"/>
            </w:tcBorders>
            <w:shd w:val="clear" w:color="auto" w:fill="auto"/>
            <w:vAlign w:val="center"/>
          </w:tcPr>
          <w:p w14:paraId="48199BE5">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事故</w:t>
            </w:r>
          </w:p>
          <w:p w14:paraId="51F1D6EA">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报告</w:t>
            </w:r>
          </w:p>
        </w:tc>
        <w:tc>
          <w:tcPr>
            <w:tcW w:w="3202" w:type="dxa"/>
            <w:tcBorders>
              <w:top w:val="nil"/>
              <w:left w:val="nil"/>
              <w:bottom w:val="single" w:color="auto" w:sz="4" w:space="0"/>
              <w:right w:val="single" w:color="auto" w:sz="4" w:space="0"/>
            </w:tcBorders>
            <w:shd w:val="clear" w:color="auto" w:fill="auto"/>
            <w:vAlign w:val="center"/>
          </w:tcPr>
          <w:p w14:paraId="3EC79B28">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调度室：8650200、8650202、“#”</w:t>
            </w:r>
          </w:p>
          <w:p w14:paraId="7B8D22DE">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工区值班：8650484</w:t>
            </w:r>
          </w:p>
          <w:p w14:paraId="7E9434A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安监科值班：8650512</w:t>
            </w:r>
          </w:p>
        </w:tc>
      </w:tr>
      <w:tr w14:paraId="280C34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9"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13F8A64">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主要危害因素</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047D196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管控措施</w:t>
            </w:r>
          </w:p>
        </w:tc>
      </w:tr>
      <w:tr w14:paraId="3BCB4F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9"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DC76434">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1.未持证上岗；监测系统、高、低压配电柜运行不正常就开机。</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7AB28483">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1.持证上岗；加强对监测系统、高、低压配电设施的维护管理，保证运行正常。</w:t>
            </w:r>
          </w:p>
        </w:tc>
      </w:tr>
      <w:tr w14:paraId="012389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5"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716F034">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2.风机运行不正常未及时汇报或处理；仪表指示不正确，消防器材、绝缘用具不齐全、不完好。</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2DD81FAD">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2.风机必须正常运行，发现运行不正常必须立即汇报处理；仪表指示准确，按时检查消防器材、绝缘用具，保证齐全、完好。</w:t>
            </w:r>
          </w:p>
        </w:tc>
      </w:tr>
      <w:tr w14:paraId="602B44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7"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E04643B">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3.风门提升系统运行不正常未及时汇报或处理。</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262AB12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3.风门提升系统必须正常运行，发现运行不正常要立即汇报处理；巡检人员及时巡查、汇报。</w:t>
            </w:r>
          </w:p>
        </w:tc>
      </w:tr>
      <w:tr w14:paraId="6C33F7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4"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44A3F6E">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4.温度超限不及时处理；电机有异响。</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4EA82CF8">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4.加强巡回检查，密切关注主通风机电机绕组、电机轴承、轴承箱温度、电机声音、震动等情况，发现异常及时汇报。</w:t>
            </w:r>
          </w:p>
        </w:tc>
      </w:tr>
      <w:tr w14:paraId="358444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0"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F74BCC5">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5.主通风机各种保护装置、仪表、闭锁装置不齐全有效，传感器不灵敏可靠。</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17CAF45F">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5.上岗后，要检查主通风机保护装置、闭锁装置、仪表和传感器是否齐全有效，显示正常。</w:t>
            </w:r>
          </w:p>
        </w:tc>
      </w:tr>
      <w:tr w14:paraId="22E9EF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77"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F55B2AC">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6.主通风机运行时，清理传动轴附近的卫生。</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7FEEEF38">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6.施工人员必须着装整齐，劳保用品齐全，熟悉设备机械性能和操作方法，转动部位安设防护设施，转动部位运行时，严禁检修和清扫卫生。</w:t>
            </w:r>
          </w:p>
        </w:tc>
      </w:tr>
      <w:tr w14:paraId="56C5C4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7"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B95615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7.人员巡检时，地面有油污、杂物。</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44C1B5ED">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7.人员配备合格的劳动防护用品，做好现场的管理工作，人员行走时注意力要集中，严禁嬉戏打闹，行走时观察好路况，确保道路畅通、安全，才能通过。</w:t>
            </w:r>
          </w:p>
        </w:tc>
      </w:tr>
      <w:tr w14:paraId="596BDD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680B732">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8.吸音隔音装置不齐全或个人防护用品使用不当。</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64BC3B6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 xml:space="preserve">8.作业人员配备合格的劳动防护用品，安设隔音和吸音材料降低噪音。    </w:t>
            </w:r>
          </w:p>
        </w:tc>
      </w:tr>
      <w:tr w14:paraId="49850D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2"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EF90AAC">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9.不停电或不戴绝缘手套打扫电气设备卫生。</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2A48907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9.打扫电气设备卫生时，必须停电或佩戴绝缘手套、穿绝缘靴。</w:t>
            </w:r>
          </w:p>
        </w:tc>
      </w:tr>
      <w:tr w14:paraId="0B9D59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4"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BF03F9B">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0"/>
                <w:sz w:val="21"/>
                <w:szCs w:val="21"/>
                <w:lang w:val="en-US" w:eastAsia="zh-CN" w:bidi="ar"/>
              </w:rPr>
              <w:t>10.电气设备接地装置失效。</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2AE90409">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10.电气设备外壳(包括</w:t>
            </w:r>
            <w:r>
              <w:rPr>
                <w:rFonts w:hint="eastAsia" w:ascii="仿宋" w:hAnsi="仿宋" w:eastAsia="仿宋" w:cs="仿宋"/>
                <w:color w:val="auto"/>
                <w:kern w:val="2"/>
                <w:sz w:val="21"/>
                <w:szCs w:val="21"/>
                <w:u w:val="none"/>
                <w:lang w:val="en-US" w:eastAsia="zh-CN" w:bidi="ar"/>
              </w:rPr>
              <w:fldChar w:fldCharType="begin"/>
            </w:r>
            <w:r>
              <w:rPr>
                <w:rFonts w:hint="eastAsia" w:ascii="仿宋" w:hAnsi="仿宋" w:eastAsia="仿宋" w:cs="仿宋"/>
                <w:color w:val="auto"/>
                <w:kern w:val="2"/>
                <w:sz w:val="21"/>
                <w:szCs w:val="21"/>
                <w:u w:val="none"/>
                <w:lang w:val="en-US" w:eastAsia="zh-CN" w:bidi="ar"/>
              </w:rPr>
              <w:instrText xml:space="preserve"> HYPERLINK "https://baike.so.com/doc/5381191-5617500.html" </w:instrText>
            </w:r>
            <w:r>
              <w:rPr>
                <w:rFonts w:hint="eastAsia" w:ascii="仿宋" w:hAnsi="仿宋" w:eastAsia="仿宋" w:cs="仿宋"/>
                <w:color w:val="auto"/>
                <w:kern w:val="2"/>
                <w:sz w:val="21"/>
                <w:szCs w:val="21"/>
                <w:u w:val="none"/>
                <w:lang w:val="en-US" w:eastAsia="zh-CN" w:bidi="ar"/>
              </w:rPr>
              <w:fldChar w:fldCharType="separate"/>
            </w:r>
            <w:r>
              <w:rPr>
                <w:rStyle w:val="15"/>
                <w:rFonts w:hint="eastAsia" w:ascii="仿宋" w:hAnsi="仿宋" w:eastAsia="仿宋" w:cs="仿宋"/>
                <w:color w:val="auto"/>
                <w:kern w:val="2"/>
                <w:sz w:val="21"/>
                <w:szCs w:val="21"/>
                <w:u w:val="none"/>
              </w:rPr>
              <w:t>电缆</w:t>
            </w:r>
            <w:r>
              <w:rPr>
                <w:rFonts w:hint="eastAsia" w:ascii="仿宋" w:hAnsi="仿宋" w:eastAsia="仿宋" w:cs="仿宋"/>
                <w:color w:val="auto"/>
                <w:kern w:val="2"/>
                <w:sz w:val="21"/>
                <w:szCs w:val="21"/>
                <w:u w:val="none"/>
                <w:lang w:val="en-US" w:eastAsia="zh-CN" w:bidi="ar"/>
              </w:rPr>
              <w:fldChar w:fldCharType="end"/>
            </w:r>
            <w:r>
              <w:rPr>
                <w:rFonts w:hint="eastAsia" w:ascii="仿宋" w:hAnsi="仿宋" w:eastAsia="仿宋" w:cs="仿宋"/>
                <w:color w:val="auto"/>
                <w:kern w:val="0"/>
                <w:sz w:val="21"/>
                <w:szCs w:val="21"/>
                <w:lang w:val="en-US" w:eastAsia="zh-CN" w:bidi="ar"/>
              </w:rPr>
              <w:t>皮)必须接地，定期检查接地装置，保证安全可靠。</w:t>
            </w:r>
          </w:p>
        </w:tc>
      </w:tr>
      <w:tr w14:paraId="4863E7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4"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0D57EBF">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11.主通风机及通风机房附近有易燃物。</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14:paraId="39FABAFC">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11.主通风机及通风机房附近20米范围内不得有烟火或使用火炉，附近10米范围内应清理干净,风道无杂物。</w:t>
            </w:r>
          </w:p>
        </w:tc>
      </w:tr>
      <w:tr w14:paraId="698FBB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5" w:hRule="atLeast"/>
        </w:trPr>
        <w:tc>
          <w:tcPr>
            <w:tcW w:w="1134" w:type="dxa"/>
            <w:tcBorders>
              <w:top w:val="nil"/>
              <w:left w:val="single" w:color="auto" w:sz="4" w:space="0"/>
              <w:bottom w:val="single" w:color="auto" w:sz="4" w:space="0"/>
              <w:right w:val="single" w:color="auto" w:sz="4" w:space="0"/>
            </w:tcBorders>
            <w:shd w:val="clear" w:color="auto" w:fill="auto"/>
            <w:vAlign w:val="center"/>
          </w:tcPr>
          <w:p w14:paraId="01425EBA">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2C28476C">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657" w:type="dxa"/>
            <w:gridSpan w:val="3"/>
            <w:tcBorders>
              <w:top w:val="single" w:color="auto" w:sz="4" w:space="0"/>
              <w:left w:val="nil"/>
              <w:bottom w:val="single" w:color="auto" w:sz="4" w:space="0"/>
              <w:right w:val="single" w:color="auto" w:sz="4" w:space="0"/>
            </w:tcBorders>
            <w:shd w:val="clear" w:color="auto" w:fill="auto"/>
            <w:vAlign w:val="center"/>
          </w:tcPr>
          <w:p w14:paraId="08187F5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22B6F8B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3F8EDE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95" w:hRule="atLeast"/>
        </w:trPr>
        <w:tc>
          <w:tcPr>
            <w:tcW w:w="1134" w:type="dxa"/>
            <w:tcBorders>
              <w:top w:val="nil"/>
              <w:left w:val="single" w:color="auto" w:sz="4" w:space="0"/>
              <w:bottom w:val="single" w:color="auto" w:sz="4" w:space="0"/>
              <w:right w:val="single" w:color="auto" w:sz="4" w:space="0"/>
            </w:tcBorders>
            <w:shd w:val="clear" w:color="auto" w:fill="auto"/>
            <w:vAlign w:val="center"/>
          </w:tcPr>
          <w:p w14:paraId="21B3FF7C">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应急</w:t>
            </w:r>
          </w:p>
          <w:p w14:paraId="2F95E5D2">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处置</w:t>
            </w:r>
          </w:p>
          <w:p w14:paraId="6FC45B52">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措施</w:t>
            </w:r>
          </w:p>
        </w:tc>
        <w:tc>
          <w:tcPr>
            <w:tcW w:w="7657" w:type="dxa"/>
            <w:gridSpan w:val="3"/>
            <w:tcBorders>
              <w:top w:val="single" w:color="auto" w:sz="4" w:space="0"/>
              <w:left w:val="nil"/>
              <w:bottom w:val="single" w:color="auto" w:sz="4" w:space="0"/>
              <w:right w:val="single" w:color="auto" w:sz="4" w:space="0"/>
            </w:tcBorders>
            <w:shd w:val="clear" w:color="auto" w:fill="auto"/>
            <w:vAlign w:val="center"/>
          </w:tcPr>
          <w:p w14:paraId="4D23AC3B">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1.出现紧急情况时，应立即停止工作，采取安全处理后，方可继续施工。</w:t>
            </w:r>
          </w:p>
          <w:p w14:paraId="1AE088FE">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突发事故时，现场人员应立即采取有效措施安全避险，并及时向矿调度室汇报灾情，通知工区值班人员。听从安排，积极开展现场急救、互救工作，有序撤离。撤退前应断开与救灾无关的电源，告知矿调度避灾行走路线与目的地。</w:t>
            </w:r>
          </w:p>
        </w:tc>
      </w:tr>
    </w:tbl>
    <w:p w14:paraId="6BFA474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 xml:space="preserve"> </w:t>
      </w:r>
    </w:p>
    <w:tbl>
      <w:tblPr>
        <w:tblStyle w:val="12"/>
        <w:tblW w:w="8853"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554"/>
        <w:gridCol w:w="4299"/>
      </w:tblGrid>
      <w:tr w14:paraId="0D0E7C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885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AD68203">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1" w:firstLineChars="10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lang w:val="en-US" w:eastAsia="zh-CN" w:bidi="ar"/>
              </w:rPr>
              <w:t>主通风机司机安全提示卡</w:t>
            </w:r>
          </w:p>
        </w:tc>
      </w:tr>
      <w:tr w14:paraId="48066D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554" w:type="dxa"/>
            <w:tcBorders>
              <w:top w:val="single" w:color="auto" w:sz="4" w:space="0"/>
              <w:left w:val="single" w:color="auto" w:sz="4" w:space="0"/>
              <w:bottom w:val="single" w:color="auto" w:sz="4" w:space="0"/>
              <w:right w:val="single" w:color="auto" w:sz="4" w:space="0"/>
            </w:tcBorders>
            <w:shd w:val="clear" w:color="auto" w:fill="auto"/>
            <w:vAlign w:val="center"/>
          </w:tcPr>
          <w:p w14:paraId="0C6E3469">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开机前检查</w:t>
            </w:r>
          </w:p>
        </w:tc>
        <w:tc>
          <w:tcPr>
            <w:tcW w:w="4299" w:type="dxa"/>
            <w:tcBorders>
              <w:top w:val="single" w:color="auto" w:sz="4" w:space="0"/>
              <w:left w:val="nil"/>
              <w:bottom w:val="single" w:color="auto" w:sz="4" w:space="0"/>
              <w:right w:val="single" w:color="auto" w:sz="4" w:space="0"/>
            </w:tcBorders>
            <w:shd w:val="clear" w:color="auto" w:fill="auto"/>
            <w:vAlign w:val="center"/>
          </w:tcPr>
          <w:p w14:paraId="3B1511DA">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停机后确认</w:t>
            </w:r>
          </w:p>
        </w:tc>
      </w:tr>
      <w:tr w14:paraId="3DA899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8"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4F8CE1B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1.电话</w:t>
            </w:r>
          </w:p>
        </w:tc>
        <w:tc>
          <w:tcPr>
            <w:tcW w:w="4299" w:type="dxa"/>
            <w:tcBorders>
              <w:top w:val="nil"/>
              <w:left w:val="nil"/>
              <w:bottom w:val="single" w:color="auto" w:sz="4" w:space="0"/>
              <w:right w:val="single" w:color="auto" w:sz="4" w:space="0"/>
            </w:tcBorders>
            <w:shd w:val="clear" w:color="auto" w:fill="auto"/>
            <w:vAlign w:val="center"/>
          </w:tcPr>
          <w:p w14:paraId="4A1B84E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★1.仪表、指示灯</w:t>
            </w:r>
          </w:p>
        </w:tc>
      </w:tr>
      <w:tr w14:paraId="251309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7"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0011A79B">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★2.监控设备</w:t>
            </w:r>
          </w:p>
        </w:tc>
        <w:tc>
          <w:tcPr>
            <w:tcW w:w="4299" w:type="dxa"/>
            <w:tcBorders>
              <w:top w:val="nil"/>
              <w:left w:val="nil"/>
              <w:bottom w:val="single" w:color="auto" w:sz="4" w:space="0"/>
              <w:right w:val="single" w:color="auto" w:sz="4" w:space="0"/>
            </w:tcBorders>
            <w:shd w:val="clear" w:color="auto" w:fill="auto"/>
            <w:vAlign w:val="center"/>
          </w:tcPr>
          <w:p w14:paraId="55CF0EC1">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★2.监测监控</w:t>
            </w:r>
          </w:p>
        </w:tc>
      </w:tr>
      <w:tr w14:paraId="3E283E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58520E3E">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★3.仪表、指示灯</w:t>
            </w:r>
          </w:p>
        </w:tc>
        <w:tc>
          <w:tcPr>
            <w:tcW w:w="4299" w:type="dxa"/>
            <w:tcBorders>
              <w:top w:val="nil"/>
              <w:left w:val="nil"/>
              <w:bottom w:val="single" w:color="auto" w:sz="4" w:space="0"/>
              <w:right w:val="single" w:color="auto" w:sz="4" w:space="0"/>
            </w:tcBorders>
            <w:shd w:val="clear" w:color="auto" w:fill="auto"/>
            <w:vAlign w:val="center"/>
          </w:tcPr>
          <w:p w14:paraId="425AFEC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★3.启闭风门</w:t>
            </w:r>
          </w:p>
        </w:tc>
      </w:tr>
      <w:tr w14:paraId="794302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36D58FF8">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★4.启闭风门</w:t>
            </w:r>
          </w:p>
        </w:tc>
        <w:tc>
          <w:tcPr>
            <w:tcW w:w="4299" w:type="dxa"/>
            <w:tcBorders>
              <w:top w:val="nil"/>
              <w:left w:val="nil"/>
              <w:bottom w:val="single" w:color="auto" w:sz="4" w:space="0"/>
              <w:right w:val="single" w:color="auto" w:sz="4" w:space="0"/>
            </w:tcBorders>
            <w:shd w:val="clear" w:color="auto" w:fill="auto"/>
            <w:vAlign w:val="center"/>
          </w:tcPr>
          <w:p w14:paraId="20A3ADF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14:paraId="34FCEB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11D1B64C">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★5.防爆盖</w:t>
            </w:r>
          </w:p>
        </w:tc>
        <w:tc>
          <w:tcPr>
            <w:tcW w:w="4299" w:type="dxa"/>
            <w:tcBorders>
              <w:top w:val="nil"/>
              <w:left w:val="nil"/>
              <w:bottom w:val="single" w:color="auto" w:sz="4" w:space="0"/>
              <w:right w:val="single" w:color="auto" w:sz="4" w:space="0"/>
            </w:tcBorders>
            <w:shd w:val="clear" w:color="auto" w:fill="auto"/>
            <w:vAlign w:val="center"/>
          </w:tcPr>
          <w:p w14:paraId="5681499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14:paraId="2536AC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2C5DB96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★6.轴承箱油脂</w:t>
            </w:r>
          </w:p>
        </w:tc>
        <w:tc>
          <w:tcPr>
            <w:tcW w:w="4299" w:type="dxa"/>
            <w:tcBorders>
              <w:top w:val="nil"/>
              <w:left w:val="nil"/>
              <w:bottom w:val="single" w:color="auto" w:sz="4" w:space="0"/>
              <w:right w:val="single" w:color="auto" w:sz="4" w:space="0"/>
            </w:tcBorders>
            <w:shd w:val="clear" w:color="auto" w:fill="auto"/>
            <w:vAlign w:val="center"/>
          </w:tcPr>
          <w:p w14:paraId="51BB799A">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14:paraId="64B328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4C683F63">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★7.传动轴</w:t>
            </w:r>
          </w:p>
        </w:tc>
        <w:tc>
          <w:tcPr>
            <w:tcW w:w="4299" w:type="dxa"/>
            <w:tcBorders>
              <w:top w:val="nil"/>
              <w:left w:val="nil"/>
              <w:bottom w:val="single" w:color="auto" w:sz="4" w:space="0"/>
              <w:right w:val="single" w:color="auto" w:sz="4" w:space="0"/>
            </w:tcBorders>
            <w:shd w:val="clear" w:color="auto" w:fill="auto"/>
            <w:vAlign w:val="center"/>
          </w:tcPr>
          <w:p w14:paraId="10920CD4">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14:paraId="01AA06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9"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6A4A68AE">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8.绝缘用具</w:t>
            </w:r>
          </w:p>
        </w:tc>
        <w:tc>
          <w:tcPr>
            <w:tcW w:w="4299" w:type="dxa"/>
            <w:tcBorders>
              <w:top w:val="nil"/>
              <w:left w:val="nil"/>
              <w:bottom w:val="single" w:color="auto" w:sz="4" w:space="0"/>
              <w:right w:val="single" w:color="auto" w:sz="4" w:space="0"/>
            </w:tcBorders>
            <w:shd w:val="clear" w:color="auto" w:fill="auto"/>
            <w:vAlign w:val="center"/>
          </w:tcPr>
          <w:p w14:paraId="5E3464B3">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14:paraId="1385F4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14:paraId="2A8DCDD1">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9.消防器材</w:t>
            </w:r>
          </w:p>
        </w:tc>
        <w:tc>
          <w:tcPr>
            <w:tcW w:w="4299" w:type="dxa"/>
            <w:tcBorders>
              <w:top w:val="nil"/>
              <w:left w:val="nil"/>
              <w:bottom w:val="single" w:color="auto" w:sz="4" w:space="0"/>
              <w:right w:val="single" w:color="auto" w:sz="4" w:space="0"/>
            </w:tcBorders>
            <w:shd w:val="clear" w:color="auto" w:fill="auto"/>
            <w:vAlign w:val="center"/>
          </w:tcPr>
          <w:p w14:paraId="04714A82">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14:paraId="502E2E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56" w:hRule="atLeast"/>
          <w:jc w:val="center"/>
        </w:trPr>
        <w:tc>
          <w:tcPr>
            <w:tcW w:w="8853" w:type="dxa"/>
            <w:gridSpan w:val="2"/>
            <w:tcBorders>
              <w:top w:val="nil"/>
              <w:left w:val="single" w:color="auto" w:sz="4" w:space="0"/>
              <w:bottom w:val="single" w:color="auto" w:sz="4" w:space="0"/>
              <w:right w:val="single" w:color="auto" w:sz="4" w:space="0"/>
            </w:tcBorders>
            <w:shd w:val="clear" w:color="auto" w:fill="auto"/>
            <w:vAlign w:val="center"/>
          </w:tcPr>
          <w:p w14:paraId="51C1D42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注：第一次按开机前内容逐项检查并确认，存在问题整改后再确认；中间再次操作只检查带“★”部分；停风机或倒风机按停机后内容逐项检查并确认。</w:t>
            </w:r>
          </w:p>
        </w:tc>
      </w:tr>
    </w:tbl>
    <w:p w14:paraId="1B4384D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 xml:space="preserve"> </w:t>
      </w:r>
    </w:p>
    <w:tbl>
      <w:tblPr>
        <w:tblStyle w:val="12"/>
        <w:tblW w:w="87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775"/>
      </w:tblGrid>
      <w:tr w14:paraId="42A1A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5D8BE7E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val="0"/>
                <w:bCs/>
                <w:color w:val="auto"/>
                <w:kern w:val="0"/>
                <w:sz w:val="21"/>
                <w:szCs w:val="21"/>
                <w:lang w:val="en-US" w:eastAsia="zh-CN" w:bidi="ar"/>
              </w:rPr>
              <w:t>主通风机单元检查表</w:t>
            </w:r>
          </w:p>
        </w:tc>
      </w:tr>
      <w:tr w14:paraId="1344A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57275761">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1.记录</w:t>
            </w:r>
          </w:p>
        </w:tc>
      </w:tr>
      <w:tr w14:paraId="30C636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01FF3BCF">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2.外观</w:t>
            </w:r>
          </w:p>
        </w:tc>
      </w:tr>
      <w:tr w14:paraId="18CD8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5459813E">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3.启闭风门</w:t>
            </w:r>
          </w:p>
        </w:tc>
      </w:tr>
      <w:tr w14:paraId="57FB05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59D371D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4.防爆盖</w:t>
            </w:r>
          </w:p>
        </w:tc>
      </w:tr>
      <w:tr w14:paraId="5188F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33056A7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5.轴承箱油脂</w:t>
            </w:r>
          </w:p>
        </w:tc>
      </w:tr>
      <w:tr w14:paraId="0662B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2FE8A89C">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6.变频器频率、负压、电压、电流</w:t>
            </w:r>
          </w:p>
        </w:tc>
      </w:tr>
      <w:tr w14:paraId="78171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3711C58A">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7.各轴承温度、电机绕组温度、震动</w:t>
            </w:r>
          </w:p>
        </w:tc>
      </w:tr>
      <w:tr w14:paraId="32D9C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5FEF8DBC">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8.各控制柜</w:t>
            </w:r>
          </w:p>
        </w:tc>
      </w:tr>
      <w:tr w14:paraId="63F4EF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2A3F7B2A">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9.机房卫生</w:t>
            </w:r>
          </w:p>
        </w:tc>
      </w:tr>
      <w:tr w14:paraId="463E0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14:paraId="414A9563">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注：接班后检查一次。</w:t>
            </w:r>
          </w:p>
        </w:tc>
      </w:tr>
    </w:tbl>
    <w:p w14:paraId="6D6A80C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right="0"/>
        <w:jc w:val="both"/>
        <w:textAlignment w:val="auto"/>
        <w:outlineLvl w:val="9"/>
        <w:rPr>
          <w:rFonts w:hint="eastAsia" w:ascii="仿宋" w:hAnsi="仿宋" w:eastAsia="仿宋" w:cs="仿宋"/>
          <w:b/>
          <w:bCs w:val="0"/>
          <w:color w:val="auto"/>
          <w:kern w:val="2"/>
          <w:sz w:val="21"/>
          <w:szCs w:val="21"/>
          <w:lang w:val="en-US" w:eastAsia="zh-CN" w:bidi="ar"/>
        </w:rPr>
      </w:pPr>
    </w:p>
    <w:tbl>
      <w:tblPr>
        <w:tblStyle w:val="12"/>
        <w:tblW w:w="8760" w:type="dxa"/>
        <w:tblInd w:w="-1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147"/>
        <w:gridCol w:w="1226"/>
        <w:gridCol w:w="6387"/>
      </w:tblGrid>
      <w:tr w14:paraId="18EBBC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05" w:hRule="atLeast"/>
        </w:trPr>
        <w:tc>
          <w:tcPr>
            <w:tcW w:w="876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77E48DAE">
            <w:pPr>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jc w:val="center"/>
              <w:textAlignment w:val="auto"/>
              <w:outlineLvl w:val="9"/>
              <w:rPr>
                <w:rFonts w:hint="default" w:ascii="仿宋" w:hAnsi="仿宋" w:eastAsia="仿宋" w:cs="宋体"/>
                <w:b/>
                <w:color w:val="auto"/>
                <w:kern w:val="2"/>
                <w:sz w:val="28"/>
                <w:szCs w:val="28"/>
              </w:rPr>
            </w:pPr>
            <w:r>
              <w:rPr>
                <w:rFonts w:hint="default" w:ascii="仿宋" w:hAnsi="仿宋" w:eastAsia="仿宋" w:cs="仿宋"/>
                <w:b/>
                <w:bCs w:val="0"/>
                <w:color w:val="auto"/>
                <w:kern w:val="0"/>
                <w:sz w:val="21"/>
                <w:szCs w:val="21"/>
                <w:lang w:val="en-US" w:eastAsia="zh-CN" w:bidi="ar"/>
              </w:rPr>
              <w:t>主通风机司机操作过程注意事项</w:t>
            </w:r>
          </w:p>
        </w:tc>
      </w:tr>
      <w:tr w14:paraId="5E5A72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14:paraId="70120159">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2"/>
                <w:szCs w:val="22"/>
                <w:lang w:val="en-US" w:eastAsia="zh-CN" w:bidi="ar"/>
              </w:rPr>
            </w:pPr>
            <w:r>
              <w:rPr>
                <w:rFonts w:hint="default" w:ascii="仿宋" w:hAnsi="仿宋" w:eastAsia="仿宋" w:cs="仿宋"/>
                <w:b/>
                <w:bCs/>
                <w:color w:val="auto"/>
                <w:kern w:val="0"/>
                <w:sz w:val="22"/>
                <w:szCs w:val="22"/>
                <w:lang w:val="en-US" w:eastAsia="zh-CN" w:bidi="ar"/>
              </w:rPr>
              <w:t>序号</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14:paraId="1E7EDC48">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2"/>
                <w:szCs w:val="22"/>
                <w:lang w:val="en-US" w:eastAsia="zh-CN" w:bidi="ar"/>
              </w:rPr>
            </w:pPr>
            <w:r>
              <w:rPr>
                <w:rFonts w:hint="default" w:ascii="仿宋" w:hAnsi="仿宋" w:eastAsia="仿宋" w:cs="仿宋"/>
                <w:b/>
                <w:bCs/>
                <w:color w:val="auto"/>
                <w:kern w:val="0"/>
                <w:sz w:val="22"/>
                <w:szCs w:val="22"/>
                <w:lang w:val="en-US" w:eastAsia="zh-CN" w:bidi="ar"/>
              </w:rPr>
              <w:t>提示词</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14:paraId="03B45AF4">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2"/>
                <w:szCs w:val="22"/>
                <w:lang w:val="en-US" w:eastAsia="zh-CN" w:bidi="ar"/>
              </w:rPr>
            </w:pPr>
            <w:r>
              <w:rPr>
                <w:rFonts w:hint="default" w:ascii="仿宋" w:hAnsi="仿宋" w:eastAsia="仿宋" w:cs="仿宋"/>
                <w:b/>
                <w:bCs/>
                <w:color w:val="auto"/>
                <w:kern w:val="0"/>
                <w:sz w:val="22"/>
                <w:szCs w:val="22"/>
                <w:lang w:val="en-US" w:eastAsia="zh-CN" w:bidi="ar"/>
              </w:rPr>
              <w:t>主要内容</w:t>
            </w:r>
          </w:p>
        </w:tc>
      </w:tr>
      <w:tr w14:paraId="2D548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14:paraId="2CDFF89C">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1</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14:paraId="18D3BFE4">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看参数</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14:paraId="6A172A2D">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注意观察电压、电流、频率、温度、风压、故障显示，出现异常立即停机汇报并开启备用风机。</w:t>
            </w:r>
          </w:p>
          <w:p w14:paraId="6A6DA16B">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p>
        </w:tc>
      </w:tr>
      <w:tr w14:paraId="0DD7BB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05"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14:paraId="6F25EDA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2</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14:paraId="2FC3CBDB">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看设施</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14:paraId="796B02C1">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注意检查风门和防爆盖、轴承箱油位、电动机、控制柜、风机外壳、各紧固螺栓、消音器、各附属设施是否正常。</w:t>
            </w:r>
          </w:p>
        </w:tc>
      </w:tr>
      <w:tr w14:paraId="13869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14:paraId="58287A2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3</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14:paraId="24D062E5">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听异响</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14:paraId="2976550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 xml:space="preserve">设备出现严重异响或非正常震动，立即停机汇报并开启备用风机。                                           </w:t>
            </w:r>
          </w:p>
        </w:tc>
      </w:tr>
      <w:tr w14:paraId="018E0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05"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14:paraId="50E9F7D4">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4</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14:paraId="7C954646">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嗅异味</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14:paraId="4EC62E99">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 xml:space="preserve">闻到电动机、控制柜等出现焦糊、塑料等刺鼻异常气味时，立即停机汇报并开启备用风机。 </w:t>
            </w:r>
          </w:p>
        </w:tc>
      </w:tr>
      <w:tr w14:paraId="148EE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14:paraId="348A00F4">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5</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top"/>
          </w:tcPr>
          <w:p w14:paraId="548A5B57">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位置</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top"/>
          </w:tcPr>
          <w:p w14:paraId="49A58980">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严禁离开工作岗位。</w:t>
            </w:r>
          </w:p>
        </w:tc>
      </w:tr>
    </w:tbl>
    <w:p w14:paraId="6D2BD7D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一、一般规定</w:t>
      </w:r>
    </w:p>
    <w:p w14:paraId="5E7A9A8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（一）</w:t>
      </w:r>
      <w:r>
        <w:rPr>
          <w:rFonts w:hint="eastAsia" w:ascii="仿宋" w:hAnsi="仿宋" w:eastAsia="仿宋" w:cs="仿宋"/>
          <w:color w:val="auto"/>
          <w:kern w:val="2"/>
          <w:sz w:val="28"/>
          <w:szCs w:val="28"/>
          <w:lang w:val="en-US" w:eastAsia="zh-CN" w:bidi="ar"/>
        </w:rPr>
        <w:t>员工上班时应服装统一，洁净得体，衣扣整齐，不敞胸露怀，不挽袖挽裤，不穿奇装异服，不穿短裤、背心、拖鞋。</w:t>
      </w:r>
    </w:p>
    <w:p w14:paraId="242DC61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（二）</w:t>
      </w:r>
      <w:r>
        <w:rPr>
          <w:rFonts w:hint="eastAsia" w:ascii="仿宋" w:hAnsi="仿宋" w:eastAsia="仿宋" w:cs="仿宋"/>
          <w:color w:val="auto"/>
          <w:kern w:val="2"/>
          <w:sz w:val="28"/>
          <w:szCs w:val="28"/>
          <w:lang w:val="en-US" w:eastAsia="zh-CN" w:bidi="ar"/>
        </w:rPr>
        <w:t>上班时必须忠于职守,不聚众聊天、不得干私活、睡觉、不做与工作无关的其它事情。</w:t>
      </w:r>
    </w:p>
    <w:p w14:paraId="1F769E8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（三）</w:t>
      </w:r>
      <w:r>
        <w:rPr>
          <w:rFonts w:hint="eastAsia" w:ascii="仿宋" w:hAnsi="仿宋" w:eastAsia="仿宋" w:cs="仿宋"/>
          <w:color w:val="auto"/>
          <w:kern w:val="2"/>
          <w:sz w:val="28"/>
          <w:szCs w:val="28"/>
          <w:lang w:val="en-US" w:eastAsia="zh-CN" w:bidi="ar"/>
        </w:rPr>
        <w:t>公共场合不要勾肩搭背,不在楼道内大声喧哗。</w:t>
      </w:r>
    </w:p>
    <w:p w14:paraId="1ACCD92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（四）</w:t>
      </w:r>
      <w:r>
        <w:rPr>
          <w:rFonts w:hint="eastAsia" w:ascii="仿宋" w:hAnsi="仿宋" w:eastAsia="仿宋" w:cs="仿宋"/>
          <w:color w:val="auto"/>
          <w:kern w:val="2"/>
          <w:sz w:val="28"/>
          <w:szCs w:val="28"/>
          <w:lang w:val="en-US" w:eastAsia="zh-CN" w:bidi="ar"/>
        </w:rPr>
        <w:t>保持干净、整洁、优雅的工作环境，工作场所的物品不随意摆放，不杂乱堆积，不堆放与工作无关的用品，做到条理清楚。</w:t>
      </w:r>
    </w:p>
    <w:p w14:paraId="6A94CE1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（五）</w:t>
      </w:r>
      <w:r>
        <w:rPr>
          <w:rFonts w:hint="eastAsia" w:ascii="仿宋" w:hAnsi="仿宋" w:eastAsia="仿宋" w:cs="仿宋"/>
          <w:color w:val="auto"/>
          <w:kern w:val="2"/>
          <w:sz w:val="28"/>
          <w:szCs w:val="28"/>
          <w:lang w:val="en-US" w:eastAsia="zh-CN" w:bidi="ar"/>
        </w:rPr>
        <w:t>保持通风及空气清洁，不在禁止吸烟的场所内吸烟，烟头、杂物不乱扔乱放。</w:t>
      </w:r>
    </w:p>
    <w:p w14:paraId="06FFFBC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（六）</w:t>
      </w:r>
      <w:r>
        <w:rPr>
          <w:rFonts w:hint="eastAsia" w:ascii="仿宋" w:hAnsi="仿宋" w:eastAsia="仿宋" w:cs="仿宋"/>
          <w:color w:val="auto"/>
          <w:kern w:val="2"/>
          <w:sz w:val="28"/>
          <w:szCs w:val="28"/>
          <w:lang w:val="en-US" w:eastAsia="zh-CN" w:bidi="ar"/>
        </w:rPr>
        <w:t>全体员工必须按照考勤要求上班，不迟到、早退。</w:t>
      </w:r>
    </w:p>
    <w:p w14:paraId="3D61E9E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（七）</w:t>
      </w:r>
      <w:r>
        <w:rPr>
          <w:rFonts w:hint="eastAsia" w:ascii="仿宋" w:hAnsi="仿宋" w:eastAsia="仿宋" w:cs="仿宋"/>
          <w:color w:val="auto"/>
          <w:kern w:val="2"/>
          <w:sz w:val="28"/>
          <w:szCs w:val="28"/>
          <w:lang w:val="en-US" w:eastAsia="zh-CN" w:bidi="ar"/>
        </w:rPr>
        <w:t>班前、班中严禁喝酒。</w:t>
      </w:r>
    </w:p>
    <w:p w14:paraId="23AF213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（八）</w:t>
      </w:r>
      <w:r>
        <w:rPr>
          <w:rFonts w:hint="eastAsia" w:ascii="仿宋" w:hAnsi="仿宋" w:eastAsia="仿宋" w:cs="仿宋"/>
          <w:color w:val="auto"/>
          <w:kern w:val="2"/>
          <w:sz w:val="28"/>
          <w:szCs w:val="28"/>
          <w:lang w:val="en-US" w:eastAsia="zh-CN" w:bidi="ar"/>
        </w:rPr>
        <w:t>地面岗位工上班期间严禁抽烟及携带烟草、火机、手机。</w:t>
      </w:r>
    </w:p>
    <w:p w14:paraId="1AB69AF0">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二、薄弱人物排查治理办法</w:t>
      </w:r>
    </w:p>
    <w:p w14:paraId="7D7B1D5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（一）薄弱人物范畴</w:t>
      </w:r>
    </w:p>
    <w:p w14:paraId="6E56773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1.嗜好饮酒的“迷糊人”：是指爱好喝酒、酗酒甚至容易醉酒的人。</w:t>
      </w:r>
    </w:p>
    <w:p w14:paraId="48FBFCD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2.婚期前后的“甜蜜人”：是指正在筹备或者刚刚完成婚姻大事的人。</w:t>
      </w:r>
    </w:p>
    <w:p w14:paraId="3100C5F1">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3.家有丧事的“失落人”：是指家庭有亲人离世导致情绪失落波动。</w:t>
      </w:r>
    </w:p>
    <w:p w14:paraId="4D46BD3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4.经常违章的“大胆人”：是指自律能力差，对违章屡教不改的人。</w:t>
      </w:r>
    </w:p>
    <w:p w14:paraId="790EE50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5.挨批受罚的“情绪人”：是指受到批评处罚情绪低落的人。</w:t>
      </w:r>
    </w:p>
    <w:p w14:paraId="672F9D1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6.重新上岗的“三长人”：是指长伤、长病、长旷的返岗人员。</w:t>
      </w:r>
    </w:p>
    <w:p w14:paraId="17B06A0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7.极度疲劳的“硬撑人”：是指班后从事体力劳动极度疲惫的人。</w:t>
      </w:r>
    </w:p>
    <w:p w14:paraId="2560E1A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8.临近退休的“老年人”：是指年龄偏大（50岁以上）的老工人。</w:t>
      </w:r>
    </w:p>
    <w:p w14:paraId="21CD4EF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9.随时发病的“体弱人”：是指被医院诊断患有高血压、心脏病、脑血栓、抑郁症等病情的人。</w:t>
      </w:r>
    </w:p>
    <w:p w14:paraId="031DAEC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10.家境特殊的“纠结人”：是指频发家庭矛盾影响工作情绪的人。</w:t>
      </w:r>
    </w:p>
    <w:p w14:paraId="55F6F23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11.岗位调整的“转行人”：是指转换了工作岗位、改变了工作性质的人。</w:t>
      </w:r>
    </w:p>
    <w:p w14:paraId="25FD2D4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12.初来乍到的“新工人”：是指刚入矿或者从外单位调入的人。</w:t>
      </w:r>
    </w:p>
    <w:p w14:paraId="1E15F9A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13.班前教育的“落空人”：是指未参加班前会的人。</w:t>
      </w:r>
    </w:p>
    <w:p w14:paraId="2AEC8C0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14.心力交瘁的“上访人”：是指由于社会矛盾得不到及时解决有上访倾向的人。</w:t>
      </w:r>
    </w:p>
    <w:p w14:paraId="22DB693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15.八小时以外的“网络人”：是指工作之余，喜欢上网的年轻员工，班前休息不好，上班精力不集中。</w:t>
      </w:r>
    </w:p>
    <w:p w14:paraId="1BD3E870">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16.性格粗暴的“鲁莽人”：是指性格简单粗暴的员工，工作急躁毛躁浮躁。</w:t>
      </w:r>
    </w:p>
    <w:p w14:paraId="11F6E7B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17.反应迟钝的“麻木人”：是指工作麻痹大意、马虎凑付不在乎、反应迟钝的员工。</w:t>
      </w:r>
    </w:p>
    <w:p w14:paraId="60A3BC8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18.不安心工作的“跳槽人”：是指不安心本职工作，意欲调动工作的人。</w:t>
      </w:r>
    </w:p>
    <w:p w14:paraId="789B2DB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19.不服从管理的“顶牛人”：是指与管理人员或员工有矛盾，不服从管理的员工。</w:t>
      </w:r>
    </w:p>
    <w:p w14:paraId="2AF729F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8"/>
          <w:szCs w:val="28"/>
          <w:lang w:val="en-US" w:eastAsia="zh-CN" w:bidi="ar"/>
        </w:rPr>
        <w:t>20.肩负第二职业的“经济人”：是指挣钱不要命，工作之余另有第二职业的人。</w:t>
      </w:r>
    </w:p>
    <w:p w14:paraId="50BBBA5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（二）实施建档管理</w:t>
      </w:r>
    </w:p>
    <w:p w14:paraId="05B3257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6948EFE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（三）具体排查方式</w:t>
      </w:r>
    </w:p>
    <w:p w14:paraId="4C2EE00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3869AB8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7E2F6B7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7E61F25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61B7067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6DF3E66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3D0581D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（四）薄弱人员管控措施</w:t>
      </w:r>
    </w:p>
    <w:p w14:paraId="42B5375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1.对于岗前饮酒者，坚决禁止上岗作业。轻者责令其回家休息，重者在区队原地休息或者安排人员护送回家。</w:t>
      </w:r>
    </w:p>
    <w:p w14:paraId="1FCEA57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2.对于有喜事或丧事的人员，要通过面谈掌握当事人的心理状态，无异议后方可下井。</w:t>
      </w:r>
    </w:p>
    <w:p w14:paraId="3E448041">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3.对于经常违章的人员，要加强日常的教育，在班前会上注重提问，安排岗位要合理，原则上做到“疑人不用”。</w:t>
      </w:r>
    </w:p>
    <w:p w14:paraId="136C0D3E">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4.对于受到批评和处罚的员工，要加强心理疏导，让当事人放下思想包袱，解除心里抱怨，避免带着情绪上岗。</w:t>
      </w:r>
    </w:p>
    <w:p w14:paraId="6ACF412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5.对于“三长”人员，必须加强岗前教育培训，考试合格后方可上岗。上岗过程中，要作为重点的巡查盯靠对象，实施跟踪观察。</w:t>
      </w:r>
    </w:p>
    <w:p w14:paraId="29F1060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14:paraId="00989C7E">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7.对于家庭矛盾突出的员工，应通过谈心或者家访的方式，及时为员工解决家庭矛盾，解开症结，保证员工轻装上岗。</w:t>
      </w:r>
    </w:p>
    <w:p w14:paraId="0810F5B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8.对于临近退休的老工人，在安排岗位上首要考虑安全因素，原则上不安排攀高、抬重、高温等急难险重类型的作业。</w:t>
      </w:r>
    </w:p>
    <w:p w14:paraId="6CA1BC6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9.对于转岗员工当成新工人尽心管理，严格履行以师带徒合同，在老工人的带领下作业。</w:t>
      </w:r>
    </w:p>
    <w:p w14:paraId="7E97CF3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2B802B4E">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11.凡是没有参加班前会学习教育的人员，一律严禁上岗作业。</w:t>
      </w:r>
    </w:p>
    <w:p w14:paraId="44F72E6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12.对于喜欢上网的年轻员工，要加强引导，多沟通勤交流，促使他们培养健康向上的生活工作情趣。</w:t>
      </w:r>
    </w:p>
    <w:p w14:paraId="6E38728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13.对于有上访倾向的人，要及时了解情况，掌握思想状态，活血化瘀，必要时可申请法律援助，解决实际困难。</w:t>
      </w:r>
    </w:p>
    <w:p w14:paraId="4387228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14:paraId="6CBA03B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15.对于不服从管理的员工，单位管理人员要及时做好一人一事的思想工作，解决存在的矛盾，使其心悦诚服、心情舒畅的投入工作。</w:t>
      </w:r>
    </w:p>
    <w:p w14:paraId="315967D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14:paraId="60D0CCD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三、安全风险辨识与管控措施</w:t>
      </w:r>
    </w:p>
    <w:p w14:paraId="43B59F9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（一）通用部分</w:t>
      </w:r>
    </w:p>
    <w:p w14:paraId="5971106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1.风险描述：电气设备性能不良、损坏、过载、短路等，防灭火管理不到位可能造成火灾。</w:t>
      </w:r>
    </w:p>
    <w:p w14:paraId="4A55ACD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14:paraId="499C55E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2.风险描述：更换配件时，可能发生人员伤害的风险。</w:t>
      </w:r>
    </w:p>
    <w:p w14:paraId="2256A6F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管控措施：作业时必须做好自主保安，严格按照作业规程操作，作业时，规定专人统一指挥，两人以上共同操作时，明确负责人，所有参加人员必须着装整齐，劳保用品佩戴齐全。</w:t>
      </w:r>
    </w:p>
    <w:p w14:paraId="7876DE4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3.风险描述：人员维修和操作时，可能发生员工触电的风险。</w:t>
      </w:r>
    </w:p>
    <w:p w14:paraId="7C207A0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管控措施：专职电工负责机电工作，作业时必须做好自主保安，严格按照作业规程操作。</w:t>
      </w:r>
    </w:p>
    <w:p w14:paraId="561A32D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4.风险描述：旋转部位运行时，人员误操作可能发生人员伤害的风险。</w:t>
      </w:r>
    </w:p>
    <w:p w14:paraId="046DF901">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管控措施：施工人员必须着装整齐，劳保用品齐全，熟悉设备机械性能和操作方法，按照操作规程施工，旋转部位安设防护罩。</w:t>
      </w:r>
    </w:p>
    <w:p w14:paraId="4B8EF69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5.风险描述：人员上下风道和二层风门登梯时，可能发生摔伤、碰伤的风险。</w:t>
      </w:r>
    </w:p>
    <w:p w14:paraId="40C9E39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管控措施：着装规范、整齐、穿防滑绝缘靴，按照操作规程施工。上、下爬梯时，必须抓实护栏，现场必须有充足照明。</w:t>
      </w:r>
    </w:p>
    <w:p w14:paraId="030A97E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6.风险描述：维修、操作电气开关设备时，误操作可能造成人员伤害的风险。</w:t>
      </w:r>
    </w:p>
    <w:p w14:paraId="42A82301">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必须持证上岗，按规定穿合格的绝缘靴，严格按操作规程执行停送电制度。电气设备检修时，按规定悬挂“有人工作，不准送电”警示牌。严格按规定进行验电、放电，严格按规程要求调整安全装置和保护整定值。</w:t>
      </w:r>
    </w:p>
    <w:p w14:paraId="187D78E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7.风险描述：人员行走时精力不集中，可能造成滑倒、绊倒，受到伤害。</w:t>
      </w:r>
    </w:p>
    <w:p w14:paraId="7205A12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2"/>
          <w:sz w:val="28"/>
          <w:szCs w:val="28"/>
          <w:lang w:val="en-US" w:eastAsia="zh-CN" w:bidi="ar"/>
        </w:rPr>
        <w:t>管控措施：人员行走时注意力要集中，严禁嬉戏打闹，行走时观察好路况，确保道路畅通、安全，才能通过，人员配备合格的劳动防护用品，穿柔软平底防滑鞋。</w:t>
      </w:r>
    </w:p>
    <w:p w14:paraId="757175A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（二）专用部分</w:t>
      </w:r>
    </w:p>
    <w:p w14:paraId="1FCCFFD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1.开机前</w:t>
      </w:r>
    </w:p>
    <w:p w14:paraId="03A59401">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①风险描述：电话不畅通，发生设备及人员伤亡事故不能及时汇报，存在事故扩大的风险。</w:t>
      </w:r>
    </w:p>
    <w:p w14:paraId="6EEDA78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管控措施：每班对电话进行检查，发现电话不畅通或损坏的，及时告知维护人员，确保电话畅通完好。</w:t>
      </w:r>
    </w:p>
    <w:p w14:paraId="457AD590">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②风险描述：监控设备运行不正常，设备发生故障不能及时发现，存在设备损坏、矿井停风的风险。</w:t>
      </w:r>
    </w:p>
    <w:p w14:paraId="4BB7A5B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管控措施：做好监控设备日常检查维护工作，保证监控设备运行正常；巡检人员做好巡查工作，及时观察监控数据，发现异常要及时汇报，维修人员及时处理问题。</w:t>
      </w:r>
    </w:p>
    <w:p w14:paraId="365D4DB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③风险描述：风机开机前，仪表显示异常，设备容易带病运行，存在设备损坏、矿井停风的风险。</w:t>
      </w:r>
    </w:p>
    <w:p w14:paraId="21EC895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管控措施：开机前，巡检人员应检查仪表是否显示正常，发现异常情况，应及时通知维修人员，及时处理问题。</w:t>
      </w:r>
    </w:p>
    <w:p w14:paraId="0B89B86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④风险描述：启闭风门故障或损坏，切换风机时，存在通风系统漏风、风量不足的风险。</w:t>
      </w:r>
    </w:p>
    <w:p w14:paraId="0F88856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管控措施：做好启闭风门日常检查维护工作，巡检人员做好巡查工作，发现异常及时汇报处理，保证设备正常运行。</w:t>
      </w:r>
    </w:p>
    <w:p w14:paraId="439081D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⑤风险描述：防爆盖故障或损坏，存在通风系统漏风、风量不足的风险。</w:t>
      </w:r>
    </w:p>
    <w:p w14:paraId="1C51128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管控措施：做好防爆盖日常检查维护工作，巡检人员做好巡查工作，发现异常及时汇报处理，保证设备正常运行。</w:t>
      </w:r>
    </w:p>
    <w:p w14:paraId="46211D0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⑥风险描述：轴承箱油脂不足或油质差，存在风机轴承损坏、矿井停风的风险。</w:t>
      </w:r>
    </w:p>
    <w:p w14:paraId="3AACA09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管控措施：做好轴承箱日常检查维护工作，巡检人员做好巡查工作，发现油位低时，及时补充油脂，检修人员按规定要求更换油脂，保证设备正常运行。</w:t>
      </w:r>
    </w:p>
    <w:p w14:paraId="7085517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⑦风险描述：传动轴变形，机械部分卡阻，存在损坏电动机，造成矿井停风的风险。</w:t>
      </w:r>
    </w:p>
    <w:p w14:paraId="5C25575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管控措施：开机前进行盘车，检查机组内部有无卡涩或摩擦，确认无误后才能进行开机。</w:t>
      </w:r>
    </w:p>
    <w:p w14:paraId="246CD82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⑧风险描述：绝缘用具失效或缺失，操作电气设备时，存在人员触电的风险。</w:t>
      </w:r>
    </w:p>
    <w:p w14:paraId="7E50759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管控措施：做好绝缘用具的检查维护保养，确保齐全有效；人员按章操作，按规定使用绝缘用具。</w:t>
      </w:r>
    </w:p>
    <w:p w14:paraId="150D414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⑨消防器材失效或缺失，发生火灾时，不能及时灭火，存在设备损坏或人员伤亡的风险。</w:t>
      </w:r>
    </w:p>
    <w:p w14:paraId="31DC0AB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管控措施：做好防灭火设备设施的维护保养，定期检查、检验，不合格的及时更换，确保齐全有效。</w:t>
      </w:r>
    </w:p>
    <w:p w14:paraId="7368502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2.操作过程中</w:t>
      </w:r>
    </w:p>
    <w:p w14:paraId="38BF86C0">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①风险描述：设备运行中巡查不到位，设备带病运行，存在设备损坏、影响矿井通风的风险。</w:t>
      </w:r>
    </w:p>
    <w:p w14:paraId="7A3FEC8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巡检时检查启闭风门、防爆盖、风道封闭完好；风门绞车钢丝绳无断丝、无严重锈蚀，风门完好，无破损、变形；电控系统运行正常，检查电源电压、电流、温度、负压、频率、UPS电源、电机声音、温度、震动正常，发现异常立即汇报处理。</w:t>
      </w:r>
    </w:p>
    <w:p w14:paraId="063B47F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3.停机后</w:t>
      </w:r>
    </w:p>
    <w:p w14:paraId="14B1AC6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①风险描述：风机停机后，仪表显示异常，存在设备损坏的风险。</w:t>
      </w:r>
    </w:p>
    <w:p w14:paraId="4C99669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管控措施：风机停机后，巡检人员应检查仪表是否显示正常，发现异常情况，应及时汇报处理。</w:t>
      </w:r>
    </w:p>
    <w:p w14:paraId="186BA14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②风险描述：风机停止运行后，监控设备运行不正常，设备发生故障不能及时发现，存在设备损坏的风险。</w:t>
      </w:r>
    </w:p>
    <w:p w14:paraId="532FF4C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管控措施：停机后，巡检人员对监控设备进行检查，观察监控数据，发现异常要及时汇报处理。</w:t>
      </w:r>
    </w:p>
    <w:p w14:paraId="255DBB6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③风险描述：风机停止运行后，风门未关闭或关闭不严，存在井下供风量不足的风险。</w:t>
      </w:r>
    </w:p>
    <w:p w14:paraId="267F197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管控措施：风机停机后，操作人员应检查风门关闭到位情况，发现异常应及时汇报处理。</w:t>
      </w:r>
    </w:p>
    <w:p w14:paraId="024F7D3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四、（一）开机前检查</w:t>
      </w:r>
    </w:p>
    <w:p w14:paraId="0F29959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1.电话：电话畅通。</w:t>
      </w:r>
    </w:p>
    <w:p w14:paraId="557D5F5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2.监控设备：监控工作正常，监测数据准确，显示清晰。</w:t>
      </w:r>
    </w:p>
    <w:p w14:paraId="63DC8A2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3.电源、仪表、指示灯：开关柜处于合闸位置，断路器储能，设备带电备用；控制电源接通，仪表指示正常，指示灯显示正常。</w:t>
      </w:r>
    </w:p>
    <w:p w14:paraId="509A610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4.启闭风门：启闭风门完好，位置正常，辅助设施灵活好用。</w:t>
      </w:r>
    </w:p>
    <w:p w14:paraId="695FE68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2"/>
          <w:sz w:val="28"/>
          <w:szCs w:val="28"/>
          <w:lang w:val="en-US" w:eastAsia="zh-CN" w:bidi="ar"/>
        </w:rPr>
        <w:t>5.</w:t>
      </w:r>
      <w:r>
        <w:rPr>
          <w:rFonts w:hint="eastAsia" w:ascii="仿宋" w:hAnsi="仿宋" w:eastAsia="仿宋" w:cs="仿宋"/>
          <w:color w:val="auto"/>
          <w:kern w:val="0"/>
          <w:sz w:val="28"/>
          <w:szCs w:val="28"/>
          <w:lang w:val="en-US" w:eastAsia="zh-CN" w:bidi="ar"/>
        </w:rPr>
        <w:t>防爆盖：防爆盖、防爆盖自动闭锁装置、防爆盖坠铁完好，无严重漏风。</w:t>
      </w:r>
    </w:p>
    <w:p w14:paraId="25D2CCB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0"/>
          <w:sz w:val="28"/>
          <w:szCs w:val="28"/>
        </w:rPr>
      </w:pPr>
      <w:r>
        <w:rPr>
          <w:rFonts w:hint="eastAsia" w:ascii="仿宋" w:hAnsi="仿宋" w:eastAsia="仿宋" w:cs="仿宋"/>
          <w:color w:val="auto"/>
          <w:kern w:val="0"/>
          <w:sz w:val="28"/>
          <w:szCs w:val="28"/>
          <w:lang w:val="en-US" w:eastAsia="zh-CN" w:bidi="ar"/>
        </w:rPr>
        <w:t>6.</w:t>
      </w:r>
      <w:r>
        <w:rPr>
          <w:rFonts w:hint="eastAsia" w:ascii="仿宋" w:hAnsi="仿宋" w:eastAsia="仿宋" w:cs="仿宋"/>
          <w:bCs/>
          <w:color w:val="auto"/>
          <w:kern w:val="0"/>
          <w:sz w:val="28"/>
          <w:szCs w:val="28"/>
          <w:lang w:val="en-US" w:eastAsia="zh-CN" w:bidi="ar"/>
        </w:rPr>
        <w:t>轴承箱油脂：轴承箱油位符合要求，不低于最低刻度线，油质符合要求，按要求定期进行油脂更换。</w:t>
      </w:r>
    </w:p>
    <w:p w14:paraId="537BA1E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0"/>
          <w:sz w:val="28"/>
          <w:szCs w:val="28"/>
          <w:lang w:val="en-US" w:eastAsia="zh-CN" w:bidi="ar"/>
        </w:rPr>
        <w:t>7.</w:t>
      </w:r>
      <w:r>
        <w:rPr>
          <w:rFonts w:hint="eastAsia" w:ascii="仿宋" w:hAnsi="仿宋" w:eastAsia="仿宋" w:cs="仿宋"/>
          <w:color w:val="auto"/>
          <w:kern w:val="0"/>
          <w:sz w:val="28"/>
          <w:szCs w:val="28"/>
          <w:lang w:val="en-US" w:eastAsia="zh-CN" w:bidi="ar"/>
        </w:rPr>
        <w:t>传动轴：传动轴完好、无严重锈蚀，运行无震抖现象。</w:t>
      </w:r>
    </w:p>
    <w:p w14:paraId="6FC4075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8.绝缘用具：绝缘手套、绝缘靴完好无损、检验合格，验电笔合格有效。</w:t>
      </w:r>
    </w:p>
    <w:p w14:paraId="6A4656C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9.消防器材：消防器材齐全完好。</w:t>
      </w:r>
    </w:p>
    <w:p w14:paraId="5D408FE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（二）单元检查表确认</w:t>
      </w:r>
    </w:p>
    <w:p w14:paraId="07680A5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1.记录：查看上一个班次的相关记录：“记录正常”。</w:t>
      </w:r>
    </w:p>
    <w:p w14:paraId="056FCF0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2.外观：通风机外观清洁、无变形，各部位紧固螺栓无松动，连接件齐全、牢固。</w:t>
      </w:r>
    </w:p>
    <w:p w14:paraId="6EA86D60">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3.启闭风门：在用风机启闭下风门打开到位，备用风机启闭下风门关闭到位且无严重漏风；启闭风门无变形且与起吊钢丝绳连接牢固。</w:t>
      </w:r>
    </w:p>
    <w:p w14:paraId="79F6107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4.防爆盖无变形、漏风不超标。</w:t>
      </w:r>
    </w:p>
    <w:p w14:paraId="585A6CE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5.轴承箱油位、油质正常。</w:t>
      </w:r>
    </w:p>
    <w:p w14:paraId="2E112F1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6.变频器频率、电压、电流、负压在正常范围内，无异常变化。</w:t>
      </w:r>
    </w:p>
    <w:p w14:paraId="14E62E9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bidi="ar"/>
        </w:rPr>
        <w:t>7.轴承箱各轴承温度不超75℃、电机绕组温度不超120℃、电机轴承温度不超75℃、震动不超2mm/s。</w:t>
      </w:r>
    </w:p>
    <w:p w14:paraId="48E2071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8.高压进线柜、低压控制柜、变频器柜、辅助控制柜、高压旁路柜指示正常、运行正常。</w:t>
      </w:r>
    </w:p>
    <w:p w14:paraId="04845000">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9.机房设备物见本色、无明显污物、粉尘、杂物。</w:t>
      </w:r>
    </w:p>
    <w:p w14:paraId="55F20B3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五、主通风机司机正规操作</w:t>
      </w:r>
    </w:p>
    <w:p w14:paraId="3A78F06E">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（一）主通风机司机操作顺序：</w:t>
      </w:r>
    </w:p>
    <w:p w14:paraId="604679A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检查高低压供电柜供电情况、风门开闭情况→变频器控制电源送电→启动电动机冷却风机→合高压切换柜→合高压供电柜→调整变频器频率→启动变频器开启风机→根据负压值要求调整至所需频率。</w:t>
      </w:r>
    </w:p>
    <w:p w14:paraId="6902152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（二）主通风机司机正规操作：</w:t>
      </w:r>
    </w:p>
    <w:p w14:paraId="3375F20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1.检查高低压供电柜供电情况、风门开闭情况：按照主通风机司机安全提示卡中的开机前检查确认无误后，方可操作。</w:t>
      </w:r>
    </w:p>
    <w:p w14:paraId="676A58F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2.变频器控制电源送电：将变频器控制电源送电，检查仪表、指示灯是否正常，检查无误后进行下步工作。</w:t>
      </w:r>
    </w:p>
    <w:p w14:paraId="519B190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3.启动电动机冷却风机：在辅助控制柜上将冷却风机启动，检查冷却风机运行是否正常，检查无误后进行下步工作。</w:t>
      </w:r>
    </w:p>
    <w:p w14:paraId="500CE01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4.合高压切换柜：将高压切换柜断路器合闸，检查仪表、指示灯是否正常，检查无误后进行下步工作。</w:t>
      </w:r>
    </w:p>
    <w:p w14:paraId="4D5EE06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5.合高压供电柜：将高压供电柜合闸，检查仪表、指示灯是否正常，检查无误后进行下步工作。</w:t>
      </w:r>
    </w:p>
    <w:p w14:paraId="3BD8B869">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6.调整变频器频率：将变频器频率调整至启动时所需频率。</w:t>
      </w:r>
    </w:p>
    <w:p w14:paraId="6AD5B10E">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7.启动变频器开启风机：按下变频器操作面板启动按钮，启动变频器开风机。</w:t>
      </w:r>
    </w:p>
    <w:p w14:paraId="35821DCE">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8.根据负压值要求调整至所需频率：查看负压表数值，根据通风要求，调整变频器频率至合适频率，完成风机启动工作。</w:t>
      </w:r>
    </w:p>
    <w:p w14:paraId="1CF8AD7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六、主通风机司机操作过程中的安全注意事项：</w:t>
      </w:r>
    </w:p>
    <w:p w14:paraId="343BC07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1.看参数：</w:t>
      </w:r>
      <w:r>
        <w:rPr>
          <w:rFonts w:hint="eastAsia" w:ascii="仿宋" w:hAnsi="仿宋" w:eastAsia="仿宋" w:cs="仿宋"/>
          <w:color w:val="auto"/>
          <w:kern w:val="2"/>
          <w:sz w:val="28"/>
          <w:szCs w:val="28"/>
          <w:lang w:val="en-US" w:eastAsia="zh-CN" w:bidi="ar"/>
        </w:rPr>
        <w:t>注意观察电压、电流、频率、温度、风压、故障显示，出现异常立即停机汇报并开启备用风机。</w:t>
      </w:r>
    </w:p>
    <w:p w14:paraId="5081AD5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2.看设施：</w:t>
      </w:r>
      <w:r>
        <w:rPr>
          <w:rFonts w:hint="eastAsia" w:ascii="仿宋" w:hAnsi="仿宋" w:eastAsia="仿宋" w:cs="仿宋"/>
          <w:color w:val="auto"/>
          <w:kern w:val="2"/>
          <w:sz w:val="28"/>
          <w:szCs w:val="28"/>
          <w:lang w:val="en-US" w:eastAsia="zh-CN" w:bidi="ar"/>
        </w:rPr>
        <w:t>注意检查风门和防爆盖、轴承箱油位、电动机、控制柜、风机外壳、各紧固螺栓、消音器、各附属设施是否正常。</w:t>
      </w:r>
    </w:p>
    <w:p w14:paraId="0C831EA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3.听异响：</w:t>
      </w:r>
      <w:r>
        <w:rPr>
          <w:rFonts w:hint="eastAsia" w:ascii="仿宋" w:hAnsi="仿宋" w:eastAsia="仿宋" w:cs="仿宋"/>
          <w:color w:val="auto"/>
          <w:kern w:val="2"/>
          <w:sz w:val="28"/>
          <w:szCs w:val="28"/>
          <w:lang w:val="en-US" w:eastAsia="zh-CN" w:bidi="ar"/>
        </w:rPr>
        <w:t>设备出现严重异响或非正常震动，立即停机汇报并开启备用风机。</w:t>
      </w:r>
    </w:p>
    <w:p w14:paraId="4A2A2EE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4.嗅异味：</w:t>
      </w:r>
      <w:r>
        <w:rPr>
          <w:rFonts w:hint="eastAsia" w:ascii="仿宋" w:hAnsi="仿宋" w:eastAsia="仿宋" w:cs="仿宋"/>
          <w:color w:val="auto"/>
          <w:kern w:val="2"/>
          <w:sz w:val="28"/>
          <w:szCs w:val="28"/>
          <w:lang w:val="en-US" w:eastAsia="zh-CN" w:bidi="ar"/>
        </w:rPr>
        <w:t>闻到电动机、控制柜等出现焦糊、塑料等刺鼻异常气味时，立即停机汇报并开启备用风机。</w:t>
      </w:r>
    </w:p>
    <w:p w14:paraId="6E8EEBC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5.位置：</w:t>
      </w:r>
      <w:r>
        <w:rPr>
          <w:rFonts w:hint="eastAsia" w:ascii="仿宋" w:hAnsi="仿宋" w:eastAsia="仿宋" w:cs="仿宋"/>
          <w:color w:val="auto"/>
          <w:kern w:val="2"/>
          <w:sz w:val="28"/>
          <w:szCs w:val="28"/>
          <w:lang w:val="en-US" w:eastAsia="zh-CN" w:bidi="ar"/>
        </w:rPr>
        <w:t>严禁离开工作岗位。</w:t>
      </w:r>
    </w:p>
    <w:p w14:paraId="4DE41A2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七、全部注意事项：</w:t>
      </w:r>
    </w:p>
    <w:p w14:paraId="49165E01">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1.巡检时，检查好防爆盖密封情况，发现漏风及时进行封堵处理。</w:t>
      </w:r>
    </w:p>
    <w:p w14:paraId="6BEF49A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2.检查好启闭风门开闭情况，发现开启不到位或关闭不到位及时处理。</w:t>
      </w:r>
    </w:p>
    <w:p w14:paraId="381799F3">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3.检查运行风机各转动部位有无异响和异常震动，发现问题及时进行汇报处理。</w:t>
      </w:r>
    </w:p>
    <w:p w14:paraId="5A9E936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4.检查轴承温度是否超限,不得超过75℃；轴承箱油脂是否充足，油质是否符合要求，发现不符合要求的情况及时进行处理。</w:t>
      </w:r>
    </w:p>
    <w:p w14:paraId="08A0732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5.检查电动机温升是否超限,不超过规定要求（120℃）。</w:t>
      </w:r>
    </w:p>
    <w:p w14:paraId="7D3AB3E0">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6.检查变频器面板是否有故障提示，参数值是否正常，发现异常情况及时汇报处理。</w:t>
      </w:r>
    </w:p>
    <w:p w14:paraId="0A664CF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7.检查各仪表数值指示是否正常，发现问题及时进行汇报处理。</w:t>
      </w:r>
    </w:p>
    <w:p w14:paraId="0970FFB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8.注意检查负压变化情况，负压值不得超过规定值范围；发现异常情况应及时向工区值班领导汇报。</w:t>
      </w:r>
    </w:p>
    <w:p w14:paraId="156EC00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9.检查UPS电源指示是否正常，发现问题及时进行汇报处理。</w:t>
      </w:r>
    </w:p>
    <w:p w14:paraId="1B81FC9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10.检查备用风机供电系统是否正常，发现供电异常及时汇报处理，必须保证双回路供电正常。</w:t>
      </w:r>
    </w:p>
    <w:p w14:paraId="3ED1D74E">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八、停机后确认</w:t>
      </w:r>
    </w:p>
    <w:p w14:paraId="1E66CB8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1.电源：高压进线柜分闸状态，控制电源断开。</w:t>
      </w:r>
    </w:p>
    <w:p w14:paraId="7EAEAA2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2.仪表、指示灯：仪表指示正常，指示灯显示正常。</w:t>
      </w:r>
    </w:p>
    <w:p w14:paraId="45FC9241">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3.监测监控：监测数据准确，显示清晰。</w:t>
      </w:r>
    </w:p>
    <w:p w14:paraId="4B0052E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4.风门：风门完好、无变形，下风门关闭到位。</w:t>
      </w:r>
    </w:p>
    <w:p w14:paraId="4720EA65">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九、事故案例教育</w:t>
      </w:r>
    </w:p>
    <w:p w14:paraId="492991A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（一）事故经过</w:t>
      </w:r>
    </w:p>
    <w:p w14:paraId="77AE27A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2006年5月13日八点班，某矿1</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主扇停机检查，启动2</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主扇时由于风门限位开关失灵，将牵引钢丝绳拉断，又重新启动1</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主扇，当1</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主扇投入运转后，主扇司机发现水柱计指示下降。经检查2</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风门没有关严，造成风在两台主扇之间短路。经重新关严后，才正常运行，影响生产30分钟。</w:t>
      </w:r>
    </w:p>
    <w:p w14:paraId="0DB63172">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（二）事故原因</w:t>
      </w:r>
    </w:p>
    <w:p w14:paraId="517486C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1.风门限位开关失灵，造成牵引钢丝绳拉断。</w:t>
      </w:r>
    </w:p>
    <w:p w14:paraId="48042BD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2.在2</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风门没有关严的情况下启动1</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机。</w:t>
      </w:r>
    </w:p>
    <w:p w14:paraId="562CE16C">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3.对备用机的日常维护检查不到位。</w:t>
      </w:r>
    </w:p>
    <w:p w14:paraId="780FF6E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（三）防范措施</w:t>
      </w:r>
    </w:p>
    <w:p w14:paraId="3E07A85B">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1.要经常检查钢丝绳及其连接装置。</w:t>
      </w:r>
    </w:p>
    <w:p w14:paraId="26B89174">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2.经常检查试验各风门的限位开关，发现问题及时解决。</w:t>
      </w:r>
    </w:p>
    <w:p w14:paraId="54224F07">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3.使用主扇检测监控装置，检测风门开启关闭的位置。</w:t>
      </w:r>
    </w:p>
    <w:p w14:paraId="7F4AC6D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color w:val="auto"/>
          <w:kern w:val="0"/>
          <w:sz w:val="28"/>
          <w:szCs w:val="28"/>
          <w:lang w:eastAsia="zh-CN" w:bidi="ar"/>
        </w:rPr>
      </w:pPr>
      <w:r>
        <w:rPr>
          <w:rFonts w:hint="eastAsia" w:ascii="仿宋" w:hAnsi="仿宋" w:eastAsia="仿宋" w:cs="仿宋"/>
          <w:b/>
          <w:color w:val="auto"/>
          <w:kern w:val="0"/>
          <w:sz w:val="28"/>
          <w:szCs w:val="28"/>
          <w:lang w:eastAsia="zh-CN" w:bidi="ar"/>
        </w:rPr>
        <w:t>十、常见三违</w:t>
      </w:r>
    </w:p>
    <w:p w14:paraId="1ECF0FD0">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（一）安全生产管理人员、特种作业人员、班组长无证上岗或持假证上岗作业；</w:t>
      </w:r>
    </w:p>
    <w:p w14:paraId="44FEC63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（二）未执行停送电制度；</w:t>
      </w:r>
    </w:p>
    <w:p w14:paraId="1507A4D1">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（三）机械设备的旋转部位未按措施规定加挡板或护栏防护的；</w:t>
      </w:r>
    </w:p>
    <w:p w14:paraId="1A281C08">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（四）人员酒后上岗；</w:t>
      </w:r>
    </w:p>
    <w:p w14:paraId="1FD7042A">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（五）对抵制或举报制止违章的人员进行打击报复；</w:t>
      </w:r>
    </w:p>
    <w:p w14:paraId="341ED6A6">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（六）带电检修、搬迁电气设备；</w:t>
      </w:r>
    </w:p>
    <w:p w14:paraId="1AF8CF7D">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（七）连续两个班次上岗作业的；</w:t>
      </w:r>
    </w:p>
    <w:p w14:paraId="76B4A56F">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（八）要害岗位携带手机上岗的；</w:t>
      </w:r>
    </w:p>
    <w:p w14:paraId="39134809">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（九）主扇风机擅自停风的；</w:t>
      </w:r>
    </w:p>
    <w:p w14:paraId="146CE4BE">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（十）地面严禁烟火区域或井口20米范围内吸烟、点火。</w:t>
      </w:r>
    </w:p>
    <w:p w14:paraId="27E86217">
      <w:pPr>
        <w:rPr>
          <w:rFonts w:hint="eastAsia" w:cs="Times New Roman"/>
          <w:color w:val="auto"/>
          <w:lang w:val="en-US" w:eastAsia="zh-CN"/>
        </w:rPr>
      </w:pPr>
      <w:bookmarkStart w:id="411" w:name="_Toc18700"/>
      <w:bookmarkStart w:id="412" w:name="_Toc19459"/>
      <w:bookmarkStart w:id="413" w:name="_Toc20487"/>
      <w:r>
        <w:rPr>
          <w:rFonts w:hint="eastAsia" w:cs="Times New Roman"/>
          <w:color w:val="auto"/>
          <w:lang w:val="en-US" w:eastAsia="zh-CN"/>
        </w:rPr>
        <w:br w:type="page"/>
      </w:r>
    </w:p>
    <w:p w14:paraId="6718A854">
      <w:pPr>
        <w:pStyle w:val="17"/>
        <w:bidi w:val="0"/>
        <w:outlineLvl w:val="1"/>
        <w:rPr>
          <w:rFonts w:hint="eastAsia" w:cs="Times New Roman"/>
          <w:color w:val="auto"/>
          <w:lang w:val="en-US" w:eastAsia="zh-CN"/>
        </w:rPr>
      </w:pPr>
      <w:bookmarkStart w:id="414" w:name="_Toc5744"/>
      <w:r>
        <w:rPr>
          <w:rFonts w:hint="eastAsia" w:cs="Times New Roman"/>
          <w:color w:val="auto"/>
          <w:lang w:val="en-US" w:eastAsia="zh-CN"/>
        </w:rPr>
        <w:t>机械安装工</w:t>
      </w:r>
      <w:bookmarkEnd w:id="411"/>
      <w:bookmarkEnd w:id="412"/>
      <w:bookmarkEnd w:id="413"/>
      <w:bookmarkEnd w:id="414"/>
    </w:p>
    <w:tbl>
      <w:tblPr>
        <w:tblStyle w:val="12"/>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44"/>
        <w:gridCol w:w="3192"/>
        <w:gridCol w:w="1188"/>
        <w:gridCol w:w="3098"/>
      </w:tblGrid>
      <w:tr w14:paraId="451A77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8" w:hRule="atLeast"/>
        </w:trPr>
        <w:tc>
          <w:tcPr>
            <w:tcW w:w="8522"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2513AE7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lang w:val="en-US" w:eastAsia="zh-CN" w:bidi="ar"/>
              </w:rPr>
              <w:t>机械安装工岗位风险告知卡</w:t>
            </w:r>
          </w:p>
        </w:tc>
      </w:tr>
      <w:tr w14:paraId="2CFB22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98" w:hRule="atLeast"/>
        </w:trPr>
        <w:tc>
          <w:tcPr>
            <w:tcW w:w="1044" w:type="dxa"/>
            <w:tcBorders>
              <w:top w:val="nil"/>
              <w:left w:val="single" w:color="auto" w:sz="4" w:space="0"/>
              <w:bottom w:val="single" w:color="auto" w:sz="4" w:space="0"/>
              <w:right w:val="single" w:color="auto" w:sz="4" w:space="0"/>
            </w:tcBorders>
            <w:shd w:val="clear" w:color="auto" w:fill="auto"/>
            <w:vAlign w:val="center"/>
          </w:tcPr>
          <w:p w14:paraId="174F92F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风险</w:t>
            </w:r>
          </w:p>
          <w:p w14:paraId="22078E4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类型</w:t>
            </w:r>
          </w:p>
        </w:tc>
        <w:tc>
          <w:tcPr>
            <w:tcW w:w="3192" w:type="dxa"/>
            <w:tcBorders>
              <w:top w:val="nil"/>
              <w:left w:val="nil"/>
              <w:bottom w:val="single" w:color="auto" w:sz="4" w:space="0"/>
              <w:right w:val="single" w:color="auto" w:sz="4" w:space="0"/>
            </w:tcBorders>
            <w:shd w:val="clear" w:color="auto" w:fill="auto"/>
            <w:vAlign w:val="center"/>
          </w:tcPr>
          <w:p w14:paraId="5C8C4CA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火灾、机电（触电、机械伤害）、物体打击、冒顶（片帮）、职业病危害（粉尘）、其它</w:t>
            </w:r>
          </w:p>
        </w:tc>
        <w:tc>
          <w:tcPr>
            <w:tcW w:w="1188" w:type="dxa"/>
            <w:tcBorders>
              <w:top w:val="nil"/>
              <w:left w:val="nil"/>
              <w:bottom w:val="single" w:color="auto" w:sz="4" w:space="0"/>
              <w:right w:val="single" w:color="auto" w:sz="4" w:space="0"/>
            </w:tcBorders>
            <w:shd w:val="clear" w:color="auto" w:fill="auto"/>
            <w:vAlign w:val="center"/>
          </w:tcPr>
          <w:p w14:paraId="561A76C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事故</w:t>
            </w:r>
          </w:p>
          <w:p w14:paraId="1DACDF88">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报告</w:t>
            </w:r>
          </w:p>
        </w:tc>
        <w:tc>
          <w:tcPr>
            <w:tcW w:w="3098" w:type="dxa"/>
            <w:tcBorders>
              <w:top w:val="nil"/>
              <w:left w:val="nil"/>
              <w:bottom w:val="single" w:color="auto" w:sz="4" w:space="0"/>
              <w:right w:val="single" w:color="auto" w:sz="4" w:space="0"/>
            </w:tcBorders>
            <w:shd w:val="clear" w:color="auto" w:fill="auto"/>
            <w:vAlign w:val="center"/>
          </w:tcPr>
          <w:p w14:paraId="0F39630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调度室：8650200、8650202、“#”</w:t>
            </w:r>
          </w:p>
          <w:p w14:paraId="480E28A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 xml:space="preserve">工区值班：8650484 </w:t>
            </w:r>
          </w:p>
          <w:p w14:paraId="3237E47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安监科值班：8650512</w:t>
            </w:r>
          </w:p>
        </w:tc>
      </w:tr>
      <w:tr w14:paraId="23BC1F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77"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A90C221">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主要危害因素</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14:paraId="7B15CF2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管控措施</w:t>
            </w:r>
          </w:p>
        </w:tc>
      </w:tr>
      <w:tr w14:paraId="2F5B98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46"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C50B6E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1.未持证上岗；未佩戴个体防护；空顶作业。</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14:paraId="01E9518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1.经培训合格后，持证上岗；佩戴好安全帽、口罩、耳塞等防护用品；检查好顶帮支护情况，确保顶帮支护合格后方可上岗作业。</w:t>
            </w:r>
          </w:p>
        </w:tc>
      </w:tr>
      <w:tr w14:paraId="3F19A8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57"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5A565C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2.吊点、吊具不合格，人员站位不当。</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14:paraId="6B47962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2.使用合格吊点和设施，捆绑牢靠，轻拿轻放，严禁在设备下方和可能倾倒的方向走动。</w:t>
            </w:r>
          </w:p>
        </w:tc>
      </w:tr>
      <w:tr w14:paraId="6DE1E5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5"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A09854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3.登高作业不系安全带，梯子固定不牢，存在高空摔伤的风险。</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14:paraId="4AF031E8">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3.登高作业前，检查梯子固定是否牢靠，一人扶梯一人登高；作业地点高出地面1.5m时，必须正确佩戴保险带且高挂低用。</w:t>
            </w:r>
          </w:p>
        </w:tc>
      </w:tr>
      <w:tr w14:paraId="0E0A77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5"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C469F1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4.出现漏油、漏气现象。</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14:paraId="44BDB46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4.发生漏油、漏气现象，要立即停机检查，排除故障。</w:t>
            </w:r>
          </w:p>
        </w:tc>
      </w:tr>
      <w:tr w14:paraId="232D9A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5"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68AA71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5.不随身携带瓦检仪或不检查瓦斯。</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14:paraId="267A4C4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5.工作人员必须随身携带瓦检仪，工作时必须检查瓦斯是否超限。</w:t>
            </w:r>
          </w:p>
        </w:tc>
      </w:tr>
      <w:tr w14:paraId="36C8CA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5"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9F36AD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6.人员行走时，地面有杂物。</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14:paraId="281DDAA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6.人员行走时注意力要集中，严禁嬉戏打闹，行走时观察好路况，确保道路畅通、安全，才能通过。</w:t>
            </w:r>
          </w:p>
        </w:tc>
      </w:tr>
      <w:tr w14:paraId="765AA0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2"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E1AEA4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7.人员靠近转动部位，护罩或遮拦等不完好。</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14:paraId="0A62678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7.保持护罩或遮拦等防护设施完好，运转时保持安全距离。</w:t>
            </w:r>
          </w:p>
        </w:tc>
      </w:tr>
      <w:tr w14:paraId="7B3852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91" w:hRule="atLeast"/>
        </w:trPr>
        <w:tc>
          <w:tcPr>
            <w:tcW w:w="1044" w:type="dxa"/>
            <w:tcBorders>
              <w:top w:val="nil"/>
              <w:left w:val="single" w:color="auto" w:sz="4" w:space="0"/>
              <w:bottom w:val="single" w:color="auto" w:sz="4" w:space="0"/>
              <w:right w:val="single" w:color="auto" w:sz="4" w:space="0"/>
            </w:tcBorders>
            <w:shd w:val="clear" w:color="auto" w:fill="auto"/>
            <w:vAlign w:val="center"/>
          </w:tcPr>
          <w:p w14:paraId="2FC1FA25">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5C5D902E">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478" w:type="dxa"/>
            <w:gridSpan w:val="3"/>
            <w:tcBorders>
              <w:top w:val="single" w:color="auto" w:sz="4" w:space="0"/>
              <w:left w:val="nil"/>
              <w:bottom w:val="single" w:color="auto" w:sz="4" w:space="0"/>
              <w:right w:val="single" w:color="auto" w:sz="4" w:space="0"/>
            </w:tcBorders>
            <w:shd w:val="clear" w:color="auto" w:fill="auto"/>
            <w:vAlign w:val="center"/>
          </w:tcPr>
          <w:p w14:paraId="465C2A6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27532DC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3CED03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56" w:hRule="atLeast"/>
        </w:trPr>
        <w:tc>
          <w:tcPr>
            <w:tcW w:w="1044" w:type="dxa"/>
            <w:tcBorders>
              <w:top w:val="nil"/>
              <w:left w:val="single" w:color="auto" w:sz="4" w:space="0"/>
              <w:bottom w:val="single" w:color="auto" w:sz="4" w:space="0"/>
              <w:right w:val="single" w:color="auto" w:sz="4" w:space="0"/>
            </w:tcBorders>
            <w:shd w:val="clear" w:color="auto" w:fill="auto"/>
            <w:vAlign w:val="center"/>
          </w:tcPr>
          <w:p w14:paraId="54CF1FC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应急</w:t>
            </w:r>
          </w:p>
          <w:p w14:paraId="64BC9D2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处置</w:t>
            </w:r>
          </w:p>
          <w:p w14:paraId="14B16C9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措施</w:t>
            </w:r>
          </w:p>
        </w:tc>
        <w:tc>
          <w:tcPr>
            <w:tcW w:w="7478" w:type="dxa"/>
            <w:gridSpan w:val="3"/>
            <w:tcBorders>
              <w:top w:val="single" w:color="auto" w:sz="4" w:space="0"/>
              <w:left w:val="nil"/>
              <w:bottom w:val="single" w:color="auto" w:sz="4" w:space="0"/>
              <w:right w:val="single" w:color="auto" w:sz="4" w:space="0"/>
            </w:tcBorders>
            <w:shd w:val="clear" w:color="auto" w:fill="auto"/>
            <w:vAlign w:val="center"/>
          </w:tcPr>
          <w:p w14:paraId="117D0FE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1.发生事故后，严格按照“及时汇报、积极抢救、安全撤离、妥善避灾”原则进行自救、互救。</w:t>
            </w:r>
          </w:p>
          <w:p w14:paraId="629798E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2.抢救伤员时遵循“三先三后”原则，即：对窒息或心跳呼吸停止不久的伤员必须先复苏后搬运，对出血伤员必须先止血后搬运，对骨折伤员先固定后搬运。</w:t>
            </w:r>
          </w:p>
          <w:p w14:paraId="6BB8CFA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0"/>
                <w:sz w:val="21"/>
                <w:szCs w:val="21"/>
                <w:lang w:val="en-US" w:eastAsia="zh-CN" w:bidi="ar"/>
              </w:rPr>
              <w:t>3.熟悉全矿井巷道布置情况，牢记避灾路线。</w:t>
            </w:r>
          </w:p>
        </w:tc>
      </w:tr>
    </w:tbl>
    <w:p w14:paraId="6377795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371" w:firstLineChars="177"/>
        <w:jc w:val="both"/>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2"/>
          <w:sz w:val="21"/>
          <w:szCs w:val="21"/>
          <w:lang w:val="en-US" w:eastAsia="zh-CN" w:bidi="ar"/>
        </w:rPr>
        <w:t xml:space="preserve"> </w:t>
      </w:r>
    </w:p>
    <w:tbl>
      <w:tblPr>
        <w:tblStyle w:val="12"/>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415"/>
        <w:gridCol w:w="4085"/>
      </w:tblGrid>
      <w:tr w14:paraId="433AA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3" w:hRule="atLeast"/>
          <w:jc w:val="center"/>
        </w:trPr>
        <w:tc>
          <w:tcPr>
            <w:tcW w:w="850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5EADB8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2"/>
                <w:sz w:val="21"/>
                <w:szCs w:val="21"/>
              </w:rPr>
            </w:pPr>
            <w:bookmarkStart w:id="415" w:name="_Toc23983"/>
            <w:r>
              <w:rPr>
                <w:rFonts w:hint="eastAsia" w:ascii="仿宋" w:hAnsi="仿宋" w:eastAsia="仿宋" w:cs="仿宋"/>
                <w:b/>
                <w:bCs w:val="0"/>
                <w:color w:val="auto"/>
                <w:kern w:val="0"/>
                <w:sz w:val="21"/>
                <w:szCs w:val="21"/>
                <w:lang w:val="en-US" w:eastAsia="zh-CN" w:bidi="ar"/>
              </w:rPr>
              <w:t>机械安装工安全提示卡</w:t>
            </w:r>
            <w:bookmarkEnd w:id="415"/>
          </w:p>
        </w:tc>
      </w:tr>
      <w:tr w14:paraId="1A5E0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14:paraId="3C9C826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val="en-US" w:eastAsia="zh-CN" w:bidi="ar"/>
              </w:rPr>
              <w:t>作业前检查</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14:paraId="12D125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val="en-US" w:eastAsia="zh-CN" w:bidi="ar"/>
              </w:rPr>
              <w:t>作业后确认</w:t>
            </w:r>
          </w:p>
        </w:tc>
      </w:tr>
      <w:tr w14:paraId="5FA39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14:paraId="0D3E41A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1.防护用品</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14:paraId="24A0958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★1.固定、连接</w:t>
            </w:r>
          </w:p>
        </w:tc>
      </w:tr>
      <w:tr w14:paraId="0305E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14:paraId="2541762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2.顶帮</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14:paraId="3A11A0E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★2.工具、材料</w:t>
            </w:r>
          </w:p>
        </w:tc>
      </w:tr>
      <w:tr w14:paraId="68F83E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14:paraId="201E769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★3.工具</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14:paraId="7708C4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p>
        </w:tc>
      </w:tr>
      <w:tr w14:paraId="033AB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14:paraId="0C6445F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★4.设备、材料</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14:paraId="32593F3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p>
        </w:tc>
      </w:tr>
      <w:tr w14:paraId="54D530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14:paraId="3DB1A71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5.监护人</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14:paraId="4C3D1AE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p>
        </w:tc>
      </w:tr>
      <w:tr w14:paraId="2E9E9A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14:paraId="4126DB6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★6.站位、后退路</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14:paraId="0A875F6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p>
        </w:tc>
      </w:tr>
      <w:tr w14:paraId="16A71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27" w:hRule="atLeast"/>
          <w:jc w:val="center"/>
        </w:trPr>
        <w:tc>
          <w:tcPr>
            <w:tcW w:w="8500" w:type="dxa"/>
            <w:gridSpan w:val="2"/>
            <w:tcBorders>
              <w:top w:val="single" w:color="auto" w:sz="4" w:space="0"/>
              <w:left w:val="single" w:color="auto" w:sz="4" w:space="0"/>
              <w:bottom w:val="single" w:color="auto" w:sz="4" w:space="0"/>
              <w:right w:val="single" w:color="auto" w:sz="4" w:space="0"/>
            </w:tcBorders>
            <w:shd w:val="clear" w:color="auto" w:fill="auto"/>
            <w:vAlign w:val="top"/>
          </w:tcPr>
          <w:p w14:paraId="52741E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05" w:firstLineChars="98"/>
              <w:jc w:val="both"/>
              <w:textAlignment w:val="auto"/>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0"/>
                <w:sz w:val="21"/>
                <w:szCs w:val="21"/>
                <w:lang w:val="en-US" w:eastAsia="zh-CN" w:bidi="ar"/>
              </w:rPr>
              <w:t>注：第一次按操作前内容逐项检查并确认，存在问题整改后再确认；中间再次操作只检查带“★”部分；安装维修任务全部结束后按操作后内容逐项检查并确认。</w:t>
            </w:r>
          </w:p>
        </w:tc>
      </w:tr>
    </w:tbl>
    <w:p w14:paraId="4070B8F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 xml:space="preserve"> </w:t>
      </w:r>
    </w:p>
    <w:tbl>
      <w:tblPr>
        <w:tblStyle w:val="12"/>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520"/>
      </w:tblGrid>
      <w:tr w14:paraId="7A3DF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5BBC386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val="0"/>
                <w:bCs/>
                <w:color w:val="auto"/>
                <w:kern w:val="0"/>
                <w:sz w:val="21"/>
                <w:szCs w:val="21"/>
                <w:lang w:val="en-US" w:eastAsia="zh-CN" w:bidi="ar"/>
              </w:rPr>
              <w:t>机械安装工作业单元检查表</w:t>
            </w:r>
          </w:p>
        </w:tc>
      </w:tr>
      <w:tr w14:paraId="5C088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1F69A05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1.记录</w:t>
            </w:r>
          </w:p>
        </w:tc>
      </w:tr>
      <w:tr w14:paraId="45EE8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62C1CC2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2.设备外观</w:t>
            </w:r>
          </w:p>
        </w:tc>
      </w:tr>
      <w:tr w14:paraId="77B43E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4D189BC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3.跑冒滴漏</w:t>
            </w:r>
          </w:p>
        </w:tc>
      </w:tr>
      <w:tr w14:paraId="7BAD5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7CC3AD7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4.设备排查</w:t>
            </w:r>
          </w:p>
        </w:tc>
      </w:tr>
      <w:tr w14:paraId="07AC8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47C652E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5.设备安装、维修</w:t>
            </w:r>
          </w:p>
        </w:tc>
      </w:tr>
      <w:tr w14:paraId="249968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454A0A4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6.设备试运转</w:t>
            </w:r>
          </w:p>
        </w:tc>
      </w:tr>
      <w:tr w14:paraId="77D0E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2D50398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7.现场清理</w:t>
            </w:r>
          </w:p>
        </w:tc>
      </w:tr>
      <w:tr w14:paraId="36E1E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32"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14:paraId="715298E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05" w:firstLineChars="98"/>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注：从事作业人员，经过安全技术培训和考试合格，取得资格证后方可进行上岗作业。</w:t>
            </w:r>
          </w:p>
        </w:tc>
      </w:tr>
    </w:tbl>
    <w:p w14:paraId="76BE03B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outlineLvl w:val="9"/>
        <w:rPr>
          <w:rFonts w:hint="eastAsia" w:ascii="仿宋" w:hAnsi="仿宋" w:eastAsia="仿宋" w:cs="仿宋"/>
          <w:b/>
          <w:color w:val="auto"/>
          <w:kern w:val="2"/>
          <w:sz w:val="21"/>
          <w:szCs w:val="21"/>
        </w:rPr>
      </w:pPr>
      <w:r>
        <w:rPr>
          <w:rFonts w:hint="eastAsia" w:ascii="仿宋" w:hAnsi="仿宋" w:eastAsia="仿宋" w:cs="仿宋"/>
          <w:b/>
          <w:color w:val="auto"/>
          <w:kern w:val="2"/>
          <w:sz w:val="21"/>
          <w:szCs w:val="21"/>
          <w:lang w:val="en-US" w:eastAsia="zh-CN" w:bidi="ar"/>
        </w:rPr>
        <w:t xml:space="preserve"> </w:t>
      </w:r>
    </w:p>
    <w:tbl>
      <w:tblPr>
        <w:tblStyle w:val="12"/>
        <w:tblW w:w="8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40"/>
        <w:gridCol w:w="1579"/>
        <w:gridCol w:w="6061"/>
      </w:tblGrid>
      <w:tr w14:paraId="3E0274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858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03EBDFE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bCs w:val="0"/>
                <w:color w:val="auto"/>
                <w:kern w:val="0"/>
                <w:sz w:val="21"/>
                <w:szCs w:val="21"/>
                <w:lang w:val="en-US" w:eastAsia="zh-CN" w:bidi="ar"/>
              </w:rPr>
              <w:t>机械安装工操作过程注意事项</w:t>
            </w:r>
          </w:p>
        </w:tc>
      </w:tr>
      <w:tr w14:paraId="2C994D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6"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14:paraId="0A61543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序号</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14:paraId="7306D8A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提示词</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14:paraId="741BACA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42" w:firstLineChars="20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主要内容</w:t>
            </w:r>
          </w:p>
        </w:tc>
      </w:tr>
      <w:tr w14:paraId="6DAF86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16"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14:paraId="6FF739B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14:paraId="4ECBE77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吊装作业</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14:paraId="0A825C47">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听从负责人统一指挥，注意检查起吊用具有无异常和周围有无不安全因素，严格遵守起吊作业规定，装车避免出现超宽、超高、超重、超长。</w:t>
            </w:r>
          </w:p>
        </w:tc>
      </w:tr>
      <w:tr w14:paraId="68F82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14:paraId="4E358AF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14:paraId="3852F94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斜巷作业</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14:paraId="56706D16">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斜巷作业时，上部车场各出口处，应设警示标志，下方不得有人同时作业。</w:t>
            </w:r>
          </w:p>
        </w:tc>
      </w:tr>
      <w:tr w14:paraId="2CB5C7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6"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14:paraId="3C52475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14:paraId="59A44DF8">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高处作业</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14:paraId="60F250D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必须佩戴安全帽和保险带，随身工具必须有防脱落措施。</w:t>
            </w:r>
          </w:p>
        </w:tc>
      </w:tr>
      <w:tr w14:paraId="42ACC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14:paraId="14A8705B">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14:paraId="04E4211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站位</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14:paraId="2E59A2D8">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时刻保证正确站位，远离运转部位及机车运行线路，确保后退路畅通，注意顶帮支护安全。</w:t>
            </w:r>
          </w:p>
        </w:tc>
      </w:tr>
    </w:tbl>
    <w:p w14:paraId="6D47CC1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一、一般规定</w:t>
      </w:r>
    </w:p>
    <w:p w14:paraId="146AF3A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（一）当班检修人员必须按规定时间到工区会议室点名，参加班前会。</w:t>
      </w:r>
    </w:p>
    <w:p w14:paraId="2FBA655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（二）班前会结束后，检修人员必须更换工作服，着装符合《煤矿安全规程》有关规定，佩带合格的安全帽、矿灯、安全带，下井人员佩带合格的自救器。</w:t>
      </w:r>
    </w:p>
    <w:p w14:paraId="0E57273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（三）由当班班长对当天需进行的工作进行组织并分工，每组不少于2人，做好互保联保。</w:t>
      </w:r>
    </w:p>
    <w:p w14:paraId="6B0F033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（四）检修前准备施工用工器具、材料，并由带班班组长进行检查，合格后方准使用。</w:t>
      </w:r>
    </w:p>
    <w:p w14:paraId="2875A15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（五）班组长向参加人员讲清本次工作的作业要求、作业环境、作业程序，并向作业人员贯彻安全注意事项。</w:t>
      </w:r>
    </w:p>
    <w:p w14:paraId="6DAB2D9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（六）施工前由检修人员与井上、下信号把钩工、输送机司机和提升机司机联系好，确定提升速度、作业内容、时间和信号联系等。</w:t>
      </w:r>
    </w:p>
    <w:p w14:paraId="6150C5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（七）作业时必须保持施工现场秩序，完工后收拾现场一切杂物、废旧零配件。</w:t>
      </w:r>
    </w:p>
    <w:p w14:paraId="3F49953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（八）值班巡检按要求逐一认真仔细检查，并填写好记录，发现问题及时处理，不能处理的及时上报。</w:t>
      </w:r>
    </w:p>
    <w:p w14:paraId="07E56B5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（九）记录本必须在规定地点存放，不可更换位置或另作他用。同时记录本要保持整洁，用黑色碳素笔填写，字迹要清楚、端正，不得出现代签、漏签、错签、涂改现象。</w:t>
      </w:r>
    </w:p>
    <w:p w14:paraId="523BAA3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（十）参加检修人员班前及班中不准喝酒，工作时确保精力集中、站位得当。</w:t>
      </w:r>
    </w:p>
    <w:p w14:paraId="0B07497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（十一）施工过程中严格执行各项规章制度。</w:t>
      </w:r>
    </w:p>
    <w:p w14:paraId="193C55C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（十二）入井、乘罐注意事项</w:t>
      </w:r>
    </w:p>
    <w:p w14:paraId="4CB9AF7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1.入井人员严禁携带烟草或点火用品，严禁穿化纤衣服，入井前严禁喝酒。</w:t>
      </w:r>
    </w:p>
    <w:p w14:paraId="1A7A992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2.入井人员必须戴安全帽，随身携带自救器和矿灯。</w:t>
      </w:r>
    </w:p>
    <w:p w14:paraId="6161A52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3.严格执行入井前安全确认制度。</w:t>
      </w:r>
    </w:p>
    <w:p w14:paraId="0F39A99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4.乘坐罐笼按顺序上下，不可拥挤和打闹；罐笼运行中，不要把头和手脚伸到罐外；不准向井筒里扔东西。</w:t>
      </w:r>
    </w:p>
    <w:p w14:paraId="056EEB7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（十三）井下行走注意事项</w:t>
      </w:r>
    </w:p>
    <w:p w14:paraId="7DAEA3E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1.井下运输大巷，行人必须靠人行道右侧行走，严禁在轨道中间行走。</w:t>
      </w:r>
    </w:p>
    <w:p w14:paraId="55A8314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2.行人跨越轨道或有车辆经过的道路时，首先观察车辆况 ，确认安全后再通过。</w:t>
      </w:r>
    </w:p>
    <w:p w14:paraId="4D3E9F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3.斜巷提升时，人员必须立即进入躲避硐。</w:t>
      </w:r>
    </w:p>
    <w:p w14:paraId="110A94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4.要及时关闭风门，严禁同时打开两道风门。</w:t>
      </w:r>
    </w:p>
    <w:p w14:paraId="5F1735E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5.严禁跨越皮带和乘坐皮带，跨越皮带要走人行过桥。</w:t>
      </w:r>
    </w:p>
    <w:p w14:paraId="0364940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6.严禁扒车、跳车和坐矿车，当车辆经过时，人员要及时躲避。</w:t>
      </w:r>
    </w:p>
    <w:p w14:paraId="18929AB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二、薄弱人物排查治理办法</w:t>
      </w:r>
    </w:p>
    <w:p w14:paraId="40F396D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（一）薄弱人物范畴</w:t>
      </w:r>
    </w:p>
    <w:p w14:paraId="19DEA34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1.嗜好饮酒的“迷糊人”：是指爱好喝酒、酗酒甚至容易醉酒的人。</w:t>
      </w:r>
    </w:p>
    <w:p w14:paraId="21711EA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2.婚期前后的“甜蜜人”：是指正在筹备或者刚刚完成婚姻大事的人。</w:t>
      </w:r>
    </w:p>
    <w:p w14:paraId="4C0AF4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3.家有丧事的“失落人”：是指家庭有亲人离世导致情绪失落波动。</w:t>
      </w:r>
    </w:p>
    <w:p w14:paraId="2C2884F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4.经常违章的“大胆人”：是指自律能力差，对违章屡教不改的人。</w:t>
      </w:r>
    </w:p>
    <w:p w14:paraId="6C512B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5.挨批受罚的“情绪人”：是指受到批评处罚情绪低落的人。</w:t>
      </w:r>
    </w:p>
    <w:p w14:paraId="7FC2070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6.重新上岗的“三长人”：是指长伤、长病、长旷的返岗人员。</w:t>
      </w:r>
    </w:p>
    <w:p w14:paraId="7AF9A8B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7.极度疲劳的“硬撑人”：是指班后从事体力劳动极度疲惫的人。</w:t>
      </w:r>
    </w:p>
    <w:p w14:paraId="1F315A3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8.临近退休的“老年人”：是指年龄偏大（50岁以上）的老工人。</w:t>
      </w:r>
    </w:p>
    <w:p w14:paraId="149B52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9.随时发病的“体弱人”：是指被医院诊断患有高血压、心脏病、脑血栓、抑郁症等病情的人。</w:t>
      </w:r>
    </w:p>
    <w:p w14:paraId="444321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10.家境特殊的“纠结人”：是指频发家庭矛盾影响工作情绪的人。</w:t>
      </w:r>
    </w:p>
    <w:p w14:paraId="17B0AA0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11.岗位调整的“转行人”：是指转换了工作岗位、改变了工作性质的人。</w:t>
      </w:r>
    </w:p>
    <w:p w14:paraId="06A57D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12.初来乍到的“新工人”：是指刚入矿或者从外单位调入的人。</w:t>
      </w:r>
    </w:p>
    <w:p w14:paraId="5267281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13.班前教育的“落空人”：是指未参加班前会的人。</w:t>
      </w:r>
    </w:p>
    <w:p w14:paraId="3213761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14.心力交瘁的“上访人”：是指由于社会矛盾得不到及时解决有上访倾向的人。</w:t>
      </w:r>
    </w:p>
    <w:p w14:paraId="6239EDC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15.八小时以外的“网络人”：是指工作之余，喜欢上网的年轻员工，班前休息不好，上班精力不集中。</w:t>
      </w:r>
    </w:p>
    <w:p w14:paraId="3BB7B3D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16.性格粗暴的“鲁莽人”：是指性格简单粗暴的员工，工作急躁毛躁浮躁。</w:t>
      </w:r>
    </w:p>
    <w:p w14:paraId="6491A1D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17.反应迟钝的“麻木人”：是指工作麻痹大意、马虎凑付不在乎、反应迟钝的员工。</w:t>
      </w:r>
    </w:p>
    <w:p w14:paraId="34703A5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18.不安心工作的“跳槽人”：是指不安心本职工作，意欲调动工作的人。</w:t>
      </w:r>
    </w:p>
    <w:p w14:paraId="179A76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19.不服从管理的“顶牛人”：是指与管理人员或员工有矛盾，不服从管理的员工。</w:t>
      </w:r>
    </w:p>
    <w:p w14:paraId="7824B32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20.肩负第二职业的“经济人”：是指挣钱不要命，工作之余另有第二职业的人。</w:t>
      </w:r>
    </w:p>
    <w:p w14:paraId="6C7E64D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（二）实施建档管理</w:t>
      </w:r>
    </w:p>
    <w:p w14:paraId="7E08CE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79C31A1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（三）具体排查方式</w:t>
      </w:r>
    </w:p>
    <w:p w14:paraId="62E00F8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5BB6EF7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0433E9F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253003A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7872372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247827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7EC572B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（四）薄弱人员管控措施</w:t>
      </w:r>
    </w:p>
    <w:p w14:paraId="4DAA63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1.对于岗前饮酒者，坚决禁止上岗作业。轻者责令其回家休息，重者在区队原地休息或者安排人员护送回家。</w:t>
      </w:r>
    </w:p>
    <w:p w14:paraId="2FCC358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2.对于有喜事或丧事的人员，要通过面谈掌握当事人的心理状态，无异议后方可下井。</w:t>
      </w:r>
    </w:p>
    <w:p w14:paraId="37EC39B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3.对于经常违章的人员，要加强日常的教育，在班前会上注重提问，安排岗位要合理，原则上做到“疑人不用”。</w:t>
      </w:r>
    </w:p>
    <w:p w14:paraId="71931D0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4.对于受到批评和处罚的员工，要加强心理疏导，让当事人放下思想包袱，解除心里抱怨，避免带着情绪上岗。</w:t>
      </w:r>
    </w:p>
    <w:p w14:paraId="31003F6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5.对于“三长”人员，必须加强岗前教育培训，考试合格后方可上岗。上岗过程中，要作为重点的巡查盯靠对象，实施跟踪观察。</w:t>
      </w:r>
    </w:p>
    <w:p w14:paraId="32A446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14:paraId="15889F6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7.对于家庭矛盾突出的员工，应通过谈心或者家访的方式，及时为员工解决家庭矛盾，解开症结，保证员工轻装上岗。</w:t>
      </w:r>
    </w:p>
    <w:p w14:paraId="1440CE2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8.对于临近退休的老工人，在安排岗位上首要考虑安全因素，原则上不安排攀高、抬重、高温等急难险重类型的作业。</w:t>
      </w:r>
    </w:p>
    <w:p w14:paraId="599D6E0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9.对于转岗员工当成新工人尽心管理，严格履行以师带徒合同，在老工人的带领下作业。</w:t>
      </w:r>
    </w:p>
    <w:p w14:paraId="35396C2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1D3B17C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11.凡是没有参加班前会学习教育的人员，一律严禁上岗作业。</w:t>
      </w:r>
    </w:p>
    <w:p w14:paraId="08E67B2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12.对于喜欢上网的年轻员工，要加强引导，多沟通勤交流，促使他们培养健康向上的生活工作情趣。</w:t>
      </w:r>
    </w:p>
    <w:p w14:paraId="7BF7C0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13.对于有上访倾向的人，要及时了解情况，掌握思想状态，活血化瘀，必要时可申请法律援助，解决实际困难。</w:t>
      </w:r>
    </w:p>
    <w:p w14:paraId="2041B11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14:paraId="1B4C1A2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15.对于不服从管理的员工，单位管理人员要及时做好一人一事的思想工作，解决存在的矛盾，使其心悦诚服、心情舒畅的投入工作。</w:t>
      </w:r>
    </w:p>
    <w:p w14:paraId="44B8294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 w:val="0"/>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14:paraId="66A9999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三、安全风险辨识与管控措施</w:t>
      </w:r>
    </w:p>
    <w:p w14:paraId="7057250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（一）通用部分</w:t>
      </w:r>
    </w:p>
    <w:p w14:paraId="00C8C91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1.风险描述：胶带输送机存在火灾风险</w:t>
      </w:r>
    </w:p>
    <w:p w14:paraId="09FA76E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w:t>
      </w:r>
    </w:p>
    <w:p w14:paraId="7911B12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①矿井必须采购具有煤安标志的阻燃胶带，分批次到货的胶带，下井使用前要联系有资质的第三方单位进行安全检验并出具检验报告，胶带磨损严重，需要及时更换。并且滚筒包胶必须选用阻燃橡胶包裹层。</w:t>
      </w:r>
    </w:p>
    <w:p w14:paraId="61E3038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②按要求配备消防器材，合理摆放、禁止随意变动、专人定期维护更换，保证完好有效。</w:t>
      </w:r>
    </w:p>
    <w:p w14:paraId="796815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③区队加强井下火灾事故现场处置培训，确保全体职工熟悉应急处置方案及自救器的正确使用方法，熟悉工作地点避灾路线。</w:t>
      </w:r>
    </w:p>
    <w:p w14:paraId="0B895B0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④专人定期检查各项保护装置，确保各项保护安装符合要求、试验灵敏可靠。</w:t>
      </w:r>
    </w:p>
    <w:p w14:paraId="2779DCC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⑤加强设备巡检，完善巡检制度，明确分管、维修、清理浮煤等人员巡检周期，杜绝积煤积矸磨托辊、皮带。</w:t>
      </w:r>
    </w:p>
    <w:p w14:paraId="3D0668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2.风险描述：煤尘管理不到位可能引发煤尘爆炸风险。</w:t>
      </w:r>
    </w:p>
    <w:p w14:paraId="4D55EA8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管控措施：胶带输送机卸载点安装喷雾，皮带运行时打开喷雾洒水降尘；每天用水冲刷皮带架、管线、地面上的煤尘；维修人员每天检查防尘管路及喷雾效果，发现损坏及时维修。</w:t>
      </w:r>
    </w:p>
    <w:p w14:paraId="75E7043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3.风险描述：矿井存在停电、停风风险。</w:t>
      </w:r>
    </w:p>
    <w:p w14:paraId="0E285B5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矿井发生停电、停风事故且短时间无法恢复时，机选工区打开主井防爆门利用自然风压通风；井下工作人员撤至进风巷内，根据调度室应急语音广播通知要求，按避灾路线撤至副井底，根据实际情况等待救援或沿主副井梯子间升井。</w:t>
      </w:r>
    </w:p>
    <w:p w14:paraId="7EE9232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（二）专用部分</w:t>
      </w:r>
    </w:p>
    <w:p w14:paraId="78D86F0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1.作业前</w:t>
      </w:r>
    </w:p>
    <w:p w14:paraId="1DD25E0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①风险描述：局部喷层开裂、破碎，存在掉矸伤人的风险。</w:t>
      </w:r>
    </w:p>
    <w:p w14:paraId="4605198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管控措施：进入施工地点后，首先使用专用长把工具对施工地点顶板及帮部进行敲帮问顶，敲掉活矸。敲帮问顶应由外向里、自上而下、先顶部后两帮依次进行，敲帮问顶范围内严禁其他人员进入。</w:t>
      </w:r>
    </w:p>
    <w:p w14:paraId="6C52F83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②风险描述：未按规定佩戴防砸靴、手套等防护用品，可能造成人员受伤风险。</w:t>
      </w:r>
    </w:p>
    <w:p w14:paraId="5171AFE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管控措施：作业前，按规定佩戴防砸靴、手套等防护用品。</w:t>
      </w:r>
    </w:p>
    <w:p w14:paraId="2CF70B8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③风险描述：作业人员站位不当或后退路不畅通，可能造成人身伤害风险。</w:t>
      </w:r>
    </w:p>
    <w:p w14:paraId="3028205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管控措施：施工人员规范站位，清理后退路上的杂物。施工过程中注意力集中。</w:t>
      </w:r>
    </w:p>
    <w:p w14:paraId="04A3085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2.作业过程中</w:t>
      </w:r>
    </w:p>
    <w:p w14:paraId="258BA7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①风险描述：吊装作业，吊点脱落、连接不完好可能发生伤人风险。</w:t>
      </w:r>
    </w:p>
    <w:p w14:paraId="7DA320E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起吊前，必须对吊点进行认真检查；使用手拉葫芦起吊重物前，必须对其进行全面检查，检查各部件是否齐全、灵活、可靠；起吊重物的重量必须符合手拉葫芦的铭牌规定；人员规范站位，严禁站在起吊重物下或重物可能倒向的位置。</w:t>
      </w:r>
    </w:p>
    <w:p w14:paraId="613C1D8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②风险描述：登高作业不系安全带，梯子固定不牢，存在高空摔伤的风险。</w:t>
      </w:r>
    </w:p>
    <w:p w14:paraId="1E5461E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管控措施：登高作业前，检查梯子固定是否牢靠，一人扶梯一人登高；作业地点高出地面1.5m时，必须正确佩戴保险带且高挂低用。</w:t>
      </w:r>
    </w:p>
    <w:p w14:paraId="5A75674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③风险描述：人员靠近转动部位，护罩或遮拦等不完好，存在转动部位伤人风险。</w:t>
      </w:r>
    </w:p>
    <w:p w14:paraId="66C1A9D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管控措施：保持护罩或遮拦等防护设施完好，设备运行时保持安全距离。</w:t>
      </w:r>
    </w:p>
    <w:p w14:paraId="66BBDCA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④风险描述：带压力处理压风管路、供水管路时，可能造成喷射伤害风险。</w:t>
      </w:r>
    </w:p>
    <w:p w14:paraId="178A454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管控措施：处理管路漏风、漏水时，应先停风、停水，确定无压力后再处理。</w:t>
      </w:r>
    </w:p>
    <w:p w14:paraId="495AB4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⑤风险描述：斜巷作业或上下同时作业，可能存在运输事故或人身伤害风险。</w:t>
      </w:r>
    </w:p>
    <w:p w14:paraId="6298B7A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管控措施：斜巷作业时，上部车场各出口处，应设警示标志；且下方不得有人同时作业。</w:t>
      </w:r>
    </w:p>
    <w:p w14:paraId="67DE07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⑥风险描述：电机误启动，存在挤伤身体风险。</w:t>
      </w:r>
    </w:p>
    <w:p w14:paraId="35D86CE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管控措施：检修时，先停电、验电，确认无电后，再进行检修作业。</w:t>
      </w:r>
    </w:p>
    <w:p w14:paraId="597E4EA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⑦风险描述：运输信号不清、不明，误操作可能发生人员受伤和设备损坏的风险。</w:t>
      </w:r>
      <w:r>
        <w:rPr>
          <w:rFonts w:hint="eastAsia" w:ascii="仿宋" w:hAnsi="仿宋" w:eastAsia="仿宋" w:cs="仿宋"/>
          <w:color w:val="auto"/>
          <w:kern w:val="2"/>
          <w:sz w:val="28"/>
          <w:szCs w:val="28"/>
          <w:lang w:val="en-US" w:eastAsia="zh-CN" w:bidi="ar"/>
        </w:rPr>
        <w:tab/>
      </w:r>
      <w:r>
        <w:rPr>
          <w:rFonts w:hint="eastAsia" w:ascii="仿宋" w:hAnsi="仿宋" w:eastAsia="仿宋" w:cs="仿宋"/>
          <w:color w:val="auto"/>
          <w:kern w:val="2"/>
          <w:sz w:val="28"/>
          <w:szCs w:val="28"/>
          <w:lang w:val="en-US" w:eastAsia="zh-CN" w:bidi="ar"/>
        </w:rPr>
        <w:t>管控措施：信号工必须持证上岗，严格按规程规定操作。接收信号后需再次确认，信号无误方可开车，人员施工中严禁随意打点。</w:t>
      </w:r>
    </w:p>
    <w:p w14:paraId="08C1592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3.作业后</w:t>
      </w:r>
    </w:p>
    <w:p w14:paraId="19F34A7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①风险描述：检修后，设备固定、连接不可靠，可能造成人身伤害或设备损坏风险。</w:t>
      </w:r>
    </w:p>
    <w:p w14:paraId="0916063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管控措施：设备检修完成后，拆装的零部件必须牢固、连接可靠。</w:t>
      </w:r>
    </w:p>
    <w:p w14:paraId="400CF28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②风险描述：检修后，工具材料未清理干净或遗留在设备内，可能造成设备损坏风险。</w:t>
      </w:r>
    </w:p>
    <w:p w14:paraId="753C815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管控措施：设备检修完成后，清点工具、材料，确保无遗漏。</w:t>
      </w:r>
    </w:p>
    <w:p w14:paraId="101B7B6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四、</w:t>
      </w:r>
      <w:r>
        <w:rPr>
          <w:rFonts w:hint="eastAsia" w:ascii="仿宋" w:hAnsi="仿宋" w:eastAsia="仿宋" w:cs="仿宋"/>
          <w:b/>
          <w:bCs w:val="0"/>
          <w:color w:val="auto"/>
          <w:kern w:val="2"/>
          <w:sz w:val="28"/>
          <w:szCs w:val="28"/>
          <w:lang w:val="en-US" w:eastAsia="zh-CN" w:bidi="ar"/>
        </w:rPr>
        <w:t>（一）</w:t>
      </w:r>
      <w:r>
        <w:rPr>
          <w:rFonts w:hint="eastAsia" w:ascii="仿宋" w:hAnsi="仿宋" w:eastAsia="仿宋" w:cs="仿宋"/>
          <w:b/>
          <w:color w:val="auto"/>
          <w:kern w:val="2"/>
          <w:sz w:val="28"/>
          <w:szCs w:val="28"/>
          <w:lang w:val="en-US" w:eastAsia="zh-CN" w:bidi="ar"/>
        </w:rPr>
        <w:t>作业前检查</w:t>
      </w:r>
    </w:p>
    <w:p w14:paraId="7821F3A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1.防护用品：防护用品齐全完好。</w:t>
      </w:r>
    </w:p>
    <w:p w14:paraId="3C7FC3C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2.顶帮：作业前，首先使用专用长把工具对施工地点顶板及帮部进行敲帮问顶，敲掉活矸。敲帮问顶应由外向里、自上而下、先顶部后两帮依次进行，敲帮问顶范围内严禁其他人员进入。</w:t>
      </w:r>
    </w:p>
    <w:p w14:paraId="5E006B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3.工具：作业所需工具齐全完好。</w:t>
      </w:r>
    </w:p>
    <w:p w14:paraId="6EB3F2C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4.设备、材料：设备已停止运行；材料充足，型号相符。</w:t>
      </w:r>
    </w:p>
    <w:p w14:paraId="0E476D3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5.监护人：监护人到位。</w:t>
      </w:r>
    </w:p>
    <w:p w14:paraId="2F51BD5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color w:val="auto"/>
          <w:kern w:val="2"/>
          <w:sz w:val="28"/>
          <w:szCs w:val="28"/>
          <w:lang w:val="en-US" w:eastAsia="zh-CN" w:bidi="ar"/>
        </w:rPr>
        <w:t>6.站位、后退路：人员站位正确，后退路畅通。</w:t>
      </w:r>
    </w:p>
    <w:p w14:paraId="58E1009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（二）单元检查表确认</w:t>
      </w:r>
    </w:p>
    <w:p w14:paraId="2D41F10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1.记录：查看上一班次检查填写内容是否正常，依规填写；查看岗位工记录，了解设备运行情况。</w:t>
      </w:r>
    </w:p>
    <w:p w14:paraId="2B9B8E5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2.设备外观：检查各类设备外观是否完好、状态是否正常。</w:t>
      </w:r>
    </w:p>
    <w:p w14:paraId="3EC8843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3.跑冒滴漏：检查各设备有无密封不严，跑冒滴漏现象。</w:t>
      </w:r>
    </w:p>
    <w:p w14:paraId="3BEA36D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4.设备排查：排查设备部件有无失效。</w:t>
      </w:r>
    </w:p>
    <w:p w14:paraId="35A5E07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5.设备安装、维修：按操作规程更换、维修失效部件。</w:t>
      </w:r>
    </w:p>
    <w:p w14:paraId="1989D01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6.设备试运转：设备维修完成后进行试运转。</w:t>
      </w:r>
    </w:p>
    <w:p w14:paraId="3704398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7.现场清理：按规定进行现场清理，及洒水降尘。</w:t>
      </w:r>
    </w:p>
    <w:p w14:paraId="4C9244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五、机械安装工正规操作</w:t>
      </w:r>
    </w:p>
    <w:p w14:paraId="31E662A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（一）机械安装工操作顺序：</w:t>
      </w:r>
    </w:p>
    <w:p w14:paraId="76C9089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lang w:val="en-US" w:eastAsia="zh-CN" w:bidi="ar"/>
        </w:rPr>
      </w:pPr>
      <w:r>
        <w:rPr>
          <w:rFonts w:hint="eastAsia" w:ascii="仿宋" w:hAnsi="仿宋" w:eastAsia="仿宋" w:cs="仿宋"/>
          <w:b w:val="0"/>
          <w:color w:val="auto"/>
          <w:kern w:val="2"/>
          <w:sz w:val="28"/>
          <w:szCs w:val="28"/>
          <w:lang w:val="en-US" w:eastAsia="zh-CN" w:bidi="ar"/>
        </w:rPr>
        <w:t>检查巡视→设备排查→设备安装、维修→试运转→清理现场。</w:t>
      </w:r>
    </w:p>
    <w:p w14:paraId="702BD75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（二）机械安装工正规操作：</w:t>
      </w:r>
    </w:p>
    <w:p w14:paraId="25E3026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lang w:val="en-US" w:eastAsia="zh-CN" w:bidi="ar"/>
        </w:rPr>
      </w:pPr>
      <w:r>
        <w:rPr>
          <w:rFonts w:hint="eastAsia" w:ascii="仿宋" w:hAnsi="仿宋" w:eastAsia="仿宋" w:cs="仿宋"/>
          <w:b w:val="0"/>
          <w:color w:val="auto"/>
          <w:kern w:val="2"/>
          <w:sz w:val="28"/>
          <w:szCs w:val="28"/>
          <w:lang w:val="en-US" w:eastAsia="zh-CN" w:bidi="ar"/>
        </w:rPr>
        <w:t>1.检查巡视：按照机械安装工提示卡中的作业前检查确认无误后，方可操作。</w:t>
      </w:r>
    </w:p>
    <w:p w14:paraId="150318B1">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2.设备排查：</w:t>
      </w:r>
      <w:r>
        <w:rPr>
          <w:rFonts w:hint="eastAsia" w:ascii="仿宋" w:hAnsi="仿宋" w:eastAsia="仿宋" w:cs="仿宋"/>
          <w:b w:val="0"/>
          <w:bCs/>
          <w:color w:val="auto"/>
          <w:kern w:val="2"/>
          <w:sz w:val="28"/>
          <w:szCs w:val="28"/>
          <w:lang w:val="en-US" w:eastAsia="zh-CN" w:bidi="ar"/>
        </w:rPr>
        <w:t>机械安装工熟知</w:t>
      </w:r>
      <w:r>
        <w:rPr>
          <w:rFonts w:hint="eastAsia" w:ascii="仿宋" w:hAnsi="仿宋" w:eastAsia="仿宋" w:cs="仿宋"/>
          <w:color w:val="auto"/>
          <w:kern w:val="2"/>
          <w:sz w:val="28"/>
          <w:szCs w:val="28"/>
          <w:lang w:val="en-US" w:eastAsia="zh-CN" w:bidi="ar"/>
        </w:rPr>
        <w:t>安装、检修设备的结构性能，技术规格及其检查维修方法，并按要求对设备进行全面排查。</w:t>
      </w:r>
    </w:p>
    <w:p w14:paraId="319CCA78">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设备安装、维修：确认设备停电闭锁后，进行设备安装、维修，维修质量需符合要求。</w:t>
      </w:r>
    </w:p>
    <w:p w14:paraId="30C6172A">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4.试运转：设备安装、维修后需进行试运转，确保设备运行可靠。</w:t>
      </w:r>
    </w:p>
    <w:p w14:paraId="0D970EDA">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5.清理现场：清理现场杂物、积尘，确保现场标准化达标。</w:t>
      </w:r>
    </w:p>
    <w:p w14:paraId="41D9B874">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b/>
          <w:bCs w:val="0"/>
          <w:color w:val="auto"/>
          <w:kern w:val="2"/>
          <w:sz w:val="28"/>
          <w:szCs w:val="28"/>
          <w:lang w:val="en-US" w:eastAsia="zh-CN" w:bidi="ar"/>
        </w:rPr>
        <w:t>六、机械安装工操作过程中的安全注意事项：</w:t>
      </w:r>
    </w:p>
    <w:p w14:paraId="5A3EC12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1.吊装作业：</w:t>
      </w:r>
      <w:r>
        <w:rPr>
          <w:rFonts w:hint="eastAsia" w:ascii="仿宋" w:hAnsi="仿宋" w:eastAsia="仿宋" w:cs="仿宋"/>
          <w:color w:val="auto"/>
          <w:kern w:val="2"/>
          <w:sz w:val="28"/>
          <w:szCs w:val="28"/>
          <w:lang w:val="en-US" w:eastAsia="zh-CN" w:bidi="ar"/>
        </w:rPr>
        <w:t>听从负责人统一指挥，注意检查起吊用具有无异常和周围有无不安全因素，严格遵守起吊作业规定，装车避免出现超宽、超高、超重、超长。</w:t>
      </w:r>
    </w:p>
    <w:p w14:paraId="6725F10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2.斜巷作业：</w:t>
      </w:r>
      <w:r>
        <w:rPr>
          <w:rFonts w:hint="eastAsia" w:ascii="仿宋" w:hAnsi="仿宋" w:eastAsia="仿宋" w:cs="仿宋"/>
          <w:color w:val="auto"/>
          <w:kern w:val="2"/>
          <w:sz w:val="28"/>
          <w:szCs w:val="28"/>
          <w:lang w:val="en-US" w:eastAsia="zh-CN" w:bidi="ar"/>
        </w:rPr>
        <w:t>斜巷作业时，上部车场各出口处，应设警示标志，下方不得有人同时作业。</w:t>
      </w:r>
    </w:p>
    <w:p w14:paraId="7E78824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3.高处作业：</w:t>
      </w:r>
      <w:r>
        <w:rPr>
          <w:rFonts w:hint="eastAsia" w:ascii="仿宋" w:hAnsi="仿宋" w:eastAsia="仿宋" w:cs="仿宋"/>
          <w:color w:val="auto"/>
          <w:kern w:val="2"/>
          <w:sz w:val="28"/>
          <w:szCs w:val="28"/>
          <w:lang w:val="en-US" w:eastAsia="zh-CN" w:bidi="ar"/>
        </w:rPr>
        <w:t>必须佩戴安全帽和保险带，随身工具必须有防脱落措施。</w:t>
      </w:r>
    </w:p>
    <w:p w14:paraId="311BB86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4.站位：</w:t>
      </w:r>
      <w:r>
        <w:rPr>
          <w:rFonts w:hint="eastAsia" w:ascii="仿宋" w:hAnsi="仿宋" w:eastAsia="仿宋" w:cs="仿宋"/>
          <w:color w:val="auto"/>
          <w:kern w:val="2"/>
          <w:sz w:val="28"/>
          <w:szCs w:val="28"/>
          <w:lang w:val="en-US" w:eastAsia="zh-CN" w:bidi="ar"/>
        </w:rPr>
        <w:t>时刻保证正确站位，远离运转部位及机车运行线路，确保后退路畅通，注意顶帮支护安全。</w:t>
      </w:r>
    </w:p>
    <w:p w14:paraId="43DB39A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 xml:space="preserve">七、全部注意事项  </w:t>
      </w:r>
    </w:p>
    <w:p w14:paraId="7C53507A">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1.机械安装工应具备一定的钳工知识，经考试合格后，方可持证上岗。</w:t>
      </w:r>
    </w:p>
    <w:p w14:paraId="1EC54F9F">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2.工作前要认真检查工作中的使用工具，应保证工具完好，符合规定。</w:t>
      </w:r>
    </w:p>
    <w:p w14:paraId="0C8B9CED">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3.必须了解设备的结构、性能和有关技术要求，修复后必须保证全部恢复设备的安全使用性能。</w:t>
      </w:r>
    </w:p>
    <w:p w14:paraId="6039960F">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4.使用起重设备吊装设备时，起吊用具要牢固，起吊要检查，严禁在物件下作业。</w:t>
      </w:r>
    </w:p>
    <w:p w14:paraId="528DB722">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5.起吊设备时要挂牢挂稳，严禁穿带钉或打滑的鞋工作。</w:t>
      </w:r>
    </w:p>
    <w:p w14:paraId="649CE885">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6.拆装机件时，不准用铸铁、铸铜等脆性材料作捶击或顶压机件，拆装脆性零件时用力要轻、着力要均，捶击时要加软性材料支垫。</w:t>
      </w:r>
    </w:p>
    <w:p w14:paraId="704D3FED">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7.拆卸前必须熟悉机件构造，特殊部件要做好标记，注意不要损坏各结合面。</w:t>
      </w:r>
    </w:p>
    <w:p w14:paraId="7B5E38FB">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8.拆卸零件要按顺序进行，对有相对固定位置或对号入座的零部件拆卸时应做好标记。</w:t>
      </w:r>
    </w:p>
    <w:p w14:paraId="6D371D06">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9.拆下的零部件应妥善放置。</w:t>
      </w:r>
    </w:p>
    <w:p w14:paraId="1CD0B528">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10.检修排放的油要妥善处理，不得污损地面。废棉纱破布要放置在指定器皿。</w:t>
      </w:r>
    </w:p>
    <w:p w14:paraId="1D02B67B">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11.零件装配时，禁止用手指摸孔位和结合面。</w:t>
      </w:r>
    </w:p>
    <w:p w14:paraId="632C1640">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12.检修地点应清洁，对设备进行清洗，严禁用棉纱擦摸液压件。</w:t>
      </w:r>
    </w:p>
    <w:p w14:paraId="1F7487F7">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13.根据检修质量标准对零部件进行检测，分出可用件及报废件。</w:t>
      </w:r>
    </w:p>
    <w:p w14:paraId="2DA15704">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14.部件组装每完成一个步骤应检测一遍，直至整体组装完毕并做好记录。</w:t>
      </w:r>
    </w:p>
    <w:p w14:paraId="6CAB0BBB">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color w:val="auto"/>
          <w:kern w:val="2"/>
          <w:sz w:val="28"/>
          <w:szCs w:val="28"/>
          <w:lang w:val="en-US" w:eastAsia="zh-CN" w:bidi="ar"/>
        </w:rPr>
        <w:t>15.检修后废弃的破布及油水要妥善处理好，做到人走场地清。</w:t>
      </w:r>
    </w:p>
    <w:p w14:paraId="4548A284">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八、停机后确认</w:t>
      </w:r>
    </w:p>
    <w:p w14:paraId="456FE6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1.固定、连接：设备各部位固定、连接牢固。</w:t>
      </w:r>
    </w:p>
    <w:p w14:paraId="54F2197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2.工具、材料：工具、材料已清点，无遗漏。</w:t>
      </w:r>
    </w:p>
    <w:p w14:paraId="183D648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九、事故案例</w:t>
      </w:r>
    </w:p>
    <w:p w14:paraId="152547B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（一）事故经过</w:t>
      </w:r>
    </w:p>
    <w:p w14:paraId="552071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2011年3月7日，王某在岗期间睡觉，6:40发现煤八皮带堵煤，7:00运煤结束后报告当班班长，班长张某安排全班人员7人到煤塔清理积煤，未停机处理。煤六皮带工侯某（男，21岁，进厂时间仅6个月）被安排打扫煤八皮带机尾东侧积煤。7:30侯某在用铁铲清理皮带机辊筒上粘的积煤时（此时皮带机处于运行状态），不慎铁铲被滚筒绞住，侯某手握铁铲被滚筒强大的拉力拉向滚筒，身体被滚筒挤压，头部靠在滚筒上。事故发生时，另一当班员工吕某正在皮带西侧打扫卫生，在听到皮带机异响后，立即踩下紧急事故绳，皮带机停止运行。班长张某于7:34拨打120急救电话，医院医生7:45赶至现场，确认侯某已经死亡。</w:t>
      </w:r>
    </w:p>
    <w:p w14:paraId="43451AAB">
      <w:pPr>
        <w:keepNext w:val="0"/>
        <w:keepLines w:val="0"/>
        <w:pageBreakBefore w:val="0"/>
        <w:widowControl w:val="0"/>
        <w:numPr>
          <w:ilvl w:val="0"/>
          <w:numId w:val="22"/>
        </w:numPr>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事故原因</w:t>
      </w:r>
    </w:p>
    <w:p w14:paraId="0B3AC4B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1.习惯性违章是导致本次事故的主要原因。</w:t>
      </w:r>
    </w:p>
    <w:p w14:paraId="2444C44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2.王某工作责任心不强，岗位睡觉，造成堵煤，并违反岗位安全操作规程，未停机打扫卫生，是本次事故发生的重要原因，负本次事故主要责任。</w:t>
      </w:r>
    </w:p>
    <w:p w14:paraId="4617B0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3.侯某安全意识淡薄，自我防范意识不强，在打扫卫生的过程中，缺乏自我防范保护意识。在作业过程中贪图工作简便，抢时间，在开机状态下打扫卫生，负本次事故次要责任。</w:t>
      </w:r>
    </w:p>
    <w:p w14:paraId="0E2698C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4.管理重心偏移，放松对配、备煤系统的管理，对特殊时段（中夜班）管理失控。</w:t>
      </w:r>
    </w:p>
    <w:p w14:paraId="1EAC8FC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5.对新进员工的教育不到位，缺乏针对性和有效性，对新员工如何尽快掌握本岗位应知应会缺乏有效措施。</w:t>
      </w:r>
    </w:p>
    <w:p w14:paraId="43A94CC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6.检查督促缺乏力度，致使生产过程中的违反劳动纪律的现象和违规操作的行为未能得到有效制止。</w:t>
      </w:r>
    </w:p>
    <w:p w14:paraId="7CF9E24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7.班组现场安全管理不到位，员工现场违章作业未有效禁止，员工安全教育缺失。</w:t>
      </w:r>
    </w:p>
    <w:p w14:paraId="4E902E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8.机头、机尾没有安装防护架。</w:t>
      </w:r>
    </w:p>
    <w:p w14:paraId="360DA37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（三）防范措施</w:t>
      </w:r>
    </w:p>
    <w:p w14:paraId="46716A3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1.扎实做好安全学习、员工岗位应知应会教育，对不合格的要严格考核，督促员工真正掌握应知应会。坚持“先学习、再上岗”的原则，对仍不能达标者，不予上岗，坚决予以辞退。</w:t>
      </w:r>
    </w:p>
    <w:p w14:paraId="2F9D072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2.针对人员变动大，新员工多的特点，班组应仔细研究每个岗位安全生产特性，合理配置岗位人员。</w:t>
      </w:r>
    </w:p>
    <w:p w14:paraId="38CBE50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3.加强硬件配置，在皮带机头、机尾安装防护架，在机头、机尾传动部位安装防护罩，有效杜绝类似事故发生。</w:t>
      </w:r>
    </w:p>
    <w:p w14:paraId="43566D1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4.加强中夜班、节假日生产现场巡查检查、监督考核力度，强化员工劳动纪律的管理，严防人为及管理缺陷导致事故的发生。</w:t>
      </w:r>
    </w:p>
    <w:p w14:paraId="6E5A9E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5.深入开展“全员查隐患、反三违”活动，严格劳动纪律，规范员工操作行为。</w:t>
      </w:r>
    </w:p>
    <w:p w14:paraId="000597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6.加强对班组长的培训和教育，重点提高班组长的安全管理水平和能力。</w:t>
      </w:r>
    </w:p>
    <w:p w14:paraId="31B4864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十、常见三违</w:t>
      </w:r>
    </w:p>
    <w:p w14:paraId="3BC0D7E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（一）安全生产管理人员、特种作业人员、班组长无证上岗或持假证上岗作业；</w:t>
      </w:r>
    </w:p>
    <w:p w14:paraId="42C8DD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（二）人为影响及破坏安全、监测、监控设施正常使用的；</w:t>
      </w:r>
    </w:p>
    <w:p w14:paraId="777C69D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（三）机械设备的旋转部位未按措施规定加挡板或护栏防护的；</w:t>
      </w:r>
    </w:p>
    <w:p w14:paraId="4173CF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（四）人员酒后上岗；</w:t>
      </w:r>
    </w:p>
    <w:p w14:paraId="3E5A592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（五）连续两个班次上岗作业的；</w:t>
      </w:r>
    </w:p>
    <w:p w14:paraId="16092BC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（六）违反安全规程、作业规程、操作规程、施工措施及有关规定的其它行为；</w:t>
      </w:r>
    </w:p>
    <w:p w14:paraId="287DC9D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（七）因操作不当损坏安全设施；</w:t>
      </w:r>
    </w:p>
    <w:p w14:paraId="767D000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（八）地面严禁烟火区域或井口20米范围内吸烟、点火；</w:t>
      </w:r>
    </w:p>
    <w:p w14:paraId="0963D4D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（九）对抵制或举报制止违章的人员进行打击报复；</w:t>
      </w:r>
    </w:p>
    <w:p w14:paraId="1E161A5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（十）高空和井筒上下平行作业；</w:t>
      </w:r>
    </w:p>
    <w:p w14:paraId="04F53C9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（十一）擅自启动机电设备；</w:t>
      </w:r>
    </w:p>
    <w:p w14:paraId="6C2FCB3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（十二）检修机械时没将启动开关闭锁或闭锁后无人看管或未挂停电牌；</w:t>
      </w:r>
    </w:p>
    <w:p w14:paraId="72FF4C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（十三）未按规定验绳（包括检验）验罐，检查井筒设施；</w:t>
      </w:r>
    </w:p>
    <w:p w14:paraId="5EB2F97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（十四）违反措施规定要求起吊或牵引重物；</w:t>
      </w:r>
    </w:p>
    <w:p w14:paraId="4573D70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（十五）井筒或登高作业时工具不用绳拴牢；</w:t>
      </w:r>
    </w:p>
    <w:p w14:paraId="1715305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（十六）起吊重物时起吊点选择不当或违反规定固定；</w:t>
      </w:r>
    </w:p>
    <w:p w14:paraId="001522F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（十七）起吊重物时，吊臂下方或重物下方有人；</w:t>
      </w:r>
    </w:p>
    <w:p w14:paraId="1234C45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（十八）重物起吊后，没有采取可靠的固定措施而松开起吊工具；</w:t>
      </w:r>
    </w:p>
    <w:p w14:paraId="28D626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（十九）大件组装或安装时，下方没采取可靠的防护措施而从事作业；</w:t>
      </w:r>
    </w:p>
    <w:p w14:paraId="38222E3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（二十）起吊大件设备时葫芦不完好没有防脱钩装置或使用单链起吊。</w:t>
      </w:r>
    </w:p>
    <w:p w14:paraId="68A826BF">
      <w:pPr>
        <w:rPr>
          <w:rStyle w:val="19"/>
          <w:rFonts w:hint="eastAsia"/>
          <w:color w:val="auto"/>
          <w:sz w:val="36"/>
          <w:szCs w:val="36"/>
          <w:lang w:val="en-US" w:eastAsia="zh-CN"/>
        </w:rPr>
      </w:pPr>
      <w:bookmarkStart w:id="416" w:name="_Toc23006"/>
      <w:r>
        <w:rPr>
          <w:rStyle w:val="19"/>
          <w:rFonts w:hint="eastAsia"/>
          <w:color w:val="auto"/>
          <w:sz w:val="36"/>
          <w:szCs w:val="36"/>
          <w:lang w:val="en-US" w:eastAsia="zh-CN"/>
        </w:rPr>
        <w:br w:type="page"/>
      </w:r>
    </w:p>
    <w:p w14:paraId="02E29C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1"/>
        <w:rPr>
          <w:rFonts w:hint="eastAsia" w:ascii="仿宋" w:hAnsi="仿宋" w:eastAsia="仿宋" w:cs="仿宋"/>
          <w:color w:val="auto"/>
          <w:kern w:val="2"/>
          <w:sz w:val="36"/>
          <w:szCs w:val="36"/>
        </w:rPr>
      </w:pPr>
      <w:bookmarkStart w:id="417" w:name="_Toc28297"/>
      <w:r>
        <w:rPr>
          <w:rStyle w:val="19"/>
          <w:rFonts w:hint="eastAsia"/>
          <w:color w:val="auto"/>
          <w:sz w:val="36"/>
          <w:szCs w:val="36"/>
          <w:lang w:val="en-US" w:eastAsia="zh-CN"/>
        </w:rPr>
        <w:t>煤矿井下电气作业工</w:t>
      </w:r>
      <w:bookmarkEnd w:id="416"/>
      <w:bookmarkEnd w:id="417"/>
    </w:p>
    <w:tbl>
      <w:tblPr>
        <w:tblStyle w:val="12"/>
        <w:tblW w:w="853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34"/>
        <w:gridCol w:w="334"/>
        <w:gridCol w:w="2075"/>
        <w:gridCol w:w="1585"/>
        <w:gridCol w:w="3394"/>
        <w:gridCol w:w="9"/>
      </w:tblGrid>
      <w:tr w14:paraId="210669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335" w:hRule="atLeast"/>
        </w:trPr>
        <w:tc>
          <w:tcPr>
            <w:tcW w:w="8522" w:type="dxa"/>
            <w:gridSpan w:val="5"/>
            <w:tcBorders>
              <w:top w:val="single" w:color="auto" w:sz="4" w:space="0"/>
              <w:left w:val="single" w:color="auto" w:sz="4" w:space="0"/>
              <w:bottom w:val="single" w:color="auto" w:sz="4" w:space="0"/>
              <w:right w:val="single" w:color="auto" w:sz="4" w:space="0"/>
            </w:tcBorders>
            <w:shd w:val="clear" w:color="auto" w:fill="auto"/>
            <w:vAlign w:val="center"/>
          </w:tcPr>
          <w:p w14:paraId="3752C5F6">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color w:val="auto"/>
                <w:kern w:val="0"/>
                <w:sz w:val="21"/>
                <w:szCs w:val="21"/>
              </w:rPr>
            </w:pPr>
            <w:r>
              <w:rPr>
                <w:rFonts w:hint="eastAsia" w:ascii="仿宋" w:hAnsi="仿宋" w:eastAsia="仿宋" w:cs="仿宋"/>
                <w:b w:val="0"/>
                <w:bCs w:val="0"/>
                <w:color w:val="auto"/>
                <w:kern w:val="0"/>
                <w:sz w:val="21"/>
                <w:szCs w:val="21"/>
                <w:lang w:val="en-US" w:eastAsia="zh-CN" w:bidi="ar"/>
              </w:rPr>
              <w:t>井下电气作业工</w:t>
            </w:r>
            <w:r>
              <w:rPr>
                <w:rFonts w:hint="eastAsia" w:ascii="仿宋" w:hAnsi="仿宋" w:eastAsia="仿宋" w:cs="仿宋"/>
                <w:b w:val="0"/>
                <w:bCs w:val="0"/>
                <w:color w:val="auto"/>
                <w:kern w:val="2"/>
                <w:sz w:val="21"/>
                <w:szCs w:val="21"/>
                <w:lang w:val="en-US" w:eastAsia="zh-CN" w:bidi="ar"/>
              </w:rPr>
              <w:t>岗位风险告知卡</w:t>
            </w:r>
          </w:p>
        </w:tc>
      </w:tr>
      <w:tr w14:paraId="32BFCB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7" w:hRule="atLeast"/>
        </w:trPr>
        <w:tc>
          <w:tcPr>
            <w:tcW w:w="1468" w:type="dxa"/>
            <w:gridSpan w:val="2"/>
            <w:tcBorders>
              <w:top w:val="nil"/>
              <w:left w:val="single" w:color="auto" w:sz="4" w:space="0"/>
              <w:bottom w:val="single" w:color="auto" w:sz="4" w:space="0"/>
              <w:right w:val="single" w:color="auto" w:sz="4" w:space="0"/>
            </w:tcBorders>
            <w:shd w:val="clear" w:color="auto" w:fill="auto"/>
            <w:vAlign w:val="center"/>
          </w:tcPr>
          <w:p w14:paraId="56D6953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lang w:val="en-US" w:eastAsia="zh-CN" w:bidi="ar"/>
              </w:rPr>
            </w:pPr>
            <w:r>
              <w:rPr>
                <w:rFonts w:hint="eastAsia" w:ascii="仿宋" w:hAnsi="仿宋" w:eastAsia="仿宋" w:cs="仿宋"/>
                <w:b/>
                <w:bCs w:val="0"/>
                <w:color w:val="auto"/>
                <w:kern w:val="2"/>
                <w:sz w:val="21"/>
                <w:szCs w:val="21"/>
                <w:lang w:val="en-US" w:eastAsia="zh-CN" w:bidi="ar"/>
              </w:rPr>
              <w:t>风险</w:t>
            </w:r>
          </w:p>
          <w:p w14:paraId="6E21551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
                <w:bCs w:val="0"/>
                <w:color w:val="auto"/>
                <w:kern w:val="2"/>
                <w:sz w:val="21"/>
                <w:szCs w:val="21"/>
                <w:lang w:val="en-US" w:eastAsia="zh-CN" w:bidi="ar"/>
              </w:rPr>
              <w:t>类型</w:t>
            </w:r>
          </w:p>
        </w:tc>
        <w:tc>
          <w:tcPr>
            <w:tcW w:w="2075" w:type="dxa"/>
            <w:tcBorders>
              <w:top w:val="nil"/>
              <w:left w:val="nil"/>
              <w:bottom w:val="single" w:color="auto" w:sz="4" w:space="0"/>
              <w:right w:val="single" w:color="auto" w:sz="4" w:space="0"/>
            </w:tcBorders>
            <w:shd w:val="clear" w:color="auto" w:fill="auto"/>
            <w:vAlign w:val="center"/>
          </w:tcPr>
          <w:p w14:paraId="486BDFA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机电伤害、职业病危害、其它</w:t>
            </w:r>
          </w:p>
        </w:tc>
        <w:tc>
          <w:tcPr>
            <w:tcW w:w="1585" w:type="dxa"/>
            <w:tcBorders>
              <w:top w:val="nil"/>
              <w:left w:val="nil"/>
              <w:bottom w:val="single" w:color="auto" w:sz="4" w:space="0"/>
              <w:right w:val="single" w:color="auto" w:sz="4" w:space="0"/>
            </w:tcBorders>
            <w:shd w:val="clear" w:color="auto" w:fill="auto"/>
            <w:vAlign w:val="center"/>
          </w:tcPr>
          <w:p w14:paraId="294E9C6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lang w:val="en-US" w:eastAsia="zh-CN" w:bidi="ar"/>
              </w:rPr>
            </w:pPr>
            <w:r>
              <w:rPr>
                <w:rFonts w:hint="eastAsia" w:ascii="仿宋" w:hAnsi="仿宋" w:eastAsia="仿宋" w:cs="仿宋"/>
                <w:b/>
                <w:bCs w:val="0"/>
                <w:color w:val="auto"/>
                <w:kern w:val="2"/>
                <w:sz w:val="21"/>
                <w:szCs w:val="21"/>
                <w:lang w:val="en-US" w:eastAsia="zh-CN" w:bidi="ar"/>
              </w:rPr>
              <w:t>事故</w:t>
            </w:r>
          </w:p>
          <w:p w14:paraId="5332898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
                <w:bCs w:val="0"/>
                <w:color w:val="auto"/>
                <w:kern w:val="2"/>
                <w:sz w:val="21"/>
                <w:szCs w:val="21"/>
                <w:lang w:val="en-US" w:eastAsia="zh-CN" w:bidi="ar"/>
              </w:rPr>
              <w:t>报告</w:t>
            </w:r>
          </w:p>
        </w:tc>
        <w:tc>
          <w:tcPr>
            <w:tcW w:w="3403" w:type="dxa"/>
            <w:gridSpan w:val="2"/>
            <w:tcBorders>
              <w:top w:val="nil"/>
              <w:left w:val="nil"/>
              <w:bottom w:val="single" w:color="auto" w:sz="4" w:space="0"/>
              <w:right w:val="single" w:color="auto" w:sz="4" w:space="0"/>
            </w:tcBorders>
            <w:shd w:val="clear" w:color="auto" w:fill="auto"/>
            <w:vAlign w:val="center"/>
          </w:tcPr>
          <w:p w14:paraId="2EAD51B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调度室：8650200、8650202、“#”</w:t>
            </w:r>
          </w:p>
          <w:p w14:paraId="04E5B57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工区值班：8650484</w:t>
            </w:r>
          </w:p>
          <w:p w14:paraId="51E4DC7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安监科值班：8650512</w:t>
            </w:r>
          </w:p>
        </w:tc>
      </w:tr>
      <w:tr w14:paraId="06EC8F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264"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34DCBF4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rPr>
            </w:pPr>
            <w:r>
              <w:rPr>
                <w:rFonts w:hint="eastAsia" w:ascii="仿宋" w:hAnsi="仿宋" w:eastAsia="仿宋" w:cs="仿宋"/>
                <w:b/>
                <w:bCs w:val="0"/>
                <w:color w:val="auto"/>
                <w:kern w:val="2"/>
                <w:sz w:val="21"/>
                <w:szCs w:val="21"/>
                <w:lang w:val="en-US" w:eastAsia="zh-CN" w:bidi="ar"/>
              </w:rPr>
              <w:t>主要危害因素</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14:paraId="318EE6E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rPr>
            </w:pPr>
            <w:r>
              <w:rPr>
                <w:rFonts w:hint="eastAsia" w:ascii="仿宋" w:hAnsi="仿宋" w:eastAsia="仿宋" w:cs="仿宋"/>
                <w:b/>
                <w:bCs w:val="0"/>
                <w:color w:val="auto"/>
                <w:kern w:val="2"/>
                <w:sz w:val="21"/>
                <w:szCs w:val="21"/>
                <w:lang w:val="en-US" w:eastAsia="zh-CN" w:bidi="ar"/>
              </w:rPr>
              <w:t>管控措施</w:t>
            </w:r>
          </w:p>
        </w:tc>
      </w:tr>
      <w:tr w14:paraId="03D1A9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757"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0449EA2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1.未持证上岗；未佩戴个体防护；空顶作业；瓦斯超限作业。</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14:paraId="462138C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1.经培训合格后，持证上岗；佩戴好安全帽、口罩、耳塞，必须穿绝缘靴且完好无破损；检查好顶帮支护情况，确保顶帮支护合格后方可上岗作业；瓦斯浓度达到1%时，立即停机处理。</w:t>
            </w:r>
          </w:p>
        </w:tc>
      </w:tr>
      <w:tr w14:paraId="2F5E77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793"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48FF3B9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2.工具、仪表、配件携带不齐全；带电搬迁，触电伤人、损坏设备。</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14:paraId="1EB769C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2.检查备齐检修工具、检测仪表齐全完好，材料、配件充足，型号相符；施工前将带电设备上级停电，无误后方可施工，严禁带电搬迁。</w:t>
            </w:r>
          </w:p>
        </w:tc>
      </w:tr>
      <w:tr w14:paraId="20E9F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1127"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72CC6DA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3.检修前未停电闭锁；未挂停电牌；未执行验放电程序。</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14:paraId="1FBEA2C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3.检修或维修前，先将开关把手扳到停电位置并闭锁；在开关上挂“有人工作，禁止送电”警示牌，必要时设专人看护，严禁带电操作；电气接线或使用工具前，必须检查验电笔是否符合所用绝缘等级；将接地线一端挂在接地端子上，开盖后进行验电、放电。</w:t>
            </w:r>
          </w:p>
        </w:tc>
      </w:tr>
      <w:tr w14:paraId="063F75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546"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4810985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4.各零部件不齐全，连接不牢固；电缆破损、漏电。</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14:paraId="405EBA7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4.检查设备各零部件是否齐全，连接是否牢固，设备经试验正常后方可使用；加强巡查，电缆外皮破损及时修复。</w:t>
            </w:r>
          </w:p>
        </w:tc>
      </w:tr>
      <w:tr w14:paraId="1AD1C6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863" w:hRule="atLeast"/>
        </w:trPr>
        <w:tc>
          <w:tcPr>
            <w:tcW w:w="1134" w:type="dxa"/>
            <w:tcBorders>
              <w:top w:val="nil"/>
              <w:left w:val="single" w:color="auto" w:sz="4" w:space="0"/>
              <w:bottom w:val="single" w:color="auto" w:sz="4" w:space="0"/>
              <w:right w:val="single" w:color="auto" w:sz="4" w:space="0"/>
            </w:tcBorders>
            <w:shd w:val="clear" w:color="auto" w:fill="auto"/>
            <w:vAlign w:val="center"/>
          </w:tcPr>
          <w:p w14:paraId="6CEDB494">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18F586AF">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388" w:type="dxa"/>
            <w:gridSpan w:val="4"/>
            <w:tcBorders>
              <w:top w:val="single" w:color="auto" w:sz="4" w:space="0"/>
              <w:left w:val="nil"/>
              <w:bottom w:val="single" w:color="auto" w:sz="4" w:space="0"/>
              <w:right w:val="single" w:color="auto" w:sz="4" w:space="0"/>
            </w:tcBorders>
            <w:shd w:val="clear" w:color="auto" w:fill="auto"/>
            <w:vAlign w:val="center"/>
          </w:tcPr>
          <w:p w14:paraId="5F707CA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7506A17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16E509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863" w:hRule="atLeast"/>
        </w:trPr>
        <w:tc>
          <w:tcPr>
            <w:tcW w:w="1134" w:type="dxa"/>
            <w:tcBorders>
              <w:top w:val="nil"/>
              <w:left w:val="single" w:color="auto" w:sz="4" w:space="0"/>
              <w:bottom w:val="single" w:color="auto" w:sz="4" w:space="0"/>
              <w:right w:val="single" w:color="auto" w:sz="4" w:space="0"/>
            </w:tcBorders>
            <w:shd w:val="clear" w:color="auto" w:fill="auto"/>
            <w:vAlign w:val="center"/>
          </w:tcPr>
          <w:p w14:paraId="3A3E3E8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lang w:val="en-US" w:eastAsia="zh-CN" w:bidi="ar"/>
              </w:rPr>
            </w:pPr>
            <w:r>
              <w:rPr>
                <w:rFonts w:hint="eastAsia" w:ascii="仿宋" w:hAnsi="仿宋" w:eastAsia="仿宋" w:cs="仿宋"/>
                <w:b/>
                <w:bCs w:val="0"/>
                <w:color w:val="auto"/>
                <w:kern w:val="2"/>
                <w:sz w:val="21"/>
                <w:szCs w:val="21"/>
                <w:lang w:val="en-US" w:eastAsia="zh-CN" w:bidi="ar"/>
              </w:rPr>
              <w:t>应急</w:t>
            </w:r>
          </w:p>
          <w:p w14:paraId="1FAB6BC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lang w:val="en-US" w:eastAsia="zh-CN" w:bidi="ar"/>
              </w:rPr>
            </w:pPr>
            <w:r>
              <w:rPr>
                <w:rFonts w:hint="eastAsia" w:ascii="仿宋" w:hAnsi="仿宋" w:eastAsia="仿宋" w:cs="仿宋"/>
                <w:b/>
                <w:bCs w:val="0"/>
                <w:color w:val="auto"/>
                <w:kern w:val="2"/>
                <w:sz w:val="21"/>
                <w:szCs w:val="21"/>
                <w:lang w:val="en-US" w:eastAsia="zh-CN" w:bidi="ar"/>
              </w:rPr>
              <w:t>处置</w:t>
            </w:r>
          </w:p>
          <w:p w14:paraId="498DE53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
                <w:bCs w:val="0"/>
                <w:color w:val="auto"/>
                <w:kern w:val="2"/>
                <w:sz w:val="21"/>
                <w:szCs w:val="21"/>
                <w:lang w:val="en-US" w:eastAsia="zh-CN" w:bidi="ar"/>
              </w:rPr>
              <w:t>措施</w:t>
            </w:r>
          </w:p>
        </w:tc>
        <w:tc>
          <w:tcPr>
            <w:tcW w:w="7388" w:type="dxa"/>
            <w:gridSpan w:val="4"/>
            <w:tcBorders>
              <w:top w:val="single" w:color="auto" w:sz="4" w:space="0"/>
              <w:left w:val="nil"/>
              <w:bottom w:val="single" w:color="auto" w:sz="4" w:space="0"/>
              <w:right w:val="single" w:color="auto" w:sz="4" w:space="0"/>
            </w:tcBorders>
            <w:shd w:val="clear" w:color="auto" w:fill="auto"/>
            <w:vAlign w:val="center"/>
          </w:tcPr>
          <w:p w14:paraId="15785EDB">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0" w:right="0" w:rightChars="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1.发生事故后，第一时间向工区值班室和调度室汇报。</w:t>
            </w:r>
          </w:p>
          <w:p w14:paraId="5A3DA0C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2.如果是电气火灾，立即找到电源开关，切断电源。</w:t>
            </w:r>
          </w:p>
          <w:p w14:paraId="28797B3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3.抢救伤员遵循“三先三后”原则。</w:t>
            </w:r>
          </w:p>
          <w:p w14:paraId="436B0B5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4.当火势得不到有效控制时，立即选择逃生，在逃生时注意方式方法，要俯下身子用湿毛巾捂住口鼻，迅速打开自救器逃生，必要时进入避难硐室避灾。</w:t>
            </w:r>
          </w:p>
        </w:tc>
      </w:tr>
    </w:tbl>
    <w:p w14:paraId="1ACD07B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 xml:space="preserve"> </w:t>
      </w:r>
    </w:p>
    <w:tbl>
      <w:tblPr>
        <w:tblStyle w:val="12"/>
        <w:tblW w:w="8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314"/>
        <w:gridCol w:w="4266"/>
      </w:tblGrid>
      <w:tr w14:paraId="140E61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858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E3EFEE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rPr>
            </w:pPr>
            <w:r>
              <w:rPr>
                <w:rFonts w:hint="eastAsia" w:ascii="仿宋" w:hAnsi="仿宋" w:eastAsia="仿宋" w:cs="仿宋"/>
                <w:b/>
                <w:bCs w:val="0"/>
                <w:color w:val="auto"/>
                <w:kern w:val="2"/>
                <w:sz w:val="21"/>
                <w:szCs w:val="21"/>
                <w:lang w:val="en-US" w:eastAsia="zh-CN" w:bidi="ar"/>
              </w:rPr>
              <w:t>井下电气作业工安全提示卡</w:t>
            </w:r>
          </w:p>
        </w:tc>
      </w:tr>
      <w:tr w14:paraId="3B0BD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14:paraId="286A245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839" w:firstLineChars="398"/>
              <w:jc w:val="both"/>
              <w:outlineLvl w:val="9"/>
              <w:rPr>
                <w:rFonts w:hint="eastAsia" w:ascii="仿宋" w:hAnsi="仿宋" w:eastAsia="仿宋" w:cs="仿宋"/>
                <w:b/>
                <w:bCs/>
                <w:color w:val="auto"/>
                <w:kern w:val="2"/>
                <w:sz w:val="21"/>
                <w:szCs w:val="21"/>
              </w:rPr>
            </w:pPr>
            <w:r>
              <w:rPr>
                <w:rFonts w:hint="eastAsia" w:ascii="仿宋" w:hAnsi="仿宋" w:eastAsia="仿宋" w:cs="仿宋"/>
                <w:b/>
                <w:bCs/>
                <w:color w:val="auto"/>
                <w:kern w:val="2"/>
                <w:sz w:val="21"/>
                <w:szCs w:val="21"/>
                <w:lang w:val="en-US" w:eastAsia="zh-CN" w:bidi="ar"/>
              </w:rPr>
              <w:t>操作前检查</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14:paraId="04AFDF6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7" w:firstLineChars="98"/>
              <w:jc w:val="center"/>
              <w:outlineLvl w:val="9"/>
              <w:rPr>
                <w:rFonts w:hint="eastAsia" w:ascii="仿宋" w:hAnsi="仿宋" w:eastAsia="仿宋" w:cs="仿宋"/>
                <w:b/>
                <w:bCs/>
                <w:color w:val="auto"/>
                <w:kern w:val="2"/>
                <w:sz w:val="21"/>
                <w:szCs w:val="21"/>
              </w:rPr>
            </w:pPr>
            <w:r>
              <w:rPr>
                <w:rFonts w:hint="eastAsia" w:ascii="仿宋" w:hAnsi="仿宋" w:eastAsia="仿宋" w:cs="仿宋"/>
                <w:b/>
                <w:bCs/>
                <w:color w:val="auto"/>
                <w:kern w:val="2"/>
                <w:sz w:val="21"/>
                <w:szCs w:val="21"/>
                <w:lang w:val="en-US" w:eastAsia="zh-CN" w:bidi="ar"/>
              </w:rPr>
              <w:t>操作后确认</w:t>
            </w:r>
          </w:p>
        </w:tc>
      </w:tr>
      <w:tr w14:paraId="7E22C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14:paraId="5EFC2CC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1.顶帮</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14:paraId="4F03167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1.零部件连接</w:t>
            </w:r>
          </w:p>
        </w:tc>
      </w:tr>
      <w:tr w14:paraId="2261F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14:paraId="19390E1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★2.瓦斯</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14:paraId="758C627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2.工具、材料</w:t>
            </w:r>
          </w:p>
        </w:tc>
      </w:tr>
      <w:tr w14:paraId="37C52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14:paraId="2DF4224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3.防护用品</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14:paraId="60E8810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★3.恢复供电</w:t>
            </w:r>
          </w:p>
        </w:tc>
      </w:tr>
      <w:tr w14:paraId="657A5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14:paraId="04AC850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4.工具、材料</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14:paraId="03DB88D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p>
        </w:tc>
      </w:tr>
      <w:tr w14:paraId="4B724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14:paraId="76C077F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5.监护人</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14:paraId="2F3B547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p>
        </w:tc>
      </w:tr>
      <w:tr w14:paraId="3EC2D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14:paraId="02E9812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6.站位</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14:paraId="6A3CDF0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p>
        </w:tc>
      </w:tr>
      <w:tr w14:paraId="3C06E7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14:paraId="384587B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★7.停电</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14:paraId="3BB1D6A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p>
        </w:tc>
      </w:tr>
      <w:tr w14:paraId="51A456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8580" w:type="dxa"/>
            <w:gridSpan w:val="2"/>
            <w:tcBorders>
              <w:top w:val="single" w:color="auto" w:sz="4" w:space="0"/>
              <w:left w:val="single" w:color="auto" w:sz="4" w:space="0"/>
              <w:bottom w:val="single" w:color="auto" w:sz="4" w:space="0"/>
              <w:right w:val="single" w:color="auto" w:sz="4" w:space="0"/>
            </w:tcBorders>
            <w:shd w:val="clear" w:color="auto" w:fill="auto"/>
            <w:vAlign w:val="top"/>
          </w:tcPr>
          <w:p w14:paraId="2DD3892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注：第一次按维修前内容逐项检查并确认，存在问题整改后再确认；中间再次操作只检查带“★”部分；维修任务全部结束后按维修后内容逐项检查并确认。</w:t>
            </w:r>
          </w:p>
        </w:tc>
      </w:tr>
    </w:tbl>
    <w:p w14:paraId="325F3A54">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color w:val="auto"/>
        </w:rPr>
      </w:pPr>
      <w:r>
        <w:rPr>
          <w:rFonts w:hint="eastAsia" w:ascii="仿宋" w:hAnsi="仿宋" w:eastAsia="仿宋" w:cs="仿宋"/>
          <w:bCs/>
          <w:color w:val="auto"/>
          <w:kern w:val="2"/>
          <w:sz w:val="21"/>
          <w:szCs w:val="21"/>
          <w:lang w:val="en-US" w:eastAsia="zh-CN" w:bidi="ar"/>
        </w:rPr>
        <w:t xml:space="preserve"> </w:t>
      </w:r>
    </w:p>
    <w:tbl>
      <w:tblPr>
        <w:tblStyle w:val="1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522"/>
      </w:tblGrid>
      <w:tr w14:paraId="203C0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2C90A41C">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rPr>
            </w:pPr>
            <w:r>
              <w:rPr>
                <w:rFonts w:hint="eastAsia" w:ascii="仿宋" w:hAnsi="仿宋" w:eastAsia="仿宋" w:cs="仿宋"/>
                <w:b w:val="0"/>
                <w:bCs/>
                <w:color w:val="auto"/>
                <w:kern w:val="2"/>
                <w:sz w:val="21"/>
                <w:szCs w:val="21"/>
                <w:lang w:val="en-US" w:eastAsia="zh-CN" w:bidi="ar"/>
              </w:rPr>
              <w:t>井下电气作业工单元检查表</w:t>
            </w:r>
          </w:p>
        </w:tc>
      </w:tr>
      <w:tr w14:paraId="0D511C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6F4611C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1.记录</w:t>
            </w:r>
          </w:p>
        </w:tc>
      </w:tr>
      <w:tr w14:paraId="5C26B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5C658D4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2.设备外观</w:t>
            </w:r>
          </w:p>
        </w:tc>
      </w:tr>
      <w:tr w14:paraId="1F50E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750523A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3.保护试验</w:t>
            </w:r>
          </w:p>
        </w:tc>
      </w:tr>
      <w:tr w14:paraId="1798DD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546C0D7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4.电缆吊挂</w:t>
            </w:r>
          </w:p>
        </w:tc>
      </w:tr>
      <w:tr w14:paraId="4379DB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0D46FD7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5.防爆检查</w:t>
            </w:r>
          </w:p>
        </w:tc>
      </w:tr>
      <w:tr w14:paraId="4E5B3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29A6CB1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 xml:space="preserve">  6.工器具试验</w:t>
            </w:r>
          </w:p>
        </w:tc>
      </w:tr>
      <w:tr w14:paraId="7C909B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072C05A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7.故障处理</w:t>
            </w:r>
          </w:p>
        </w:tc>
      </w:tr>
      <w:tr w14:paraId="4E1F0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690B106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8.接线工艺</w:t>
            </w:r>
          </w:p>
        </w:tc>
      </w:tr>
      <w:tr w14:paraId="525CC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2950CA4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9.其他电气作业项目</w:t>
            </w:r>
          </w:p>
        </w:tc>
      </w:tr>
      <w:tr w14:paraId="7FC8A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4"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14:paraId="2B8DC81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注：1.患有高血压、心脏病、哮喘、色盲、听力障碍等疾病的人，不得从事电气作业。</w:t>
            </w:r>
          </w:p>
          <w:p w14:paraId="6F9EB34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 xml:space="preserve">    2.从事电气作业人员，经过安全技术培训和考试合格，取得“电工操作证”，并受过触电急救法训练合格后，方可进行上岗作业。</w:t>
            </w:r>
          </w:p>
        </w:tc>
      </w:tr>
    </w:tbl>
    <w:p w14:paraId="5225B4C4">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 xml:space="preserve"> </w:t>
      </w:r>
    </w:p>
    <w:tbl>
      <w:tblPr>
        <w:tblStyle w:val="12"/>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32"/>
        <w:gridCol w:w="1566"/>
        <w:gridCol w:w="6022"/>
      </w:tblGrid>
      <w:tr w14:paraId="0C48A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8" w:hRule="atLeast"/>
          <w:jc w:val="center"/>
        </w:trPr>
        <w:tc>
          <w:tcPr>
            <w:tcW w:w="852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0D81E2F9">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2" w:firstLineChars="200"/>
              <w:jc w:val="center"/>
              <w:outlineLvl w:val="9"/>
              <w:rPr>
                <w:rFonts w:hint="eastAsia" w:ascii="仿宋" w:hAnsi="仿宋" w:eastAsia="仿宋" w:cs="仿宋"/>
                <w:b/>
                <w:bCs w:val="0"/>
                <w:color w:val="auto"/>
                <w:kern w:val="2"/>
                <w:sz w:val="21"/>
                <w:szCs w:val="21"/>
              </w:rPr>
            </w:pPr>
            <w:r>
              <w:rPr>
                <w:rFonts w:hint="eastAsia" w:ascii="仿宋" w:hAnsi="仿宋" w:eastAsia="仿宋" w:cs="仿宋"/>
                <w:b/>
                <w:bCs w:val="0"/>
                <w:color w:val="auto"/>
                <w:kern w:val="2"/>
                <w:sz w:val="21"/>
                <w:szCs w:val="21"/>
                <w:lang w:val="en-US" w:eastAsia="zh-CN" w:bidi="ar"/>
              </w:rPr>
              <w:t>井下电气作业工操作过程注意事项</w:t>
            </w:r>
          </w:p>
        </w:tc>
      </w:tr>
      <w:tr w14:paraId="5ED52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14:paraId="678BE0D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2"/>
                <w:szCs w:val="22"/>
              </w:rPr>
            </w:pPr>
            <w:r>
              <w:rPr>
                <w:rFonts w:hint="eastAsia" w:ascii="仿宋" w:hAnsi="仿宋" w:eastAsia="仿宋" w:cs="仿宋"/>
                <w:b/>
                <w:bCs w:val="0"/>
                <w:color w:val="auto"/>
                <w:kern w:val="2"/>
                <w:sz w:val="22"/>
                <w:szCs w:val="22"/>
                <w:lang w:val="en-US" w:eastAsia="zh-CN" w:bidi="ar"/>
              </w:rPr>
              <w:t>序号</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14:paraId="1C3C8BF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2"/>
                <w:szCs w:val="22"/>
              </w:rPr>
            </w:pPr>
            <w:r>
              <w:rPr>
                <w:rFonts w:hint="eastAsia" w:ascii="仿宋" w:hAnsi="仿宋" w:eastAsia="仿宋" w:cs="仿宋"/>
                <w:b/>
                <w:bCs w:val="0"/>
                <w:color w:val="auto"/>
                <w:kern w:val="2"/>
                <w:sz w:val="22"/>
                <w:szCs w:val="22"/>
                <w:lang w:val="en-US" w:eastAsia="zh-CN" w:bidi="ar"/>
              </w:rPr>
              <w:t>提示词</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14:paraId="5E54D16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42" w:firstLineChars="200"/>
              <w:jc w:val="center"/>
              <w:outlineLvl w:val="9"/>
              <w:rPr>
                <w:rFonts w:hint="eastAsia" w:ascii="仿宋" w:hAnsi="仿宋" w:eastAsia="仿宋" w:cs="仿宋"/>
                <w:b/>
                <w:bCs w:val="0"/>
                <w:color w:val="auto"/>
                <w:kern w:val="2"/>
                <w:sz w:val="22"/>
                <w:szCs w:val="22"/>
              </w:rPr>
            </w:pPr>
            <w:r>
              <w:rPr>
                <w:rFonts w:hint="eastAsia" w:ascii="仿宋" w:hAnsi="仿宋" w:eastAsia="仿宋" w:cs="仿宋"/>
                <w:b/>
                <w:bCs w:val="0"/>
                <w:color w:val="auto"/>
                <w:kern w:val="2"/>
                <w:sz w:val="22"/>
                <w:szCs w:val="22"/>
                <w:lang w:val="en-US" w:eastAsia="zh-CN" w:bidi="ar"/>
              </w:rPr>
              <w:t>主要内容</w:t>
            </w:r>
          </w:p>
        </w:tc>
      </w:tr>
      <w:tr w14:paraId="7080C9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62"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14:paraId="017C1AF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1</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14:paraId="2171248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停电、验电作业</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14:paraId="69C0C2E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检修和搬迁井下电气设备前必须停电；用与电源电压相适应的验电器验电后，对电气设备进行放电；在煤矿井下操作时应在附近瓦斯浓度低于1.0%时进行；开关在切断电源后必须闭锁，并悬挂“有人工作，禁止送电”警示牌，只有执行这项操作的人员有权取下此牌。</w:t>
            </w:r>
          </w:p>
        </w:tc>
      </w:tr>
      <w:tr w14:paraId="25F61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3"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14:paraId="4821B6B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2</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14:paraId="5B622C1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斜巷作业</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14:paraId="578D995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斜巷作业时，上部车场各出口处，应设警示标志，下方不得有人同时作业。</w:t>
            </w:r>
          </w:p>
        </w:tc>
      </w:tr>
      <w:tr w14:paraId="049B81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14:paraId="6586BCC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3</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14:paraId="2C85B0C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高处作业</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14:paraId="34DC129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必须佩戴安全帽和保险带，随身工具必须有防脱落措施。</w:t>
            </w:r>
          </w:p>
        </w:tc>
      </w:tr>
      <w:tr w14:paraId="55263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14:paraId="2ED808B6">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4</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14:paraId="70C77DE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站位</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14:paraId="1BD4969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时刻保证正确站位，远离运转部位及机车运行线路，确保后退路畅通，注意顶帮支护安全。</w:t>
            </w:r>
          </w:p>
        </w:tc>
      </w:tr>
      <w:tr w14:paraId="7BA6B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14:paraId="0625E01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5</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14:paraId="4732CD0F">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停送电作业</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14:paraId="5110E78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严格执行谁停电、谁送电的停电制度；严禁约时停送电现象发生。</w:t>
            </w:r>
          </w:p>
        </w:tc>
      </w:tr>
    </w:tbl>
    <w:p w14:paraId="370D671F">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leftChars="0" w:right="0" w:firstLine="0" w:firstLineChars="0"/>
        <w:jc w:val="both"/>
        <w:outlineLvl w:val="9"/>
        <w:rPr>
          <w:rFonts w:hint="eastAsia" w:ascii="仿宋" w:hAnsi="仿宋" w:eastAsia="仿宋" w:cs="仿宋"/>
          <w:b/>
          <w:color w:val="auto"/>
          <w:kern w:val="2"/>
          <w:sz w:val="21"/>
          <w:szCs w:val="21"/>
          <w:lang w:eastAsia="zh-CN" w:bidi="ar"/>
        </w:rPr>
      </w:pPr>
      <w:r>
        <w:rPr>
          <w:rFonts w:hint="eastAsia" w:ascii="仿宋" w:hAnsi="仿宋" w:eastAsia="仿宋" w:cs="仿宋"/>
          <w:b/>
          <w:color w:val="auto"/>
          <w:kern w:val="2"/>
          <w:sz w:val="21"/>
          <w:szCs w:val="21"/>
          <w:lang w:eastAsia="zh-CN" w:bidi="ar"/>
        </w:rPr>
        <w:t xml:space="preserve">    </w:t>
      </w:r>
    </w:p>
    <w:p w14:paraId="2CA2ED62">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leftChars="0" w:right="0" w:firstLine="0" w:firstLineChars="0"/>
        <w:jc w:val="both"/>
        <w:outlineLvl w:val="9"/>
        <w:rPr>
          <w:rFonts w:hint="eastAsia" w:ascii="仿宋" w:hAnsi="仿宋" w:eastAsia="仿宋" w:cs="仿宋"/>
          <w:b/>
          <w:color w:val="auto"/>
          <w:kern w:val="2"/>
          <w:sz w:val="21"/>
          <w:szCs w:val="21"/>
          <w:lang w:eastAsia="zh-CN" w:bidi="ar"/>
        </w:rPr>
      </w:pPr>
    </w:p>
    <w:p w14:paraId="32AC2D0F">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一、一般规定</w:t>
      </w:r>
    </w:p>
    <w:p w14:paraId="7561E2C3">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eastAsia="zh-CN" w:bidi="ar"/>
        </w:rPr>
        <w:t>（一）</w:t>
      </w:r>
      <w:r>
        <w:rPr>
          <w:rFonts w:hint="eastAsia" w:ascii="仿宋" w:hAnsi="仿宋" w:eastAsia="仿宋" w:cs="仿宋"/>
          <w:bCs/>
          <w:color w:val="auto"/>
          <w:kern w:val="2"/>
          <w:sz w:val="28"/>
          <w:szCs w:val="28"/>
          <w:lang w:val="en-US" w:eastAsia="zh-CN" w:bidi="ar"/>
        </w:rPr>
        <w:t>入井人员严禁携带烟草或点火用品，严禁穿化纤衣服，入井前严禁喝酒。</w:t>
      </w:r>
    </w:p>
    <w:p w14:paraId="364489E2">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（二）</w:t>
      </w:r>
      <w:r>
        <w:rPr>
          <w:rFonts w:hint="eastAsia" w:ascii="仿宋" w:hAnsi="仿宋" w:eastAsia="仿宋" w:cs="仿宋"/>
          <w:bCs/>
          <w:color w:val="auto"/>
          <w:kern w:val="2"/>
          <w:sz w:val="28"/>
          <w:szCs w:val="28"/>
          <w:lang w:val="en-US" w:eastAsia="zh-CN" w:bidi="ar"/>
        </w:rPr>
        <w:t>入井人员必须戴安全帽，随身携带自救器和矿灯。</w:t>
      </w:r>
    </w:p>
    <w:p w14:paraId="0F4B81A8">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val="en-US" w:eastAsia="zh-CN" w:bidi="ar"/>
        </w:rPr>
        <w:t>（三）严格执行入井前安全确认制度。</w:t>
      </w:r>
    </w:p>
    <w:p w14:paraId="649DBFFA">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（四）</w:t>
      </w:r>
      <w:r>
        <w:rPr>
          <w:rFonts w:hint="eastAsia" w:ascii="仿宋" w:hAnsi="仿宋" w:eastAsia="仿宋" w:cs="仿宋"/>
          <w:bCs/>
          <w:color w:val="auto"/>
          <w:kern w:val="2"/>
          <w:sz w:val="28"/>
          <w:szCs w:val="28"/>
          <w:lang w:val="en-US" w:eastAsia="zh-CN" w:bidi="ar"/>
        </w:rPr>
        <w:t>乘坐罐笼按顺序上下，不可拥挤和打闹；罐笼运行中，不要把头和手脚伸到罐外；不准向井筒里扔东西。</w:t>
      </w:r>
    </w:p>
    <w:p w14:paraId="6494D3EE">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（五）</w:t>
      </w:r>
      <w:r>
        <w:rPr>
          <w:rFonts w:hint="eastAsia" w:ascii="仿宋" w:hAnsi="仿宋" w:eastAsia="仿宋" w:cs="仿宋"/>
          <w:bCs/>
          <w:color w:val="auto"/>
          <w:kern w:val="2"/>
          <w:sz w:val="28"/>
          <w:szCs w:val="28"/>
          <w:lang w:val="en-US" w:eastAsia="zh-CN" w:bidi="ar"/>
        </w:rPr>
        <w:t>井下运输大巷，行人必须靠人行道右侧行走，严禁在轨道中间行走。</w:t>
      </w:r>
    </w:p>
    <w:p w14:paraId="1BF740F8">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（六）</w:t>
      </w:r>
      <w:r>
        <w:rPr>
          <w:rFonts w:hint="eastAsia" w:ascii="仿宋" w:hAnsi="仿宋" w:eastAsia="仿宋" w:cs="仿宋"/>
          <w:bCs/>
          <w:color w:val="auto"/>
          <w:kern w:val="2"/>
          <w:sz w:val="28"/>
          <w:szCs w:val="28"/>
          <w:lang w:val="en-US" w:eastAsia="zh-CN" w:bidi="ar"/>
        </w:rPr>
        <w:t>行人跨越轨道或有车辆经过的道路时，首先观察车辆况，确认安全后再通过。</w:t>
      </w:r>
    </w:p>
    <w:p w14:paraId="59182515">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（七）</w:t>
      </w:r>
      <w:r>
        <w:rPr>
          <w:rFonts w:hint="eastAsia" w:ascii="仿宋" w:hAnsi="仿宋" w:eastAsia="仿宋" w:cs="仿宋"/>
          <w:bCs/>
          <w:color w:val="auto"/>
          <w:kern w:val="2"/>
          <w:sz w:val="28"/>
          <w:szCs w:val="28"/>
          <w:lang w:val="en-US" w:eastAsia="zh-CN" w:bidi="ar"/>
        </w:rPr>
        <w:t>斜巷提升时，人员必须立即进入躲避硐。</w:t>
      </w:r>
    </w:p>
    <w:p w14:paraId="7261A770">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（八）</w:t>
      </w:r>
      <w:r>
        <w:rPr>
          <w:rFonts w:hint="eastAsia" w:ascii="仿宋" w:hAnsi="仿宋" w:eastAsia="仿宋" w:cs="仿宋"/>
          <w:bCs/>
          <w:color w:val="auto"/>
          <w:kern w:val="2"/>
          <w:sz w:val="28"/>
          <w:szCs w:val="28"/>
          <w:lang w:val="en-US" w:eastAsia="zh-CN" w:bidi="ar"/>
        </w:rPr>
        <w:t>要及时关闭风门，严禁同时打开两道风门。</w:t>
      </w:r>
    </w:p>
    <w:p w14:paraId="32E24F68">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（九）</w:t>
      </w:r>
      <w:r>
        <w:rPr>
          <w:rFonts w:hint="eastAsia" w:ascii="仿宋" w:hAnsi="仿宋" w:eastAsia="仿宋" w:cs="仿宋"/>
          <w:bCs/>
          <w:color w:val="auto"/>
          <w:kern w:val="2"/>
          <w:sz w:val="28"/>
          <w:szCs w:val="28"/>
          <w:lang w:val="en-US" w:eastAsia="zh-CN" w:bidi="ar"/>
        </w:rPr>
        <w:t>严禁跨越皮带和乘坐皮带，跨越皮带要走人行过桥；严禁在刮板输送机上行走。</w:t>
      </w:r>
    </w:p>
    <w:p w14:paraId="1E90EC06">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（十）</w:t>
      </w:r>
      <w:r>
        <w:rPr>
          <w:rFonts w:hint="eastAsia" w:ascii="仿宋" w:hAnsi="仿宋" w:eastAsia="仿宋" w:cs="仿宋"/>
          <w:bCs/>
          <w:color w:val="auto"/>
          <w:kern w:val="2"/>
          <w:sz w:val="28"/>
          <w:szCs w:val="28"/>
          <w:lang w:val="en-US" w:eastAsia="zh-CN" w:bidi="ar"/>
        </w:rPr>
        <w:t>严禁扒车、跳车和坐矿车，当车辆经过时，人员要及时躲避。</w:t>
      </w:r>
    </w:p>
    <w:p w14:paraId="48A5F4DD">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（十一）</w:t>
      </w:r>
      <w:r>
        <w:rPr>
          <w:rFonts w:hint="eastAsia" w:ascii="仿宋" w:hAnsi="仿宋" w:eastAsia="仿宋" w:cs="仿宋"/>
          <w:bCs/>
          <w:color w:val="auto"/>
          <w:kern w:val="2"/>
          <w:sz w:val="28"/>
          <w:szCs w:val="28"/>
          <w:lang w:val="en-US" w:eastAsia="zh-CN" w:bidi="ar"/>
        </w:rPr>
        <w:t>乘坐架空乘人装置时必须在规定候车区域等候，按顺序乘坐。</w:t>
      </w:r>
    </w:p>
    <w:p w14:paraId="26F76766">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（十二）</w:t>
      </w:r>
      <w:r>
        <w:rPr>
          <w:rFonts w:hint="eastAsia" w:ascii="仿宋" w:hAnsi="仿宋" w:eastAsia="仿宋" w:cs="仿宋"/>
          <w:bCs/>
          <w:color w:val="auto"/>
          <w:kern w:val="2"/>
          <w:sz w:val="28"/>
          <w:szCs w:val="28"/>
          <w:lang w:val="en-US" w:eastAsia="zh-CN" w:bidi="ar"/>
        </w:rPr>
        <w:t>乘坐架空乘人装置时，严禁左右摇摆，触摸绳轮、钢丝绳；不得触及临近的任何物体，做到稳上、稳下；严禁携带爆炸物品。</w:t>
      </w:r>
    </w:p>
    <w:p w14:paraId="52B4EACA">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default" w:ascii="仿宋" w:hAnsi="仿宋" w:eastAsia="仿宋" w:cs="仿宋"/>
          <w:bCs/>
          <w:color w:val="auto"/>
          <w:kern w:val="2"/>
          <w:sz w:val="28"/>
          <w:szCs w:val="28"/>
          <w:lang w:eastAsia="zh-CN" w:bidi="ar"/>
        </w:rPr>
        <w:t>（十三）</w:t>
      </w:r>
      <w:r>
        <w:rPr>
          <w:rFonts w:hint="eastAsia" w:ascii="仿宋" w:hAnsi="仿宋" w:eastAsia="仿宋" w:cs="仿宋"/>
          <w:bCs/>
          <w:color w:val="auto"/>
          <w:kern w:val="2"/>
          <w:sz w:val="28"/>
          <w:szCs w:val="28"/>
          <w:lang w:val="en-US" w:eastAsia="zh-CN" w:bidi="ar"/>
        </w:rPr>
        <w:t>在高度大于2米以上高空作业时，必须拴好安全带。</w:t>
      </w:r>
    </w:p>
    <w:p w14:paraId="4C3080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二、薄弱人物排查治理办法</w:t>
      </w:r>
    </w:p>
    <w:p w14:paraId="4426611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（一）薄弱人物范畴</w:t>
      </w:r>
    </w:p>
    <w:p w14:paraId="08EDCD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1.嗜好饮酒的“迷糊人”：是指爱好喝酒、酗酒甚至容易醉酒的人。</w:t>
      </w:r>
    </w:p>
    <w:p w14:paraId="64E59A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2.婚期前后的“甜蜜人”：是指正在筹备或者刚刚完成婚姻大事的人。</w:t>
      </w:r>
    </w:p>
    <w:p w14:paraId="5C57D46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3.家有丧事的“失落人”：是指家庭有亲人离世导致情绪失落波动。</w:t>
      </w:r>
    </w:p>
    <w:p w14:paraId="24321A0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4.经常违章的“大胆人”：是指自律能力差，对违章屡教不改的人。</w:t>
      </w:r>
    </w:p>
    <w:p w14:paraId="163306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5.挨批受罚的“情绪人”：是指受到批评处罚情绪低落的人。</w:t>
      </w:r>
    </w:p>
    <w:p w14:paraId="2F3958D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6.重新上岗的“三长人”：是指长伤、长病、长旷的返岗人员。</w:t>
      </w:r>
    </w:p>
    <w:p w14:paraId="39207F5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7.极度疲劳的“硬撑人”：是指班后从事体力劳动极度疲惫的人。</w:t>
      </w:r>
    </w:p>
    <w:p w14:paraId="79BA0F4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8.临近退休的“老年人”：是指年龄偏大（50岁以上）的老工人。</w:t>
      </w:r>
    </w:p>
    <w:p w14:paraId="7879D85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9.随时发病的“体弱人”：是指被医院诊断患有高血压、心脏病、脑血栓、抑郁症等病情的人。</w:t>
      </w:r>
    </w:p>
    <w:p w14:paraId="1397EB6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10.家境特殊的“纠结人”：是指频发家庭矛盾影响工作情绪的人。</w:t>
      </w:r>
    </w:p>
    <w:p w14:paraId="7680826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11.岗位调整的“转行人”：是指转换了工作岗位、改变了工作性质的人。</w:t>
      </w:r>
    </w:p>
    <w:p w14:paraId="01ED886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12.初来乍到的“新工人”：是指刚入矿或者从外单位调入的人。</w:t>
      </w:r>
    </w:p>
    <w:p w14:paraId="2F5B46E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13.班前教育的“落空人”：是指未参加班前会的人。</w:t>
      </w:r>
    </w:p>
    <w:p w14:paraId="761FFCA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14.心力交瘁的“上访人”：是指由于社会矛盾得不到及时解决有上访倾向的人。</w:t>
      </w:r>
    </w:p>
    <w:p w14:paraId="5A3DFB3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15.八小时以外的“网络人”：是指工作之余，喜欢上网的年轻员工，班前休息不好，上班精力不集中。</w:t>
      </w:r>
    </w:p>
    <w:p w14:paraId="4EB8985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16.性格粗暴的“鲁莽人”：是指性格简单粗暴的员工，工作急躁</w:t>
      </w:r>
      <w:r>
        <w:rPr>
          <w:rFonts w:hint="default" w:ascii="仿宋" w:hAnsi="仿宋" w:eastAsia="仿宋" w:cs="仿宋"/>
          <w:bCs/>
          <w:color w:val="auto"/>
          <w:kern w:val="2"/>
          <w:sz w:val="28"/>
          <w:szCs w:val="28"/>
          <w:lang w:eastAsia="zh-CN" w:bidi="ar"/>
        </w:rPr>
        <w:t xml:space="preserve">  </w:t>
      </w:r>
      <w:r>
        <w:rPr>
          <w:rFonts w:hint="eastAsia" w:ascii="仿宋" w:hAnsi="仿宋" w:eastAsia="仿宋" w:cs="仿宋"/>
          <w:bCs/>
          <w:color w:val="auto"/>
          <w:kern w:val="2"/>
          <w:sz w:val="28"/>
          <w:szCs w:val="28"/>
          <w:lang w:val="en-US" w:eastAsia="zh-CN" w:bidi="ar"/>
        </w:rPr>
        <w:t>浮躁。</w:t>
      </w:r>
    </w:p>
    <w:p w14:paraId="1D873C8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17.反应迟钝的“麻木人”：是指工作麻痹大意、马虎凑付不在乎、反应迟钝的员工。</w:t>
      </w:r>
    </w:p>
    <w:p w14:paraId="7FEE9C8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18.不安心工作的“跳槽人”：是指不安心本职工作，意欲调动工作的人。</w:t>
      </w:r>
    </w:p>
    <w:p w14:paraId="5CB1E05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19.不服从管理的“顶牛人”：是指与管理人员或员工有矛盾，不服从管理的员工。</w:t>
      </w:r>
    </w:p>
    <w:p w14:paraId="43FE1FD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20.肩负第二职业的“经济人”：是指挣钱不要命，工作之余另有第二职业的人。</w:t>
      </w:r>
    </w:p>
    <w:p w14:paraId="17AC9CF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（二）实施建档管理</w:t>
      </w:r>
    </w:p>
    <w:p w14:paraId="6C4B1B2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14:paraId="3BFC62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（三）具体排查方式</w:t>
      </w:r>
    </w:p>
    <w:p w14:paraId="1BF9694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14:paraId="7458ADE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14:paraId="4F1AE1D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14:paraId="1EF721F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3656215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5DC93FA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14:paraId="0053A7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（四）薄弱人员管控措施</w:t>
      </w:r>
    </w:p>
    <w:p w14:paraId="2230AB5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1.对于岗前饮酒者，坚决禁止上岗作业。轻者责令其回家休息，重者在区队原地休息或者安排人员护送回家。</w:t>
      </w:r>
    </w:p>
    <w:p w14:paraId="368256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2.对于有喜事或丧事的人员，要通过面谈掌握当事人的心理状态，无异议后方可下井。</w:t>
      </w:r>
    </w:p>
    <w:p w14:paraId="2081DAC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3.对于经常违章的人员，要加强日常的教育，在班前会上注重提问，安排岗位要合理，原则上做到“疑人不用”。</w:t>
      </w:r>
    </w:p>
    <w:p w14:paraId="79A5BC9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4.对于受到批评和处罚的员工，要加强心理疏导，让当事人放下思想包袱，解除心里抱怨，避免带着情绪上岗。</w:t>
      </w:r>
    </w:p>
    <w:p w14:paraId="1807AA0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5.对于“三长”人员，必须加强岗前教育培训，考试合格后方可上岗。上岗过程中，要作为重点的巡查盯靠对象，实施跟踪观察。</w:t>
      </w:r>
    </w:p>
    <w:p w14:paraId="63DEB63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14:paraId="07CC31E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7.对于家庭矛盾突出的员工，应通过谈心或者家访的方式，及时为员工解决家庭矛盾，解开症结，保证员工轻装上岗。</w:t>
      </w:r>
    </w:p>
    <w:p w14:paraId="63B2875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8.对于临近退休的老工人，在安排岗位上首要考虑安全因素，原则上不安排攀高、抬重、高温等急难险重类型的作业。</w:t>
      </w:r>
    </w:p>
    <w:p w14:paraId="17F3435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9.对于转岗员工当成新工人尽心管理，严格履行以师带徒合同，在老工人的带领下作业。</w:t>
      </w:r>
    </w:p>
    <w:p w14:paraId="4945CC2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14:paraId="754C4CA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11.凡是没有参加班前会学习教育的人员，一律严禁上岗作业。</w:t>
      </w:r>
    </w:p>
    <w:p w14:paraId="3798832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12.对于喜欢上网的年轻员工，要加强引导，多沟通勤交流，促使他们培养健康向上的生活工作情趣。</w:t>
      </w:r>
    </w:p>
    <w:p w14:paraId="6DB052B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13.对于有上访倾向的人，要及时了解情况，掌握思想状态，活血化瘀，必要时可申请法律援助，解决实际困难。</w:t>
      </w:r>
    </w:p>
    <w:p w14:paraId="11407E0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14:paraId="28A3974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15.对于不服从管理的员工，单位管理人员要及时做好一人一事的思想工作，解决存在的矛盾，使其心悦诚服、心情舒畅的投入工作。</w:t>
      </w:r>
    </w:p>
    <w:p w14:paraId="09A7CF7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14:paraId="0A6F418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三、安全风险辨识与管控措施</w:t>
      </w:r>
    </w:p>
    <w:p w14:paraId="3FFBCBC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（一）通用部分</w:t>
      </w:r>
    </w:p>
    <w:p w14:paraId="76C5219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1.风险描述：施工现场顶板破碎，支护网生锈开裂，存在漏顶片帮伤人的风险。</w:t>
      </w:r>
    </w:p>
    <w:p w14:paraId="0CDC921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管控措施：加强顶板排查管理，发现顶帮网开裂锚杆（索）失效时及时汇报进行补打。使用长把工具及时找掉危岩活矸。</w:t>
      </w:r>
    </w:p>
    <w:p w14:paraId="183193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2.风险描述：电气设备性能不良、损坏、过载、短路等可能造成火灾。</w:t>
      </w:r>
    </w:p>
    <w:p w14:paraId="50F3556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14:paraId="4DC0EDD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（二）专用部分</w:t>
      </w:r>
    </w:p>
    <w:p w14:paraId="1D45237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1</w:t>
      </w:r>
      <w:r>
        <w:rPr>
          <w:rFonts w:hint="default" w:ascii="仿宋" w:hAnsi="仿宋" w:eastAsia="仿宋" w:cs="仿宋"/>
          <w:b/>
          <w:bCs w:val="0"/>
          <w:color w:val="auto"/>
          <w:kern w:val="2"/>
          <w:sz w:val="28"/>
          <w:szCs w:val="28"/>
          <w:lang w:eastAsia="zh-CN" w:bidi="ar"/>
        </w:rPr>
        <w:t>.</w:t>
      </w:r>
      <w:r>
        <w:rPr>
          <w:rFonts w:hint="eastAsia" w:ascii="仿宋" w:hAnsi="仿宋" w:eastAsia="仿宋" w:cs="仿宋"/>
          <w:b/>
          <w:bCs w:val="0"/>
          <w:color w:val="auto"/>
          <w:kern w:val="2"/>
          <w:sz w:val="28"/>
          <w:szCs w:val="28"/>
          <w:lang w:val="en-US" w:eastAsia="zh-CN" w:bidi="ar"/>
        </w:rPr>
        <w:t>操作前检查</w:t>
      </w:r>
    </w:p>
    <w:p w14:paraId="756D7642">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①风险描述：防护用品不完好，不按规定佩带，存在人员受伤的风险。</w:t>
      </w:r>
    </w:p>
    <w:p w14:paraId="495D7184">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管控措施：检查好防护用品，确保齐全完好，作业前按规定佩带好安全防护用品。</w:t>
      </w:r>
    </w:p>
    <w:p w14:paraId="44E66AC1">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②风险描述：工具材料不齐全完好，存在设备检修不到位或人员伤亡的风险。</w:t>
      </w:r>
    </w:p>
    <w:p w14:paraId="0E67FFA5">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管控措施：操作前，工具材料准备齐全完好。</w:t>
      </w:r>
    </w:p>
    <w:p w14:paraId="6505F2E7">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③风险描述：操作高压电气设备，监护人未到位，操作人员容易误操作，存在人员触电的风险。</w:t>
      </w:r>
    </w:p>
    <w:p w14:paraId="00BF7A27">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管控措施：操作高压电气设备严格执行一人操作一人监护，监护人不到位严禁操作。</w:t>
      </w:r>
    </w:p>
    <w:p w14:paraId="75341E1D">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④风险描述：检修地点人员站位不正确，存在设备碰伤人员、人员触电的风险。</w:t>
      </w:r>
    </w:p>
    <w:p w14:paraId="53C80832">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管控措施：检修前规范站位，重物下方及可能倾向方向严禁有人，检修人员与带电设备保持安全距离。</w:t>
      </w:r>
    </w:p>
    <w:p w14:paraId="78395001">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⑤风险描述：检修电气设备，带电作业、未对上级电源停电，存在人员触电的风险。</w:t>
      </w:r>
    </w:p>
    <w:p w14:paraId="2D4D78BB">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管控措施：检修电气是设备必须对上级电源进行停电，并挂停电牌，谁停电谁送电，严禁带电检修作业。</w:t>
      </w:r>
    </w:p>
    <w:p w14:paraId="3704A6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2</w:t>
      </w:r>
      <w:r>
        <w:rPr>
          <w:rFonts w:hint="default" w:ascii="仿宋" w:hAnsi="仿宋" w:eastAsia="仿宋" w:cs="仿宋"/>
          <w:b/>
          <w:bCs w:val="0"/>
          <w:color w:val="auto"/>
          <w:kern w:val="2"/>
          <w:sz w:val="28"/>
          <w:szCs w:val="28"/>
          <w:lang w:eastAsia="zh-CN" w:bidi="ar"/>
        </w:rPr>
        <w:t>.</w:t>
      </w:r>
      <w:r>
        <w:rPr>
          <w:rFonts w:hint="eastAsia" w:ascii="仿宋" w:hAnsi="仿宋" w:eastAsia="仿宋" w:cs="仿宋"/>
          <w:b/>
          <w:bCs w:val="0"/>
          <w:color w:val="auto"/>
          <w:kern w:val="2"/>
          <w:sz w:val="28"/>
          <w:szCs w:val="28"/>
          <w:lang w:val="en-US" w:eastAsia="zh-CN" w:bidi="ar"/>
        </w:rPr>
        <w:t>操作过程中</w:t>
      </w:r>
    </w:p>
    <w:p w14:paraId="67977A6B">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①风险描述：吊装作业，吊点脱落、连接不完好可能发生伤人风险。</w:t>
      </w:r>
    </w:p>
    <w:p w14:paraId="20300059">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起吊前，必须对吊点进行认真检查；使用手拉葫芦起吊重物前，必须对其进行全面检查，检查各部件是否齐全、灵活、可靠；起吊重物的重量必须符合手拉葫芦的铭牌规定；人员规范站位，严禁站在起吊重物下或重物可能倒向的位置。</w:t>
      </w:r>
    </w:p>
    <w:p w14:paraId="436587A8">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②风险描述：登高作业不系安全带，梯子固定不牢，存在高空摔伤的风险。</w:t>
      </w:r>
    </w:p>
    <w:p w14:paraId="3109CD97">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管控措施：登高作业前，检查梯子固定是否牢靠，一人扶梯一人登高；作业地点高出地面1.5m时，必须正确佩戴保险带且高挂低用。</w:t>
      </w:r>
    </w:p>
    <w:p w14:paraId="363C857D">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③风险描述：人员靠近转动部位，护罩或遮拦等不完好，存在转动部位伤人的风险。</w:t>
      </w:r>
    </w:p>
    <w:p w14:paraId="3A967C64">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管控措施：保持护罩或遮拦等防护设施完好，运转时保持安全距离。</w:t>
      </w:r>
    </w:p>
    <w:p w14:paraId="2D5942BC">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④风险描述：带电搬迁、检修电气设备，存在人员触电的风险。</w:t>
      </w:r>
    </w:p>
    <w:p w14:paraId="10FA4304">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管控措施：施工前将带电设备上级停电，无误后方可施工，严禁带电搬迁。</w:t>
      </w:r>
    </w:p>
    <w:p w14:paraId="29BC903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3</w:t>
      </w:r>
      <w:r>
        <w:rPr>
          <w:rFonts w:hint="default" w:ascii="仿宋" w:hAnsi="仿宋" w:eastAsia="仿宋" w:cs="仿宋"/>
          <w:b/>
          <w:bCs w:val="0"/>
          <w:color w:val="auto"/>
          <w:kern w:val="2"/>
          <w:sz w:val="28"/>
          <w:szCs w:val="28"/>
          <w:lang w:eastAsia="zh-CN" w:bidi="ar"/>
        </w:rPr>
        <w:t>.</w:t>
      </w:r>
      <w:r>
        <w:rPr>
          <w:rFonts w:hint="eastAsia" w:ascii="仿宋" w:hAnsi="仿宋" w:eastAsia="仿宋" w:cs="仿宋"/>
          <w:b/>
          <w:bCs w:val="0"/>
          <w:color w:val="auto"/>
          <w:kern w:val="2"/>
          <w:sz w:val="28"/>
          <w:szCs w:val="28"/>
          <w:lang w:val="en-US" w:eastAsia="zh-CN" w:bidi="ar"/>
        </w:rPr>
        <w:t>操作完成后</w:t>
      </w:r>
    </w:p>
    <w:p w14:paraId="61F172FE">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①风险描述：设备检修不到位，零部件缺失、连接部位不完好等，设备带病运行，存在设备损坏的风险。</w:t>
      </w:r>
    </w:p>
    <w:p w14:paraId="71B73DA6">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管控措施：设备检修到位，保证检修质量，因特殊原因造成设备未能检修完成时，应及时告知设备运行人员，设备严禁运行。</w:t>
      </w:r>
    </w:p>
    <w:p w14:paraId="63FFCDEA">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②风险描述：检修完成后工具材料未能及时清理，检修工具材料遗留在设备内，存在设备损坏的风险。</w:t>
      </w:r>
    </w:p>
    <w:p w14:paraId="7DA5FDAB">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管控措施：检修完成后，对材料工具进行清点，做到工完料净场地清。</w:t>
      </w:r>
    </w:p>
    <w:p w14:paraId="6FC556A8">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③风险描述：误送电、约时停送电，存在人员触电的风险。</w:t>
      </w:r>
    </w:p>
    <w:p w14:paraId="0F3EC963">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管控措施：严格执行停送电制度，停电后闭锁并挂停电牌，禁止约时送电。</w:t>
      </w:r>
    </w:p>
    <w:p w14:paraId="50C27D20">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④风险描述：井下电气设备存在失爆的风险。</w:t>
      </w:r>
    </w:p>
    <w:p w14:paraId="0E27CBEA">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管控措施：井下供电应做到无“鸡爪子”“羊尾巴”“明接头”；井下防爆电气设备的运行和维护修理工作，必须符合防爆性能的各项技术要求，失爆设备严禁继续使用。</w:t>
      </w:r>
    </w:p>
    <w:p w14:paraId="78FBA12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w:t>
      </w:r>
      <w:r>
        <w:rPr>
          <w:rFonts w:hint="eastAsia" w:ascii="仿宋" w:hAnsi="仿宋" w:eastAsia="仿宋" w:cs="仿宋"/>
          <w:b/>
          <w:color w:val="auto"/>
          <w:kern w:val="2"/>
          <w:sz w:val="28"/>
          <w:szCs w:val="28"/>
          <w:lang w:val="en-US" w:eastAsia="zh-CN" w:bidi="ar"/>
        </w:rPr>
        <w:t>（一）</w:t>
      </w:r>
      <w:r>
        <w:rPr>
          <w:rFonts w:hint="eastAsia" w:ascii="仿宋" w:hAnsi="仿宋" w:eastAsia="仿宋" w:cs="仿宋"/>
          <w:b/>
          <w:bCs w:val="0"/>
          <w:color w:val="auto"/>
          <w:kern w:val="2"/>
          <w:sz w:val="28"/>
          <w:szCs w:val="28"/>
          <w:lang w:val="en-US" w:eastAsia="zh-CN" w:bidi="ar"/>
        </w:rPr>
        <w:t>作业前检查</w:t>
      </w:r>
    </w:p>
    <w:p w14:paraId="1656F4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color w:val="auto"/>
          <w:kern w:val="2"/>
          <w:sz w:val="28"/>
          <w:szCs w:val="28"/>
          <w:lang w:val="en-US" w:eastAsia="zh-CN" w:bidi="ar"/>
        </w:rPr>
        <w:t>1</w:t>
      </w:r>
      <w:r>
        <w:rPr>
          <w:rFonts w:hint="eastAsia" w:ascii="仿宋" w:hAnsi="仿宋" w:eastAsia="仿宋" w:cs="仿宋"/>
          <w:bCs/>
          <w:color w:val="auto"/>
          <w:kern w:val="2"/>
          <w:sz w:val="28"/>
          <w:szCs w:val="28"/>
          <w:lang w:val="en-US" w:eastAsia="zh-CN" w:bidi="ar"/>
        </w:rPr>
        <w:t>.瓦斯（&lt;1%）：工作地点瓦斯浓度不超过1%。</w:t>
      </w:r>
    </w:p>
    <w:p w14:paraId="0707154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2.防护用品：安全帽、绝缘靴、绝缘手套、自救器等安全防护用品齐全完好。</w:t>
      </w:r>
    </w:p>
    <w:p w14:paraId="2EF38F7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3.工具、材料：工具齐全完好，材料、配件充足，型号相符。</w:t>
      </w:r>
    </w:p>
    <w:p w14:paraId="4900D21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4.监护人：监护人到位。</w:t>
      </w:r>
    </w:p>
    <w:p w14:paraId="5D9FFB9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5.站位、后退路：人员站位正确，附近无闲杂人员，后退路畅通，无障碍物。</w:t>
      </w:r>
    </w:p>
    <w:p w14:paraId="063240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6.停电：严格遵守停送电制度（停电、验电、放电、装设接地线，悬挂停电牌），按要求需办理工作票的必须办理工作票。</w:t>
      </w:r>
    </w:p>
    <w:p w14:paraId="0362FAB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
          <w:bCs w:val="0"/>
          <w:color w:val="auto"/>
          <w:kern w:val="2"/>
          <w:sz w:val="28"/>
          <w:szCs w:val="28"/>
          <w:lang w:val="en-US" w:eastAsia="zh-CN" w:bidi="ar"/>
        </w:rPr>
        <w:t>（二）</w:t>
      </w:r>
      <w:r>
        <w:rPr>
          <w:rFonts w:hint="eastAsia" w:ascii="仿宋" w:hAnsi="仿宋" w:eastAsia="仿宋" w:cs="仿宋"/>
          <w:b/>
          <w:color w:val="auto"/>
          <w:kern w:val="2"/>
          <w:sz w:val="28"/>
          <w:szCs w:val="28"/>
          <w:lang w:val="en-US" w:eastAsia="zh-CN" w:bidi="ar"/>
        </w:rPr>
        <w:t>单元检查表确认</w:t>
      </w:r>
    </w:p>
    <w:p w14:paraId="3C1235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记录填写：值班巡检按要求逐一认真仔细检查，并依规填写好，记录本必须在规定地点存放，不可更换位置或另作他用。同时记录本要保持整洁，用黑色碳素笔填写，字迹要清楚、端正，不得出现代签、漏签、错签、涂改现象。</w:t>
      </w:r>
    </w:p>
    <w:p w14:paraId="463566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2.设备外观：检查各类电气设备外观是否完好,零部件齐全、完整、状态正常。</w:t>
      </w:r>
    </w:p>
    <w:p w14:paraId="76F9A3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3.保护试验：检查各类电气设备保护是否正常动作，显示正常。</w:t>
      </w:r>
    </w:p>
    <w:p w14:paraId="079FEA1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4.电缆吊挂：检查各类电缆吊挂间距、垂度等是否正常，电缆外观是否有变化。</w:t>
      </w:r>
    </w:p>
    <w:p w14:paraId="4371F9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2"/>
          <w:sz w:val="28"/>
          <w:szCs w:val="28"/>
          <w:lang w:val="en-US" w:eastAsia="zh-CN" w:bidi="ar"/>
        </w:rPr>
        <w:t>5.防爆检查：检查井下电气设施各项防爆性能是否符合规定，确保完好可靠。</w:t>
      </w:r>
    </w:p>
    <w:p w14:paraId="7E636FF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6.工器具试验：检查各类工器具是否在检验合格期限内，外观是否有损坏，试验是否正常。</w:t>
      </w:r>
    </w:p>
    <w:p w14:paraId="67E155F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7.故障处理：严格执行操作规范，需开盖处理的需对设备停电后，按要求检测瓦斯浓度在1.0%以下时，按停电、验电、放电规范流程操作后进行故障处理。</w:t>
      </w:r>
    </w:p>
    <w:p w14:paraId="4C46C9F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8.接线工艺：严格按相关规定执行，确保接线完好。</w:t>
      </w:r>
    </w:p>
    <w:p w14:paraId="6290E9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9.其他电气作业项目:按相关规定执行。</w:t>
      </w:r>
    </w:p>
    <w:p w14:paraId="47E3A1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五、井下电气作业工正规操作</w:t>
      </w:r>
    </w:p>
    <w:p w14:paraId="5044CD4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（一）井下电气作业工操作顺序：</w:t>
      </w:r>
    </w:p>
    <w:p w14:paraId="358C20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准备工作→现场安全→正常巡检→规程作业→收班总结。</w:t>
      </w:r>
    </w:p>
    <w:p w14:paraId="256FC63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（二）井下电气作业工正规操作：</w:t>
      </w:r>
    </w:p>
    <w:p w14:paraId="40EE5DF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1.人员位置：时刻保证正确站位，确保后退路畅通、顶帮支护安全。</w:t>
      </w:r>
    </w:p>
    <w:p w14:paraId="1ECACDD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2.作业监护:检修、安装、搬移电气设备时应由两人协同工作，相互监护。</w:t>
      </w:r>
    </w:p>
    <w:p w14:paraId="233010C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3.停、送电:严格遵守停送电制度，检修前对设备停电、闭锁、验电、放电、挂停电牌，必要时设专人看护；送电坚持谁挂牌谁摘牌，严禁约时送电。</w:t>
      </w:r>
    </w:p>
    <w:p w14:paraId="59BCA89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4.高压作业:操作高压电气设备时必须执行工作票制度，必须必须戴绝缘手套、穿绝缘靴或站在绝缘台上。</w:t>
      </w:r>
    </w:p>
    <w:p w14:paraId="75760DB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5.正常操作:</w:t>
      </w:r>
    </w:p>
    <w:p w14:paraId="6DF09EB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①不得任意改变原有端子序号、接线方式，不得甩掉原有的保护装置，不得任意修改整定值。</w:t>
      </w:r>
    </w:p>
    <w:p w14:paraId="78F94DB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②发现设备失爆、故障、保护动作或不正常时应查明原因并处理，处理不好应及时汇报，严禁强行送电。</w:t>
      </w:r>
    </w:p>
    <w:p w14:paraId="150F26C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6.高处作业:高处作业超过2m时必须正确佩戴安全帽和保险带，随身工具应有防脱措施，以防坠落。</w:t>
      </w:r>
    </w:p>
    <w:p w14:paraId="623638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7.反送电：有可能反送电的开关必须加锁并悬挂“小心反电”警示牌，如需反送电应采取可靠的安全措施。</w:t>
      </w:r>
    </w:p>
    <w:p w14:paraId="46C22C6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8.同时作业：同一开关控制的系统中，有两个及以上多点同时作业时，要分别悬挂停电牌，并应设置总负责人负责联络、协调，工作结束送电前由专人巡点检查，全部完工并摘掉停电牌后方可送电。</w:t>
      </w:r>
    </w:p>
    <w:p w14:paraId="76AD802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9.瓦斯异常：井下距工作地点20m内风流中瓦斯浓度达到1％时，严禁使用普通电气测量仪表、开盖检修电气设备和送电试车；达到1.5％时，必须停止作业，切断电源并撤出。</w:t>
      </w:r>
    </w:p>
    <w:p w14:paraId="793A9E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10.异常处置：</w:t>
      </w:r>
    </w:p>
    <w:p w14:paraId="5BE754F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①发生人身触电及设备事故时，立即断开有关设备的电源，在能力范围内进行应急处理，并及时向上级汇报。</w:t>
      </w:r>
    </w:p>
    <w:p w14:paraId="09FDAB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②发现电气设备或电缆着火时，必须迅速切断电源，使用灭火器或砂子灭火，并及时汇报。</w:t>
      </w:r>
    </w:p>
    <w:p w14:paraId="776ED17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六、</w:t>
      </w:r>
      <w:r>
        <w:rPr>
          <w:rFonts w:hint="eastAsia" w:ascii="仿宋" w:hAnsi="仿宋" w:eastAsia="仿宋" w:cs="仿宋"/>
          <w:b/>
          <w:color w:val="auto"/>
          <w:kern w:val="0"/>
          <w:sz w:val="28"/>
          <w:szCs w:val="28"/>
          <w:lang w:val="en-US" w:eastAsia="zh-CN" w:bidi="ar"/>
        </w:rPr>
        <w:t>井下电气作业工</w:t>
      </w:r>
      <w:r>
        <w:rPr>
          <w:rFonts w:hint="eastAsia" w:ascii="仿宋" w:hAnsi="仿宋" w:eastAsia="仿宋" w:cs="仿宋"/>
          <w:b/>
          <w:bCs w:val="0"/>
          <w:color w:val="auto"/>
          <w:kern w:val="2"/>
          <w:sz w:val="28"/>
          <w:szCs w:val="28"/>
          <w:lang w:val="en-US" w:eastAsia="zh-CN" w:bidi="ar"/>
        </w:rPr>
        <w:t>操作过程中的安全注意事项</w:t>
      </w:r>
    </w:p>
    <w:p w14:paraId="3951341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1.停送电</w:t>
      </w:r>
      <w:r>
        <w:rPr>
          <w:rFonts w:hint="eastAsia" w:ascii="仿宋" w:hAnsi="仿宋" w:eastAsia="仿宋" w:cs="仿宋"/>
          <w:color w:val="auto"/>
          <w:kern w:val="2"/>
          <w:sz w:val="28"/>
          <w:szCs w:val="28"/>
          <w:lang w:val="en-US" w:eastAsia="zh-CN" w:bidi="ar"/>
        </w:rPr>
        <w:t>：严格执行谁停电，谁送电制度，严禁约时停送电现象发生，并在隔离手柄上悬挂“有人作业，禁止合闸”的警示牌。</w:t>
      </w:r>
    </w:p>
    <w:p w14:paraId="5FD752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2.验放电：</w:t>
      </w:r>
      <w:r>
        <w:rPr>
          <w:rFonts w:hint="eastAsia" w:ascii="仿宋" w:hAnsi="仿宋" w:eastAsia="仿宋" w:cs="仿宋"/>
          <w:color w:val="auto"/>
          <w:kern w:val="2"/>
          <w:sz w:val="28"/>
          <w:szCs w:val="28"/>
          <w:lang w:val="en-US" w:eastAsia="zh-CN" w:bidi="ar"/>
        </w:rPr>
        <w:t>应用与电源电压相适应的验电器进行验电，确认无电后在三相上装设接地线，对电气设备进行放电操作。</w:t>
      </w:r>
    </w:p>
    <w:p w14:paraId="7FAE48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3.稳操作：</w:t>
      </w:r>
      <w:r>
        <w:rPr>
          <w:rFonts w:hint="eastAsia" w:ascii="仿宋" w:hAnsi="仿宋" w:eastAsia="仿宋" w:cs="仿宋"/>
          <w:color w:val="auto"/>
          <w:kern w:val="2"/>
          <w:sz w:val="28"/>
          <w:szCs w:val="28"/>
          <w:lang w:val="en-US" w:eastAsia="zh-CN" w:bidi="ar"/>
        </w:rPr>
        <w:t>操作时必须两人执行，一人操作，一人监护，操作中必须执行操作规范，使用试验合格的绝缘工具及劳动防护用品。</w:t>
      </w:r>
    </w:p>
    <w:p w14:paraId="449B239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七、全部注意事项</w:t>
      </w:r>
    </w:p>
    <w:p w14:paraId="0AFE7D2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电气设备的检查、维护、修理和调整工作，必须由专责的或临时指派的电气维修工进行。高压电气设备的修理和调整工作，应有工作票和施工措施。在特殊情况下，采区电钳工可对变电所内高压电气设备进行停送电操作，但不得擅自打开电气设备进行修理。经维修单位机电主管人员授权者，不受此限。</w:t>
      </w:r>
    </w:p>
    <w:p w14:paraId="0C493E2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高压停、送电的操作，可根据书面申请或采用其他可靠的联系方式，得到批准后，由专责电工执行；严格执行谁停电、谁送电的停电制度；严禁有约时停送电现象发生；断开了的隔离开关的操作机构必须锁住，并在操作手把上悬挂“有人作业，禁止合闸”的标志牌。</w:t>
      </w:r>
    </w:p>
    <w:p w14:paraId="1C7502E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检修和搬迁井下电气设备电缆和电线前必须停电；用与电源电压相适应的验电器验电，确认无电后再在三相上挂装接地线，对电气设备进行放电，控制设备内部安有放电装置的不受此限。验电、接地、放电工作，在煤矿井下应在瓦斯浓度为1.0％以下时进行。所有开关的闭锁装置必须能可靠地防止擅自送电、防止擅自开盖操作，开关反手在切断电源时必须闭锁，并悬挂“有人工作，不准送电”字样的警示牌，只有执行这项工作的人员才有权取下此牌送电。</w:t>
      </w:r>
    </w:p>
    <w:p w14:paraId="17937EB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4.部分停电作业应有遮挡。检修完恢复送电时，应由原操作人员取下标示牌，然后合闸送电。</w:t>
      </w:r>
    </w:p>
    <w:p w14:paraId="2DF9F10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5.高压线路倒闸操作时，必须实行操作制度和监护制度；操作人员必须填写操作票。操作票中必须写明被操作设备的线路编号及操作顺序；严禁带负荷拉开隔离开关的现象发生。</w:t>
      </w:r>
    </w:p>
    <w:p w14:paraId="1DDD39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操作时，必须有两人执行，一人操作，一人监护；操作中必须执行监护复诵制度，操作人员必须使用试验合格的绝缘工具，戴绝缘手套，穿绝缘靴或站在绝缘台上。手持式电气设备的操作手柄和工作中必须接触部分必须有良好绝缘。</w:t>
      </w:r>
    </w:p>
    <w:p w14:paraId="5284E26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7.井下防爆电气设备的运行，维护和修理工作，必须符合防爆性能的各项技术要求。失爆设备严禁继续使用。</w:t>
      </w:r>
    </w:p>
    <w:p w14:paraId="630E34D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8.井下防爆电气设备的运行、维护和修理，必须符合防爆性能和各项技术要求。防爆性能受到破坏的电气设备，必须立即处理或更换，不得继续使用。</w:t>
      </w:r>
    </w:p>
    <w:p w14:paraId="5D8BB38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9.检查和调整结果应记入专用的记录簿内。检查和调整中发现的问题，应指派专人限期处理。</w:t>
      </w:r>
    </w:p>
    <w:p w14:paraId="2B7D08D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10.电气设备使用的绝缘油的物理、化学性能和电气耐压试验，每年应进行1次，但对其中操作频繁的电气设备使用的绝缘油，每半年应进行1次电气耐压试验。</w:t>
      </w:r>
    </w:p>
    <w:p w14:paraId="4585BCE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井下供电应做到：电缆连接无“鸡爪子”、无“羊尾巴”、无明接头；有过电流和漏电保护装置，有螺钉和弹簧垫，有密封圈和挡板，有接地装置；电缆悬挂整齐，设备硐室清洁整齐；防护装置全，绝缘用具全，图纸资料全；坚持使用检漏继电器，坚持使用煤电钻、照明和信号综合保护，坚持使用甲烷断电仪和甲烷风电闭锁装置。</w:t>
      </w:r>
    </w:p>
    <w:p w14:paraId="3FD8B6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八．作业完成后确认</w:t>
      </w:r>
    </w:p>
    <w:p w14:paraId="672CDBA7">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1.零部件连接：接线连接牢固，无毛刺，螺栓紧固牢靠。</w:t>
      </w:r>
    </w:p>
    <w:p w14:paraId="2F328CDF">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2.工具、材料：工具已清点，无缺漏；材料已清理。</w:t>
      </w:r>
    </w:p>
    <w:p w14:paraId="647CD136">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3.恢复供电：停电牌已摘下，可恢复供电。</w:t>
      </w:r>
    </w:p>
    <w:p w14:paraId="1B686AC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九、事故案例教育：</w:t>
      </w:r>
    </w:p>
    <w:p w14:paraId="4DDF858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（一）事故经过</w:t>
      </w:r>
    </w:p>
    <w:p w14:paraId="2FAC0B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2002年5仿宋月17日，××矿检修工刁某检修380v直流电焊机。电焊机检修后进行通电试验良好，并将电焊机开关断开。刁××安排工作组成员张××拆除电焊机二次线，自己拆除电焊机一次线。约17时15分，刁××蹲着身子拆除电焊机电源中间接头，在拆完一相后，拆除第二相的过程中意外触电，经抢救无效死亡。</w:t>
      </w:r>
    </w:p>
    <w:p w14:paraId="1C87D20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(二)事故原因</w:t>
      </w:r>
    </w:p>
    <w:p w14:paraId="7064EDA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1.在拆除电焊机电源中间接头时，未检查确认电焊机电源是否已断开，在电源线带电又无绝缘保护的情况下作业，导致触电。</w:t>
      </w:r>
    </w:p>
    <w:p w14:paraId="7EDC46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2.工作组成员张××在工作中未有效的进行安全监督、提醒，未及时制止刁××的违章行为，是此次事故的原因之一。</w:t>
      </w:r>
    </w:p>
    <w:p w14:paraId="23E133D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3.未执行“验电、放电、接地”的电工操作规程。</w:t>
      </w:r>
    </w:p>
    <w:p w14:paraId="66854FB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(三)预防措施</w:t>
      </w:r>
    </w:p>
    <w:p w14:paraId="002FCCE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1.加强职工业务技术教育，加强操作规程的学习和考试，使每个职工都能自觉在工作中应用。</w:t>
      </w:r>
    </w:p>
    <w:p w14:paraId="6280B9C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2.坚持好电工操作“一人工作，一人监护”的原则。</w:t>
      </w:r>
    </w:p>
    <w:p w14:paraId="0316658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3.完善检查制度。</w:t>
      </w:r>
    </w:p>
    <w:p w14:paraId="29F1E86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十、常见三违</w:t>
      </w:r>
    </w:p>
    <w:p w14:paraId="34CF55E7">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（一）</w:t>
      </w:r>
      <w:r>
        <w:rPr>
          <w:rFonts w:hint="eastAsia" w:ascii="仿宋" w:hAnsi="仿宋" w:eastAsia="仿宋" w:cs="仿宋"/>
          <w:color w:val="auto"/>
          <w:kern w:val="2"/>
          <w:sz w:val="28"/>
          <w:szCs w:val="28"/>
          <w:lang w:val="en-US" w:eastAsia="zh-CN" w:bidi="ar"/>
        </w:rPr>
        <w:t>携带烟草和点火物品（手机），穿化纤衣服入井或入井前饮酒的；</w:t>
      </w:r>
    </w:p>
    <w:p w14:paraId="5B274C0D">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w:t>
      </w:r>
      <w:r>
        <w:rPr>
          <w:rFonts w:hint="eastAsia" w:ascii="仿宋" w:hAnsi="仿宋" w:eastAsia="仿宋" w:cs="仿宋"/>
          <w:color w:val="auto"/>
          <w:kern w:val="2"/>
          <w:sz w:val="28"/>
          <w:szCs w:val="28"/>
          <w:lang w:val="en-US" w:eastAsia="zh-CN" w:bidi="ar"/>
        </w:rPr>
        <w:t>无证上岗、证件过期的；</w:t>
      </w:r>
    </w:p>
    <w:p w14:paraId="0294BC6F">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w:t>
      </w:r>
      <w:r>
        <w:rPr>
          <w:rFonts w:hint="eastAsia" w:ascii="仿宋" w:hAnsi="仿宋" w:eastAsia="仿宋" w:cs="仿宋"/>
          <w:color w:val="auto"/>
          <w:kern w:val="2"/>
          <w:sz w:val="28"/>
          <w:szCs w:val="28"/>
          <w:lang w:val="en-US" w:eastAsia="zh-CN" w:bidi="ar"/>
        </w:rPr>
        <w:t>设备运行时，人员接触设备的机械转动和传动部位或带电体的；</w:t>
      </w:r>
    </w:p>
    <w:p w14:paraId="375FB509">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（四）</w:t>
      </w:r>
      <w:r>
        <w:rPr>
          <w:rFonts w:hint="eastAsia" w:ascii="仿宋" w:hAnsi="仿宋" w:eastAsia="仿宋" w:cs="仿宋"/>
          <w:color w:val="auto"/>
          <w:kern w:val="2"/>
          <w:sz w:val="28"/>
          <w:szCs w:val="28"/>
          <w:lang w:val="en-US" w:eastAsia="zh-CN" w:bidi="ar"/>
        </w:rPr>
        <w:t>带电检修、搬迁电气设备的；</w:t>
      </w:r>
    </w:p>
    <w:p w14:paraId="3949C4AD">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（五）</w:t>
      </w:r>
      <w:r>
        <w:rPr>
          <w:rFonts w:hint="eastAsia" w:ascii="仿宋" w:hAnsi="仿宋" w:eastAsia="仿宋" w:cs="仿宋"/>
          <w:color w:val="auto"/>
          <w:kern w:val="2"/>
          <w:sz w:val="28"/>
          <w:szCs w:val="28"/>
          <w:lang w:val="en-US" w:eastAsia="zh-CN" w:bidi="ar"/>
        </w:rPr>
        <w:t>电气设备出现失爆的；</w:t>
      </w:r>
    </w:p>
    <w:p w14:paraId="2A2E8F40">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（六）</w:t>
      </w:r>
      <w:r>
        <w:rPr>
          <w:rFonts w:hint="eastAsia" w:ascii="仿宋" w:hAnsi="仿宋" w:eastAsia="仿宋" w:cs="仿宋"/>
          <w:color w:val="auto"/>
          <w:kern w:val="2"/>
          <w:sz w:val="28"/>
          <w:szCs w:val="28"/>
          <w:lang w:val="en-US" w:eastAsia="zh-CN" w:bidi="ar"/>
        </w:rPr>
        <w:t>用水冲洗电气、通讯设备的；</w:t>
      </w:r>
    </w:p>
    <w:p w14:paraId="3C85B813">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（七）</w:t>
      </w:r>
      <w:r>
        <w:rPr>
          <w:rFonts w:hint="eastAsia" w:ascii="仿宋" w:hAnsi="仿宋" w:eastAsia="仿宋" w:cs="仿宋"/>
          <w:color w:val="auto"/>
          <w:kern w:val="2"/>
          <w:sz w:val="28"/>
          <w:szCs w:val="28"/>
          <w:lang w:val="en-US" w:eastAsia="zh-CN" w:bidi="ar"/>
        </w:rPr>
        <w:t>不随身携带、不按规定使用矿灯、安全帽、自救器的；</w:t>
      </w:r>
    </w:p>
    <w:p w14:paraId="0ADF442F">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（八）</w:t>
      </w:r>
      <w:r>
        <w:rPr>
          <w:rFonts w:hint="eastAsia" w:ascii="仿宋" w:hAnsi="仿宋" w:eastAsia="仿宋" w:cs="仿宋"/>
          <w:color w:val="auto"/>
          <w:kern w:val="2"/>
          <w:sz w:val="28"/>
          <w:szCs w:val="28"/>
          <w:lang w:val="en-US" w:eastAsia="zh-CN" w:bidi="ar"/>
        </w:rPr>
        <w:t>各种保护、安全设施不按规定装设、使用、检查、检修、检测、试验或不灵敏可靠；</w:t>
      </w:r>
    </w:p>
    <w:p w14:paraId="09BEF553">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（九）</w:t>
      </w:r>
      <w:r>
        <w:rPr>
          <w:rFonts w:hint="eastAsia" w:ascii="仿宋" w:hAnsi="仿宋" w:eastAsia="仿宋" w:cs="仿宋"/>
          <w:color w:val="auto"/>
          <w:kern w:val="2"/>
          <w:sz w:val="28"/>
          <w:szCs w:val="28"/>
          <w:lang w:val="en-US" w:eastAsia="zh-CN" w:bidi="ar"/>
        </w:rPr>
        <w:t>操作按钮失灵继续使用或未按规定使用的；</w:t>
      </w:r>
    </w:p>
    <w:p w14:paraId="62831E14">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w:t>
      </w:r>
      <w:r>
        <w:rPr>
          <w:rFonts w:hint="eastAsia" w:ascii="仿宋" w:hAnsi="仿宋" w:eastAsia="仿宋" w:cs="仿宋"/>
          <w:color w:val="auto"/>
          <w:kern w:val="2"/>
          <w:sz w:val="28"/>
          <w:szCs w:val="28"/>
          <w:lang w:val="en-US" w:eastAsia="zh-CN" w:bidi="ar"/>
        </w:rPr>
        <w:t>登高作业不按规定佩戴保险带、保险绳等的；</w:t>
      </w:r>
    </w:p>
    <w:p w14:paraId="67DEB16E">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（十一）</w:t>
      </w:r>
      <w:r>
        <w:rPr>
          <w:rFonts w:hint="eastAsia" w:ascii="仿宋" w:hAnsi="仿宋" w:eastAsia="仿宋" w:cs="仿宋"/>
          <w:color w:val="auto"/>
          <w:kern w:val="2"/>
          <w:sz w:val="28"/>
          <w:szCs w:val="28"/>
          <w:lang w:val="en-US" w:eastAsia="zh-CN" w:bidi="ar"/>
        </w:rPr>
        <w:t>未按规定携带瓦斯便携仪的；</w:t>
      </w:r>
    </w:p>
    <w:p w14:paraId="372F28B4">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（十二）</w:t>
      </w:r>
      <w:r>
        <w:rPr>
          <w:rFonts w:hint="eastAsia" w:ascii="仿宋" w:hAnsi="仿宋" w:eastAsia="仿宋" w:cs="仿宋"/>
          <w:color w:val="auto"/>
          <w:kern w:val="2"/>
          <w:sz w:val="28"/>
          <w:szCs w:val="28"/>
          <w:lang w:val="en-US" w:eastAsia="zh-CN" w:bidi="ar"/>
        </w:rPr>
        <w:t>开关未及时停电、闭锁的；</w:t>
      </w:r>
    </w:p>
    <w:p w14:paraId="32837143">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（十三）</w:t>
      </w:r>
      <w:r>
        <w:rPr>
          <w:rFonts w:hint="eastAsia" w:ascii="仿宋" w:hAnsi="仿宋" w:eastAsia="仿宋" w:cs="仿宋"/>
          <w:color w:val="auto"/>
          <w:kern w:val="2"/>
          <w:sz w:val="28"/>
          <w:szCs w:val="28"/>
          <w:lang w:val="en-US" w:eastAsia="zh-CN" w:bidi="ar"/>
        </w:rPr>
        <w:t>容易碰到的和裸露的带电体及机械外露的转动和传动部位未加装护罩或遮拦等防护设施的；</w:t>
      </w:r>
    </w:p>
    <w:p w14:paraId="6022E589">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（十四）</w:t>
      </w:r>
      <w:r>
        <w:rPr>
          <w:rFonts w:hint="eastAsia" w:ascii="仿宋" w:hAnsi="仿宋" w:eastAsia="仿宋" w:cs="仿宋"/>
          <w:color w:val="auto"/>
          <w:kern w:val="2"/>
          <w:sz w:val="28"/>
          <w:szCs w:val="28"/>
          <w:lang w:val="en-US" w:eastAsia="zh-CN" w:bidi="ar"/>
        </w:rPr>
        <w:t>自救器损坏或过期未及时更换的；</w:t>
      </w:r>
    </w:p>
    <w:p w14:paraId="4B719E83">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（十五）</w:t>
      </w:r>
      <w:r>
        <w:rPr>
          <w:rFonts w:hint="eastAsia" w:ascii="仿宋" w:hAnsi="仿宋" w:eastAsia="仿宋" w:cs="仿宋"/>
          <w:color w:val="auto"/>
          <w:kern w:val="2"/>
          <w:sz w:val="28"/>
          <w:szCs w:val="28"/>
          <w:lang w:val="en-US" w:eastAsia="zh-CN" w:bidi="ar"/>
        </w:rPr>
        <w:t>携带非防爆电子产品入井的；</w:t>
      </w:r>
    </w:p>
    <w:p w14:paraId="56D649FE">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（十六）</w:t>
      </w:r>
      <w:r>
        <w:rPr>
          <w:rFonts w:hint="eastAsia" w:ascii="仿宋" w:hAnsi="仿宋" w:eastAsia="仿宋" w:cs="仿宋"/>
          <w:color w:val="auto"/>
          <w:kern w:val="2"/>
          <w:sz w:val="28"/>
          <w:szCs w:val="28"/>
          <w:lang w:val="en-US" w:eastAsia="zh-CN" w:bidi="ar"/>
        </w:rPr>
        <w:t>其他违反《煤矿安全规程》、《操作规程》及《作业规程》等有关规定的；</w:t>
      </w:r>
    </w:p>
    <w:p w14:paraId="06DB96ED">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（十七）</w:t>
      </w:r>
      <w:r>
        <w:rPr>
          <w:rFonts w:hint="eastAsia" w:ascii="仿宋" w:hAnsi="仿宋" w:eastAsia="仿宋" w:cs="仿宋"/>
          <w:color w:val="auto"/>
          <w:kern w:val="2"/>
          <w:sz w:val="28"/>
          <w:szCs w:val="28"/>
          <w:lang w:val="en-US" w:eastAsia="zh-CN" w:bidi="ar"/>
        </w:rPr>
        <w:t>检修电气设备约时停送电或送电前不通知检修人员的；</w:t>
      </w:r>
    </w:p>
    <w:p w14:paraId="1A624EBB">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（十八）</w:t>
      </w:r>
      <w:r>
        <w:rPr>
          <w:rFonts w:hint="eastAsia" w:ascii="仿宋" w:hAnsi="仿宋" w:eastAsia="仿宋" w:cs="仿宋"/>
          <w:color w:val="auto"/>
          <w:kern w:val="2"/>
          <w:sz w:val="28"/>
          <w:szCs w:val="28"/>
          <w:lang w:val="en-US" w:eastAsia="zh-CN" w:bidi="ar"/>
        </w:rPr>
        <w:t>机电设备各类保护擅自甩掉不用或擅自改变保护定值的；</w:t>
      </w:r>
    </w:p>
    <w:p w14:paraId="0487F468">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（十九）</w:t>
      </w:r>
      <w:r>
        <w:rPr>
          <w:rFonts w:hint="eastAsia" w:ascii="仿宋" w:hAnsi="仿宋" w:eastAsia="仿宋" w:cs="仿宋"/>
          <w:color w:val="auto"/>
          <w:kern w:val="2"/>
          <w:sz w:val="28"/>
          <w:szCs w:val="28"/>
          <w:lang w:val="en-US" w:eastAsia="zh-CN" w:bidi="ar"/>
        </w:rPr>
        <w:t>违反停送电制度的；</w:t>
      </w:r>
    </w:p>
    <w:p w14:paraId="0F451928">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w:t>
      </w:r>
      <w:r>
        <w:rPr>
          <w:rFonts w:hint="eastAsia" w:ascii="仿宋" w:hAnsi="仿宋" w:eastAsia="仿宋" w:cs="仿宋"/>
          <w:color w:val="auto"/>
          <w:kern w:val="2"/>
          <w:sz w:val="28"/>
          <w:szCs w:val="28"/>
          <w:lang w:val="en-US" w:eastAsia="zh-CN" w:bidi="ar"/>
        </w:rPr>
        <w:t>井下电缆连接存在“鸡爪子”、“羊尾巴”、“明接头”的；</w:t>
      </w:r>
    </w:p>
    <w:p w14:paraId="5B571981">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（二十一）</w:t>
      </w:r>
      <w:r>
        <w:rPr>
          <w:rFonts w:hint="eastAsia" w:ascii="仿宋" w:hAnsi="仿宋" w:eastAsia="仿宋" w:cs="仿宋"/>
          <w:color w:val="auto"/>
          <w:kern w:val="2"/>
          <w:sz w:val="28"/>
          <w:szCs w:val="28"/>
          <w:lang w:val="en-US" w:eastAsia="zh-CN" w:bidi="ar"/>
        </w:rPr>
        <w:t>高压停送电无工作票、倒闸操作票，未严格执行“两票三制”工作制度的；</w:t>
      </w:r>
    </w:p>
    <w:p w14:paraId="438FCBF3">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（二十二）</w:t>
      </w:r>
      <w:r>
        <w:rPr>
          <w:rFonts w:hint="eastAsia" w:ascii="仿宋" w:hAnsi="仿宋" w:eastAsia="仿宋" w:cs="仿宋"/>
          <w:color w:val="auto"/>
          <w:kern w:val="2"/>
          <w:sz w:val="28"/>
          <w:szCs w:val="28"/>
          <w:lang w:val="en-US" w:eastAsia="zh-CN" w:bidi="ar"/>
        </w:rPr>
        <w:t>操作高压电气设备主回路不戴绝缘手套、不穿绝缘靴或不站在绝缘台上的；</w:t>
      </w:r>
    </w:p>
    <w:p w14:paraId="3BA1A384">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（二十三）</w:t>
      </w:r>
      <w:r>
        <w:rPr>
          <w:rFonts w:hint="eastAsia" w:ascii="仿宋" w:hAnsi="仿宋" w:eastAsia="仿宋" w:cs="仿宋"/>
          <w:color w:val="auto"/>
          <w:kern w:val="2"/>
          <w:sz w:val="28"/>
          <w:szCs w:val="28"/>
          <w:lang w:val="en-US" w:eastAsia="zh-CN" w:bidi="ar"/>
        </w:rPr>
        <w:t>检修电气设备未按规定进行停电、验电、放电、挂接地线、挂警示牌、检查瓦斯的；</w:t>
      </w:r>
    </w:p>
    <w:p w14:paraId="245F458D">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（二十四）</w:t>
      </w:r>
      <w:r>
        <w:rPr>
          <w:rFonts w:hint="eastAsia" w:ascii="仿宋" w:hAnsi="仿宋" w:eastAsia="仿宋" w:cs="仿宋"/>
          <w:color w:val="auto"/>
          <w:kern w:val="2"/>
          <w:sz w:val="28"/>
          <w:szCs w:val="28"/>
          <w:lang w:val="en-US" w:eastAsia="zh-CN" w:bidi="ar"/>
        </w:rPr>
        <w:t>检修机电设备或在设备上从事其它工作时，不停电、不闭锁、不挂停电牌的；</w:t>
      </w:r>
    </w:p>
    <w:p w14:paraId="6D4A880B">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（二十五）</w:t>
      </w:r>
      <w:r>
        <w:rPr>
          <w:rFonts w:hint="eastAsia" w:ascii="仿宋" w:hAnsi="仿宋" w:eastAsia="仿宋" w:cs="仿宋"/>
          <w:color w:val="auto"/>
          <w:kern w:val="2"/>
          <w:sz w:val="28"/>
          <w:szCs w:val="28"/>
          <w:lang w:val="en-US" w:eastAsia="zh-CN" w:bidi="ar"/>
        </w:rPr>
        <w:t>修理调整高压电气设备无工作票和施工安全措施的；</w:t>
      </w:r>
    </w:p>
    <w:p w14:paraId="37CDF0BE">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（二十六）</w:t>
      </w:r>
      <w:r>
        <w:rPr>
          <w:rFonts w:hint="eastAsia" w:ascii="仿宋" w:hAnsi="仿宋" w:eastAsia="仿宋" w:cs="仿宋"/>
          <w:color w:val="auto"/>
          <w:kern w:val="2"/>
          <w:sz w:val="28"/>
          <w:szCs w:val="28"/>
          <w:lang w:val="en-US" w:eastAsia="zh-CN" w:bidi="ar"/>
        </w:rPr>
        <w:t>电工操作使用不合格不齐全绝缘用品、用具的；</w:t>
      </w:r>
    </w:p>
    <w:p w14:paraId="1040E08C">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（二十七）</w:t>
      </w:r>
      <w:r>
        <w:rPr>
          <w:rFonts w:hint="eastAsia" w:ascii="仿宋" w:hAnsi="仿宋" w:eastAsia="仿宋" w:cs="仿宋"/>
          <w:color w:val="auto"/>
          <w:kern w:val="2"/>
          <w:sz w:val="28"/>
          <w:szCs w:val="28"/>
          <w:lang w:val="en-US" w:eastAsia="zh-CN" w:bidi="ar"/>
        </w:rPr>
        <w:t>开关停送电操作失误的；</w:t>
      </w:r>
    </w:p>
    <w:p w14:paraId="1C038496">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（二十八）</w:t>
      </w:r>
      <w:r>
        <w:rPr>
          <w:rFonts w:hint="eastAsia" w:ascii="仿宋" w:hAnsi="仿宋" w:eastAsia="仿宋" w:cs="仿宋"/>
          <w:color w:val="auto"/>
          <w:kern w:val="2"/>
          <w:sz w:val="28"/>
          <w:szCs w:val="28"/>
          <w:lang w:val="en-US" w:eastAsia="zh-CN" w:bidi="ar"/>
        </w:rPr>
        <w:t>不按规定程序及要求事项进行停送电作业的；</w:t>
      </w:r>
    </w:p>
    <w:p w14:paraId="31E20B2A">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（二十九）</w:t>
      </w:r>
      <w:r>
        <w:rPr>
          <w:rFonts w:hint="eastAsia" w:ascii="仿宋" w:hAnsi="仿宋" w:eastAsia="仿宋" w:cs="仿宋"/>
          <w:color w:val="auto"/>
          <w:kern w:val="2"/>
          <w:sz w:val="28"/>
          <w:szCs w:val="28"/>
          <w:lang w:val="en-US" w:eastAsia="zh-CN" w:bidi="ar"/>
        </w:rPr>
        <w:t>电气设备及电缆绝缘值低继续使用的；</w:t>
      </w:r>
    </w:p>
    <w:p w14:paraId="2A457936">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w:t>
      </w:r>
      <w:r>
        <w:rPr>
          <w:rFonts w:hint="eastAsia" w:ascii="仿宋" w:hAnsi="仿宋" w:eastAsia="仿宋" w:cs="仿宋"/>
          <w:color w:val="auto"/>
          <w:kern w:val="2"/>
          <w:sz w:val="28"/>
          <w:szCs w:val="28"/>
          <w:lang w:val="en-US" w:eastAsia="zh-CN" w:bidi="ar"/>
        </w:rPr>
        <w:t>无紧急情况未经批准随意停电的（无计划、无措施）；</w:t>
      </w:r>
    </w:p>
    <w:p w14:paraId="0596801D">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（三十一）</w:t>
      </w:r>
      <w:r>
        <w:rPr>
          <w:rFonts w:hint="eastAsia" w:ascii="仿宋" w:hAnsi="仿宋" w:eastAsia="仿宋" w:cs="仿宋"/>
          <w:color w:val="auto"/>
          <w:kern w:val="2"/>
          <w:sz w:val="28"/>
          <w:szCs w:val="28"/>
          <w:lang w:val="en-US" w:eastAsia="zh-CN" w:bidi="ar"/>
        </w:rPr>
        <w:t>电缆之间的连接，未用与电气设备性能相符的接线盒的；</w:t>
      </w:r>
    </w:p>
    <w:p w14:paraId="5E0223A2">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（三十二）</w:t>
      </w:r>
      <w:r>
        <w:rPr>
          <w:rFonts w:hint="eastAsia" w:ascii="仿宋" w:hAnsi="仿宋" w:eastAsia="仿宋" w:cs="仿宋"/>
          <w:color w:val="auto"/>
          <w:kern w:val="2"/>
          <w:sz w:val="28"/>
          <w:szCs w:val="28"/>
          <w:lang w:val="en-US" w:eastAsia="zh-CN" w:bidi="ar"/>
        </w:rPr>
        <w:t>操作过程中损坏电缆或损伤电缆致使露出芯线绝缘的；</w:t>
      </w:r>
    </w:p>
    <w:p w14:paraId="6B99D19E">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（三十三）</w:t>
      </w:r>
      <w:r>
        <w:rPr>
          <w:rFonts w:hint="eastAsia" w:ascii="仿宋" w:hAnsi="仿宋" w:eastAsia="仿宋" w:cs="仿宋"/>
          <w:color w:val="auto"/>
          <w:kern w:val="2"/>
          <w:sz w:val="28"/>
          <w:szCs w:val="28"/>
          <w:lang w:val="en-US" w:eastAsia="zh-CN" w:bidi="ar"/>
        </w:rPr>
        <w:t>用水冲刷巷道溅在高压电器设备上或直接冲刷低压电器设备的；</w:t>
      </w:r>
    </w:p>
    <w:p w14:paraId="1AED75CA">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（三十四）</w:t>
      </w:r>
      <w:r>
        <w:rPr>
          <w:rFonts w:hint="eastAsia" w:ascii="仿宋" w:hAnsi="仿宋" w:eastAsia="仿宋" w:cs="仿宋"/>
          <w:color w:val="auto"/>
          <w:kern w:val="2"/>
          <w:sz w:val="28"/>
          <w:szCs w:val="28"/>
          <w:lang w:val="en-US" w:eastAsia="zh-CN" w:bidi="ar"/>
        </w:rPr>
        <w:t>电工不穿合格绝缘靴、不带验电笔及便携仪的；</w:t>
      </w:r>
    </w:p>
    <w:p w14:paraId="06093566">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（三十五）</w:t>
      </w:r>
      <w:r>
        <w:rPr>
          <w:rFonts w:hint="eastAsia" w:ascii="仿宋" w:hAnsi="仿宋" w:eastAsia="仿宋" w:cs="仿宋"/>
          <w:color w:val="auto"/>
          <w:kern w:val="2"/>
          <w:sz w:val="28"/>
          <w:szCs w:val="28"/>
          <w:lang w:val="en-US" w:eastAsia="zh-CN" w:bidi="ar"/>
        </w:rPr>
        <w:t>各种电气设备无接地线或接地线安设不合格的；</w:t>
      </w:r>
    </w:p>
    <w:p w14:paraId="0865C104">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（三十六）</w:t>
      </w:r>
      <w:r>
        <w:rPr>
          <w:rFonts w:hint="eastAsia" w:ascii="仿宋" w:hAnsi="仿宋" w:eastAsia="仿宋" w:cs="仿宋"/>
          <w:color w:val="auto"/>
          <w:kern w:val="2"/>
          <w:sz w:val="28"/>
          <w:szCs w:val="28"/>
          <w:lang w:val="en-US" w:eastAsia="zh-CN" w:bidi="ar"/>
        </w:rPr>
        <w:t>未按规定使用煤安标志产品、黏贴设备标志牌的；</w:t>
      </w:r>
    </w:p>
    <w:p w14:paraId="577B729F">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（三十七）</w:t>
      </w:r>
      <w:r>
        <w:rPr>
          <w:rFonts w:hint="eastAsia" w:ascii="仿宋" w:hAnsi="仿宋" w:eastAsia="仿宋" w:cs="仿宋"/>
          <w:color w:val="auto"/>
          <w:kern w:val="2"/>
          <w:sz w:val="28"/>
          <w:szCs w:val="28"/>
          <w:lang w:val="en-US" w:eastAsia="zh-CN" w:bidi="ar"/>
        </w:rPr>
        <w:t>机电设备未按规定定期进行技术性能测定和预防性试验的；</w:t>
      </w:r>
    </w:p>
    <w:p w14:paraId="71759439">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（三十八）</w:t>
      </w:r>
      <w:r>
        <w:rPr>
          <w:rFonts w:hint="eastAsia" w:ascii="仿宋" w:hAnsi="仿宋" w:eastAsia="仿宋" w:cs="仿宋"/>
          <w:color w:val="auto"/>
          <w:kern w:val="2"/>
          <w:sz w:val="28"/>
          <w:szCs w:val="28"/>
          <w:lang w:val="en-US" w:eastAsia="zh-CN" w:bidi="ar"/>
        </w:rPr>
        <w:t>保险丝用铜（铝、铁）丝等代替的；</w:t>
      </w:r>
    </w:p>
    <w:p w14:paraId="2C2E61F8">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（三十九）</w:t>
      </w:r>
      <w:r>
        <w:rPr>
          <w:rFonts w:hint="eastAsia" w:ascii="仿宋" w:hAnsi="仿宋" w:eastAsia="仿宋" w:cs="仿宋"/>
          <w:color w:val="auto"/>
          <w:kern w:val="2"/>
          <w:sz w:val="28"/>
          <w:szCs w:val="28"/>
          <w:lang w:val="en-US" w:eastAsia="zh-CN" w:bidi="ar"/>
        </w:rPr>
        <w:t>拆除电器设备时，随意截割电缆的；</w:t>
      </w:r>
    </w:p>
    <w:p w14:paraId="07610802">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（四十）</w:t>
      </w:r>
      <w:r>
        <w:rPr>
          <w:rFonts w:hint="eastAsia" w:ascii="仿宋" w:hAnsi="仿宋" w:eastAsia="仿宋" w:cs="仿宋"/>
          <w:color w:val="auto"/>
          <w:kern w:val="2"/>
          <w:sz w:val="28"/>
          <w:szCs w:val="28"/>
          <w:lang w:val="en-US" w:eastAsia="zh-CN" w:bidi="ar"/>
        </w:rPr>
        <w:t>各种电气保护不按时进行试验的。</w:t>
      </w:r>
    </w:p>
    <w:bookmarkEnd w:id="331"/>
    <w:bookmarkEnd w:id="332"/>
    <w:bookmarkEnd w:id="333"/>
    <w:bookmarkEnd w:id="334"/>
    <w:p w14:paraId="4D206DDB">
      <w:pPr>
        <w:rPr>
          <w:rFonts w:hint="eastAsia" w:ascii="仿宋" w:hAnsi="仿宋" w:eastAsia="仿宋" w:cs="仿宋"/>
          <w:b/>
          <w:bCs/>
          <w:color w:val="auto"/>
          <w:sz w:val="32"/>
          <w:szCs w:val="32"/>
          <w:highlight w:val="none"/>
          <w:lang w:val="en-US" w:eastAsia="zh-CN"/>
        </w:rPr>
      </w:pPr>
      <w:bookmarkStart w:id="418" w:name="_Toc21539"/>
      <w:bookmarkStart w:id="419" w:name="_Toc12758"/>
      <w:bookmarkStart w:id="420" w:name="_Toc13105"/>
      <w:r>
        <w:rPr>
          <w:rFonts w:hint="eastAsia" w:ascii="仿宋" w:hAnsi="仿宋" w:eastAsia="仿宋" w:cs="仿宋"/>
          <w:b/>
          <w:bCs/>
          <w:color w:val="auto"/>
          <w:sz w:val="32"/>
          <w:szCs w:val="32"/>
          <w:highlight w:val="none"/>
          <w:lang w:val="en-US" w:eastAsia="zh-CN"/>
        </w:rPr>
        <w:br w:type="page"/>
      </w:r>
    </w:p>
    <w:p w14:paraId="468BCFC0">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2"/>
          <w:szCs w:val="32"/>
          <w:highlight w:val="none"/>
          <w:lang w:val="en-US" w:eastAsia="zh-CN"/>
        </w:rPr>
      </w:pPr>
      <w:bookmarkStart w:id="421" w:name="_Toc11585"/>
      <w:r>
        <w:rPr>
          <w:rFonts w:hint="eastAsia" w:ascii="仿宋" w:hAnsi="仿宋" w:eastAsia="仿宋" w:cs="仿宋"/>
          <w:b/>
          <w:bCs/>
          <w:color w:val="auto"/>
          <w:sz w:val="32"/>
          <w:szCs w:val="32"/>
          <w:highlight w:val="none"/>
          <w:lang w:val="en-US" w:eastAsia="zh-CN"/>
        </w:rPr>
        <w:t>运输专业学习手册</w:t>
      </w:r>
      <w:bookmarkEnd w:id="418"/>
      <w:bookmarkEnd w:id="419"/>
      <w:bookmarkEnd w:id="420"/>
      <w:bookmarkEnd w:id="421"/>
    </w:p>
    <w:p w14:paraId="0E22820D">
      <w:pPr>
        <w:spacing w:before="100" w:beforeAutospacing="1" w:after="100" w:afterAutospacing="1" w:line="380" w:lineRule="exact"/>
        <w:jc w:val="center"/>
        <w:outlineLvl w:val="1"/>
        <w:rPr>
          <w:rFonts w:hint="eastAsia" w:ascii="仿宋" w:hAnsi="仿宋" w:eastAsia="仿宋" w:cs="仿宋"/>
          <w:b/>
          <w:color w:val="auto"/>
          <w:sz w:val="36"/>
          <w:szCs w:val="36"/>
        </w:rPr>
      </w:pPr>
      <w:bookmarkStart w:id="422" w:name="_Toc26167"/>
      <w:bookmarkStart w:id="423" w:name="_Toc17895"/>
      <w:bookmarkStart w:id="424" w:name="_Toc18623"/>
      <w:r>
        <w:rPr>
          <w:rFonts w:hint="eastAsia" w:ascii="仿宋" w:hAnsi="仿宋" w:eastAsia="仿宋" w:cs="仿宋"/>
          <w:b/>
          <w:color w:val="auto"/>
          <w:sz w:val="36"/>
          <w:szCs w:val="36"/>
        </w:rPr>
        <w:t>电机车司机</w:t>
      </w:r>
      <w:bookmarkEnd w:id="422"/>
      <w:bookmarkEnd w:id="423"/>
      <w:bookmarkEnd w:id="424"/>
    </w:p>
    <w:tbl>
      <w:tblPr>
        <w:tblStyle w:val="12"/>
        <w:tblW w:w="8500" w:type="dxa"/>
        <w:tblInd w:w="95" w:type="dxa"/>
        <w:tblLayout w:type="fixed"/>
        <w:tblCellMar>
          <w:top w:w="0" w:type="dxa"/>
          <w:left w:w="108" w:type="dxa"/>
          <w:bottom w:w="0" w:type="dxa"/>
          <w:right w:w="108" w:type="dxa"/>
        </w:tblCellMar>
      </w:tblPr>
      <w:tblGrid>
        <w:gridCol w:w="1069"/>
        <w:gridCol w:w="2773"/>
        <w:gridCol w:w="848"/>
        <w:gridCol w:w="3810"/>
      </w:tblGrid>
      <w:tr w14:paraId="6132F74F">
        <w:tblPrEx>
          <w:tblCellMar>
            <w:top w:w="0" w:type="dxa"/>
            <w:left w:w="108" w:type="dxa"/>
            <w:bottom w:w="0" w:type="dxa"/>
            <w:right w:w="108" w:type="dxa"/>
          </w:tblCellMar>
        </w:tblPrEx>
        <w:trPr>
          <w:trHeight w:val="543" w:hRule="atLeast"/>
        </w:trPr>
        <w:tc>
          <w:tcPr>
            <w:tcW w:w="8500" w:type="dxa"/>
            <w:gridSpan w:val="4"/>
            <w:tcBorders>
              <w:top w:val="single" w:color="auto" w:sz="4" w:space="0"/>
              <w:left w:val="single" w:color="auto" w:sz="4" w:space="0"/>
              <w:bottom w:val="single" w:color="auto" w:sz="4" w:space="0"/>
              <w:right w:val="single" w:color="auto" w:sz="4" w:space="0"/>
            </w:tcBorders>
            <w:vAlign w:val="center"/>
          </w:tcPr>
          <w:p w14:paraId="3F9209D0">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val="0"/>
                <w:bCs/>
                <w:color w:val="auto"/>
                <w:kern w:val="0"/>
                <w:sz w:val="21"/>
                <w:szCs w:val="21"/>
              </w:rPr>
              <w:t>电机车司机岗位风险告知卡</w:t>
            </w:r>
          </w:p>
        </w:tc>
      </w:tr>
      <w:tr w14:paraId="7646458C">
        <w:tblPrEx>
          <w:tblCellMar>
            <w:top w:w="0" w:type="dxa"/>
            <w:left w:w="108" w:type="dxa"/>
            <w:bottom w:w="0" w:type="dxa"/>
            <w:right w:w="108" w:type="dxa"/>
          </w:tblCellMar>
        </w:tblPrEx>
        <w:trPr>
          <w:trHeight w:val="1100" w:hRule="atLeast"/>
        </w:trPr>
        <w:tc>
          <w:tcPr>
            <w:tcW w:w="1069" w:type="dxa"/>
            <w:tcBorders>
              <w:top w:val="nil"/>
              <w:left w:val="single" w:color="auto" w:sz="4" w:space="0"/>
              <w:bottom w:val="single" w:color="auto" w:sz="4" w:space="0"/>
              <w:right w:val="single" w:color="auto" w:sz="4" w:space="0"/>
            </w:tcBorders>
            <w:vAlign w:val="center"/>
          </w:tcPr>
          <w:p w14:paraId="677811FD">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风险类型</w:t>
            </w:r>
          </w:p>
        </w:tc>
        <w:tc>
          <w:tcPr>
            <w:tcW w:w="2773" w:type="dxa"/>
            <w:tcBorders>
              <w:top w:val="nil"/>
              <w:left w:val="nil"/>
              <w:bottom w:val="single" w:color="auto" w:sz="4" w:space="0"/>
              <w:right w:val="single" w:color="auto" w:sz="4" w:space="0"/>
            </w:tcBorders>
            <w:vAlign w:val="center"/>
          </w:tcPr>
          <w:p w14:paraId="3ABA22D3">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机电、运输、物体打击、职业病危害</w:t>
            </w:r>
          </w:p>
        </w:tc>
        <w:tc>
          <w:tcPr>
            <w:tcW w:w="848" w:type="dxa"/>
            <w:tcBorders>
              <w:top w:val="nil"/>
              <w:left w:val="nil"/>
              <w:bottom w:val="single" w:color="auto" w:sz="4" w:space="0"/>
              <w:right w:val="single" w:color="auto" w:sz="4" w:space="0"/>
            </w:tcBorders>
            <w:vAlign w:val="center"/>
          </w:tcPr>
          <w:p w14:paraId="1663CFE4">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事故报告</w:t>
            </w:r>
          </w:p>
        </w:tc>
        <w:tc>
          <w:tcPr>
            <w:tcW w:w="3810" w:type="dxa"/>
            <w:tcBorders>
              <w:top w:val="nil"/>
              <w:left w:val="nil"/>
              <w:bottom w:val="single" w:color="auto" w:sz="4" w:space="0"/>
              <w:right w:val="single" w:color="auto" w:sz="4" w:space="0"/>
            </w:tcBorders>
            <w:vAlign w:val="center"/>
          </w:tcPr>
          <w:p w14:paraId="50902DC6">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7BDB582E">
        <w:tblPrEx>
          <w:tblCellMar>
            <w:top w:w="0" w:type="dxa"/>
            <w:left w:w="108" w:type="dxa"/>
            <w:bottom w:w="0" w:type="dxa"/>
            <w:right w:w="108" w:type="dxa"/>
          </w:tblCellMar>
        </w:tblPrEx>
        <w:trPr>
          <w:trHeight w:val="690" w:hRule="atLeast"/>
        </w:trPr>
        <w:tc>
          <w:tcPr>
            <w:tcW w:w="3842" w:type="dxa"/>
            <w:gridSpan w:val="2"/>
            <w:tcBorders>
              <w:top w:val="single" w:color="auto" w:sz="4" w:space="0"/>
              <w:left w:val="single" w:color="auto" w:sz="4" w:space="0"/>
              <w:bottom w:val="single" w:color="auto" w:sz="4" w:space="0"/>
              <w:right w:val="single" w:color="auto" w:sz="4" w:space="0"/>
            </w:tcBorders>
            <w:vAlign w:val="center"/>
          </w:tcPr>
          <w:p w14:paraId="17F3D4A4">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658" w:type="dxa"/>
            <w:gridSpan w:val="2"/>
            <w:tcBorders>
              <w:top w:val="single" w:color="auto" w:sz="4" w:space="0"/>
              <w:left w:val="nil"/>
              <w:bottom w:val="single" w:color="auto" w:sz="4" w:space="0"/>
              <w:right w:val="single" w:color="auto" w:sz="4" w:space="0"/>
            </w:tcBorders>
            <w:vAlign w:val="center"/>
          </w:tcPr>
          <w:p w14:paraId="626CC8C2">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215509F0">
        <w:tblPrEx>
          <w:tblCellMar>
            <w:top w:w="0" w:type="dxa"/>
            <w:left w:w="108" w:type="dxa"/>
            <w:bottom w:w="0" w:type="dxa"/>
            <w:right w:w="108" w:type="dxa"/>
          </w:tblCellMar>
        </w:tblPrEx>
        <w:trPr>
          <w:trHeight w:val="1126"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14:paraId="501AEBEE">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1.未持证上岗；未佩戴个体防护；未发出开车信号。</w:t>
            </w:r>
          </w:p>
        </w:tc>
        <w:tc>
          <w:tcPr>
            <w:tcW w:w="4658" w:type="dxa"/>
            <w:gridSpan w:val="2"/>
            <w:tcBorders>
              <w:top w:val="single" w:color="auto" w:sz="4" w:space="0"/>
              <w:left w:val="nil"/>
              <w:bottom w:val="single" w:color="auto" w:sz="4" w:space="0"/>
              <w:right w:val="single" w:color="000000" w:sz="4" w:space="0"/>
            </w:tcBorders>
            <w:vAlign w:val="center"/>
          </w:tcPr>
          <w:p w14:paraId="25A22BFB">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1.持证上岗；佩戴好安全帽；司机开车前要发出信号。</w:t>
            </w:r>
          </w:p>
        </w:tc>
      </w:tr>
      <w:tr w14:paraId="61E3722B">
        <w:tblPrEx>
          <w:tblCellMar>
            <w:top w:w="0" w:type="dxa"/>
            <w:left w:w="108" w:type="dxa"/>
            <w:bottom w:w="0" w:type="dxa"/>
            <w:right w:w="108" w:type="dxa"/>
          </w:tblCellMar>
        </w:tblPrEx>
        <w:trPr>
          <w:trHeight w:val="1141"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14:paraId="1365B9BD">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2.机车前方有人开车；机车照明不完好。</w:t>
            </w:r>
          </w:p>
        </w:tc>
        <w:tc>
          <w:tcPr>
            <w:tcW w:w="4658" w:type="dxa"/>
            <w:gridSpan w:val="2"/>
            <w:tcBorders>
              <w:top w:val="single" w:color="auto" w:sz="4" w:space="0"/>
              <w:left w:val="nil"/>
              <w:bottom w:val="single" w:color="auto" w:sz="4" w:space="0"/>
              <w:right w:val="single" w:color="000000" w:sz="4" w:space="0"/>
            </w:tcBorders>
            <w:vAlign w:val="center"/>
          </w:tcPr>
          <w:p w14:paraId="1708D45C">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2.机车前方有人严禁开车，按喇叭示意行人离开；保证车灯照明完好。</w:t>
            </w:r>
          </w:p>
        </w:tc>
      </w:tr>
      <w:tr w14:paraId="0A9F6AD2">
        <w:tblPrEx>
          <w:tblCellMar>
            <w:top w:w="0" w:type="dxa"/>
            <w:left w:w="108" w:type="dxa"/>
            <w:bottom w:w="0" w:type="dxa"/>
            <w:right w:w="108" w:type="dxa"/>
          </w:tblCellMar>
        </w:tblPrEx>
        <w:trPr>
          <w:trHeight w:val="1278"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14:paraId="3B3DEA71">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3.车灯、喇叭、制动闸、撒沙装置、控制器、连接装置等不完好；电瓶车搭乘人员。</w:t>
            </w:r>
          </w:p>
        </w:tc>
        <w:tc>
          <w:tcPr>
            <w:tcW w:w="4658" w:type="dxa"/>
            <w:gridSpan w:val="2"/>
            <w:tcBorders>
              <w:top w:val="single" w:color="auto" w:sz="4" w:space="0"/>
              <w:left w:val="nil"/>
              <w:bottom w:val="single" w:color="auto" w:sz="4" w:space="0"/>
              <w:right w:val="single" w:color="000000" w:sz="4" w:space="0"/>
            </w:tcBorders>
            <w:vAlign w:val="center"/>
          </w:tcPr>
          <w:p w14:paraId="42D12426">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3.定期检查电机车的车灯、喇叭、制动闸、撒沙装置、控制器、连接装置等，确保完好、可靠；电机车开车时，严禁搭载其他人员。</w:t>
            </w:r>
          </w:p>
        </w:tc>
      </w:tr>
      <w:tr w14:paraId="76CADB2A">
        <w:tblPrEx>
          <w:tblCellMar>
            <w:top w:w="0" w:type="dxa"/>
            <w:left w:w="108" w:type="dxa"/>
            <w:bottom w:w="0" w:type="dxa"/>
            <w:right w:w="108" w:type="dxa"/>
          </w:tblCellMar>
        </w:tblPrEx>
        <w:trPr>
          <w:trHeight w:val="1188"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14:paraId="563BF2CE">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4.速度快、过路口未鸣笛；司机将身体伸出车外。</w:t>
            </w:r>
          </w:p>
        </w:tc>
        <w:tc>
          <w:tcPr>
            <w:tcW w:w="4658" w:type="dxa"/>
            <w:gridSpan w:val="2"/>
            <w:tcBorders>
              <w:top w:val="single" w:color="auto" w:sz="4" w:space="0"/>
              <w:left w:val="nil"/>
              <w:bottom w:val="single" w:color="auto" w:sz="4" w:space="0"/>
              <w:right w:val="single" w:color="000000" w:sz="4" w:space="0"/>
            </w:tcBorders>
            <w:vAlign w:val="center"/>
          </w:tcPr>
          <w:p w14:paraId="677A2CEE">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4.过道岔路口提前减速、鸣笛；电瓶车运行中，司机不得将身体伸出车外。</w:t>
            </w:r>
          </w:p>
        </w:tc>
      </w:tr>
      <w:tr w14:paraId="4965F561">
        <w:tblPrEx>
          <w:tblCellMar>
            <w:top w:w="0" w:type="dxa"/>
            <w:left w:w="108" w:type="dxa"/>
            <w:bottom w:w="0" w:type="dxa"/>
            <w:right w:w="108" w:type="dxa"/>
          </w:tblCellMar>
        </w:tblPrEx>
        <w:trPr>
          <w:trHeight w:val="1473"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14:paraId="17B99FE6">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5.两车同向同轨行驶时，相距100米以内。</w:t>
            </w:r>
          </w:p>
        </w:tc>
        <w:tc>
          <w:tcPr>
            <w:tcW w:w="4658" w:type="dxa"/>
            <w:gridSpan w:val="2"/>
            <w:tcBorders>
              <w:top w:val="single" w:color="auto" w:sz="4" w:space="0"/>
              <w:left w:val="nil"/>
              <w:bottom w:val="single" w:color="auto" w:sz="4" w:space="0"/>
              <w:right w:val="single" w:color="000000" w:sz="4" w:space="0"/>
            </w:tcBorders>
            <w:vAlign w:val="center"/>
          </w:tcPr>
          <w:p w14:paraId="04EF9C0E">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5.两车同向同轨行驶时，距离不得低于100米。</w:t>
            </w:r>
          </w:p>
        </w:tc>
      </w:tr>
      <w:tr w14:paraId="4DB5919F">
        <w:tblPrEx>
          <w:tblCellMar>
            <w:top w:w="0" w:type="dxa"/>
            <w:left w:w="108" w:type="dxa"/>
            <w:bottom w:w="0" w:type="dxa"/>
            <w:right w:w="108" w:type="dxa"/>
          </w:tblCellMar>
        </w:tblPrEx>
        <w:trPr>
          <w:trHeight w:val="1370" w:hRule="atLeast"/>
        </w:trPr>
        <w:tc>
          <w:tcPr>
            <w:tcW w:w="1069" w:type="dxa"/>
            <w:tcBorders>
              <w:top w:val="nil"/>
              <w:left w:val="single" w:color="auto" w:sz="4" w:space="0"/>
              <w:bottom w:val="single" w:color="auto" w:sz="4" w:space="0"/>
              <w:right w:val="single" w:color="auto" w:sz="4" w:space="0"/>
            </w:tcBorders>
            <w:vAlign w:val="center"/>
          </w:tcPr>
          <w:p w14:paraId="7C21660D">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2ED5DEDF">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431" w:type="dxa"/>
            <w:gridSpan w:val="3"/>
            <w:tcBorders>
              <w:top w:val="single" w:color="auto" w:sz="4" w:space="0"/>
              <w:left w:val="nil"/>
              <w:bottom w:val="single" w:color="auto" w:sz="4" w:space="0"/>
              <w:right w:val="single" w:color="000000" w:sz="4" w:space="0"/>
            </w:tcBorders>
            <w:vAlign w:val="center"/>
          </w:tcPr>
          <w:p w14:paraId="3E7E1A5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4033E2A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148D5E05">
        <w:tblPrEx>
          <w:tblCellMar>
            <w:top w:w="0" w:type="dxa"/>
            <w:left w:w="108" w:type="dxa"/>
            <w:bottom w:w="0" w:type="dxa"/>
            <w:right w:w="108" w:type="dxa"/>
          </w:tblCellMar>
        </w:tblPrEx>
        <w:trPr>
          <w:trHeight w:val="2060" w:hRule="atLeast"/>
        </w:trPr>
        <w:tc>
          <w:tcPr>
            <w:tcW w:w="1069" w:type="dxa"/>
            <w:tcBorders>
              <w:top w:val="nil"/>
              <w:left w:val="single" w:color="auto" w:sz="4" w:space="0"/>
              <w:bottom w:val="single" w:color="auto" w:sz="4" w:space="0"/>
              <w:right w:val="single" w:color="auto" w:sz="4" w:space="0"/>
            </w:tcBorders>
            <w:vAlign w:val="center"/>
          </w:tcPr>
          <w:p w14:paraId="1D1A11DD">
            <w:pPr>
              <w:keepNext w:val="0"/>
              <w:keepLines w:val="0"/>
              <w:pageBreakBefore w:val="0"/>
              <w:widowControl/>
              <w:kinsoku/>
              <w:wordWrap/>
              <w:overflowPunct/>
              <w:topLinePunct w:val="0"/>
              <w:autoSpaceDE/>
              <w:bidi w:val="0"/>
              <w:adjustRightIn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应急处置措施</w:t>
            </w:r>
          </w:p>
        </w:tc>
        <w:tc>
          <w:tcPr>
            <w:tcW w:w="7431" w:type="dxa"/>
            <w:gridSpan w:val="3"/>
            <w:tcBorders>
              <w:top w:val="single" w:color="auto" w:sz="4" w:space="0"/>
              <w:left w:val="nil"/>
              <w:bottom w:val="single" w:color="auto" w:sz="4" w:space="0"/>
              <w:right w:val="single" w:color="000000" w:sz="4" w:space="0"/>
            </w:tcBorders>
            <w:vAlign w:val="center"/>
          </w:tcPr>
          <w:p w14:paraId="7B6F77FE">
            <w:pPr>
              <w:keepNext w:val="0"/>
              <w:keepLines w:val="0"/>
              <w:pageBreakBefore w:val="0"/>
              <w:widowControl/>
              <w:numPr>
                <w:ilvl w:val="0"/>
                <w:numId w:val="0"/>
              </w:numPr>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发生事故、要立即按照“及时汇报、积极抢救、安全撤离、妥善避灾”原则进行自救互救</w:t>
            </w:r>
            <w:r>
              <w:rPr>
                <w:rFonts w:hint="eastAsia" w:ascii="仿宋" w:hAnsi="仿宋" w:eastAsia="仿宋" w:cs="仿宋"/>
                <w:color w:val="auto"/>
                <w:kern w:val="0"/>
                <w:sz w:val="21"/>
                <w:szCs w:val="21"/>
                <w:lang w:eastAsia="zh-CN"/>
              </w:rPr>
              <w:t>。</w:t>
            </w:r>
          </w:p>
          <w:p w14:paraId="2902EC1B">
            <w:pPr>
              <w:keepNext w:val="0"/>
              <w:keepLines w:val="0"/>
              <w:pageBreakBefore w:val="0"/>
              <w:widowControl/>
              <w:numPr>
                <w:ilvl w:val="0"/>
                <w:numId w:val="0"/>
              </w:numPr>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尽量与调度室保持联系，将现场情况准确汇报</w:t>
            </w:r>
            <w:r>
              <w:rPr>
                <w:rFonts w:hint="eastAsia" w:ascii="仿宋" w:hAnsi="仿宋" w:eastAsia="仿宋" w:cs="仿宋"/>
                <w:color w:val="auto"/>
                <w:kern w:val="0"/>
                <w:sz w:val="21"/>
                <w:szCs w:val="21"/>
                <w:lang w:eastAsia="zh-CN"/>
              </w:rPr>
              <w:t>。</w:t>
            </w:r>
          </w:p>
          <w:p w14:paraId="5B1B0E20">
            <w:pPr>
              <w:keepNext w:val="0"/>
              <w:keepLines w:val="0"/>
              <w:pageBreakBefore w:val="0"/>
              <w:widowControl/>
              <w:numPr>
                <w:ilvl w:val="0"/>
                <w:numId w:val="0"/>
              </w:numPr>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3.抢救伤员时要遵循“三先三后”的原则</w:t>
            </w:r>
            <w:r>
              <w:rPr>
                <w:rFonts w:hint="eastAsia" w:ascii="仿宋" w:hAnsi="仿宋" w:eastAsia="仿宋" w:cs="仿宋"/>
                <w:color w:val="auto"/>
                <w:kern w:val="0"/>
                <w:sz w:val="21"/>
                <w:szCs w:val="21"/>
                <w:lang w:eastAsia="zh-CN"/>
              </w:rPr>
              <w:t>。</w:t>
            </w:r>
          </w:p>
          <w:p w14:paraId="1841137E">
            <w:pPr>
              <w:keepNext w:val="0"/>
              <w:keepLines w:val="0"/>
              <w:pageBreakBefore w:val="0"/>
              <w:widowControl/>
              <w:numPr>
                <w:ilvl w:val="0"/>
                <w:numId w:val="0"/>
              </w:numPr>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4.撤离时沿着避灾路线逃生，必要时进入避难硐室等待救援。</w:t>
            </w:r>
          </w:p>
        </w:tc>
      </w:tr>
    </w:tbl>
    <w:tbl>
      <w:tblPr>
        <w:tblStyle w:val="12"/>
        <w:tblpPr w:leftFromText="180" w:rightFromText="180" w:vertAnchor="text" w:horzAnchor="page" w:tblpXSpec="center" w:tblpY="571"/>
        <w:tblW w:w="87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68"/>
        <w:gridCol w:w="4571"/>
      </w:tblGrid>
      <w:tr w14:paraId="61B42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8739" w:type="dxa"/>
            <w:gridSpan w:val="2"/>
            <w:vAlign w:val="center"/>
          </w:tcPr>
          <w:p w14:paraId="171398D0">
            <w:pPr>
              <w:keepNext w:val="0"/>
              <w:keepLines w:val="0"/>
              <w:pageBreakBefore w:val="0"/>
              <w:kinsoku/>
              <w:wordWrap/>
              <w:overflowPunct/>
              <w:topLinePunct w:val="0"/>
              <w:autoSpaceDE/>
              <w:bidi w:val="0"/>
              <w:adjustRightInd/>
              <w:jc w:val="center"/>
              <w:textAlignment w:val="auto"/>
              <w:outlineLvl w:val="9"/>
              <w:rPr>
                <w:rFonts w:hint="eastAsia" w:ascii="仿宋" w:hAnsi="仿宋" w:eastAsia="仿宋" w:cs="仿宋"/>
                <w:color w:val="auto"/>
                <w:sz w:val="24"/>
              </w:rPr>
            </w:pPr>
            <w:bookmarkStart w:id="425" w:name="_Toc373581559"/>
            <w:bookmarkStart w:id="426" w:name="_Toc29653"/>
            <w:bookmarkStart w:id="427" w:name="_Toc23129"/>
            <w:bookmarkStart w:id="428" w:name="_Toc19705"/>
            <w:bookmarkStart w:id="429" w:name="_Toc21683"/>
            <w:r>
              <w:rPr>
                <w:rFonts w:hint="eastAsia" w:ascii="仿宋" w:hAnsi="仿宋" w:eastAsia="仿宋" w:cs="仿宋"/>
                <w:b/>
                <w:bCs w:val="0"/>
                <w:color w:val="auto"/>
                <w:kern w:val="0"/>
                <w:sz w:val="21"/>
                <w:szCs w:val="21"/>
              </w:rPr>
              <w:t>电机车司机安全提示</w:t>
            </w:r>
            <w:bookmarkEnd w:id="425"/>
            <w:r>
              <w:rPr>
                <w:rFonts w:hint="eastAsia" w:ascii="仿宋" w:hAnsi="仿宋" w:eastAsia="仿宋" w:cs="仿宋"/>
                <w:b/>
                <w:bCs w:val="0"/>
                <w:color w:val="auto"/>
                <w:kern w:val="0"/>
                <w:sz w:val="21"/>
                <w:szCs w:val="21"/>
              </w:rPr>
              <w:t>卡</w:t>
            </w:r>
            <w:bookmarkEnd w:id="426"/>
            <w:bookmarkEnd w:id="427"/>
            <w:bookmarkEnd w:id="428"/>
            <w:bookmarkEnd w:id="429"/>
          </w:p>
        </w:tc>
      </w:tr>
      <w:tr w14:paraId="301669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4168" w:type="dxa"/>
            <w:vAlign w:val="center"/>
          </w:tcPr>
          <w:p w14:paraId="5DDCD961">
            <w:pPr>
              <w:keepNext w:val="0"/>
              <w:keepLines w:val="0"/>
              <w:pageBreakBefore w:val="0"/>
              <w:kinsoku/>
              <w:wordWrap/>
              <w:overflowPunct/>
              <w:topLinePunct w:val="0"/>
              <w:autoSpaceDE/>
              <w:bidi w:val="0"/>
              <w:adjustRightInd/>
              <w:jc w:val="center"/>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1"/>
                <w:szCs w:val="21"/>
              </w:rPr>
              <w:t>开车前检查</w:t>
            </w:r>
          </w:p>
        </w:tc>
        <w:tc>
          <w:tcPr>
            <w:tcW w:w="4571" w:type="dxa"/>
            <w:vAlign w:val="center"/>
          </w:tcPr>
          <w:p w14:paraId="0FC63987">
            <w:pPr>
              <w:keepNext w:val="0"/>
              <w:keepLines w:val="0"/>
              <w:pageBreakBefore w:val="0"/>
              <w:kinsoku/>
              <w:wordWrap/>
              <w:overflowPunct/>
              <w:topLinePunct w:val="0"/>
              <w:autoSpaceDE/>
              <w:bidi w:val="0"/>
              <w:adjustRightInd/>
              <w:jc w:val="center"/>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1"/>
                <w:szCs w:val="21"/>
              </w:rPr>
              <w:t>停车后确认</w:t>
            </w:r>
          </w:p>
        </w:tc>
      </w:tr>
      <w:tr w14:paraId="71199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4168" w:type="dxa"/>
            <w:vAlign w:val="center"/>
          </w:tcPr>
          <w:p w14:paraId="36E5D600">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★1.连接、</w:t>
            </w:r>
            <w:r>
              <w:rPr>
                <w:rFonts w:hint="eastAsia" w:ascii="仿宋" w:hAnsi="仿宋" w:eastAsia="仿宋" w:cs="仿宋"/>
                <w:b w:val="0"/>
                <w:bCs w:val="0"/>
                <w:color w:val="auto"/>
                <w:sz w:val="21"/>
                <w:szCs w:val="21"/>
                <w:lang w:eastAsia="zh-CN"/>
              </w:rPr>
              <w:t>照明灯、</w:t>
            </w:r>
            <w:r>
              <w:rPr>
                <w:rFonts w:hint="eastAsia" w:ascii="仿宋" w:hAnsi="仿宋" w:eastAsia="仿宋" w:cs="仿宋"/>
                <w:b w:val="0"/>
                <w:bCs w:val="0"/>
                <w:color w:val="auto"/>
                <w:sz w:val="21"/>
                <w:szCs w:val="21"/>
              </w:rPr>
              <w:t>红尾灯</w:t>
            </w:r>
          </w:p>
        </w:tc>
        <w:tc>
          <w:tcPr>
            <w:tcW w:w="4571" w:type="dxa"/>
            <w:vAlign w:val="center"/>
          </w:tcPr>
          <w:p w14:paraId="3EC28F5D">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★1.停车地点</w:t>
            </w:r>
          </w:p>
        </w:tc>
      </w:tr>
      <w:tr w14:paraId="51576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4168" w:type="dxa"/>
            <w:vAlign w:val="center"/>
          </w:tcPr>
          <w:p w14:paraId="58FEE69F">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★2.人员、障碍物</w:t>
            </w:r>
          </w:p>
        </w:tc>
        <w:tc>
          <w:tcPr>
            <w:tcW w:w="4571" w:type="dxa"/>
            <w:vAlign w:val="center"/>
          </w:tcPr>
          <w:p w14:paraId="69831DE1">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★2.调速器、换向器</w:t>
            </w:r>
          </w:p>
        </w:tc>
      </w:tr>
      <w:tr w14:paraId="6A634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4168" w:type="dxa"/>
            <w:vAlign w:val="center"/>
          </w:tcPr>
          <w:p w14:paraId="36E59B1F">
            <w:pPr>
              <w:keepNext w:val="0"/>
              <w:keepLines w:val="0"/>
              <w:pageBreakBefore w:val="0"/>
              <w:kinsoku/>
              <w:wordWrap/>
              <w:overflowPunct/>
              <w:topLinePunct w:val="0"/>
              <w:autoSpaceDE/>
              <w:bidi w:val="0"/>
              <w:adjustRightInd/>
              <w:jc w:val="center"/>
              <w:textAlignment w:val="auto"/>
              <w:outlineLvl w:val="9"/>
              <w:rPr>
                <w:rFonts w:hint="eastAsia" w:ascii="仿宋" w:hAnsi="仿宋" w:eastAsia="仿宋" w:cs="仿宋"/>
                <w:b w:val="0"/>
                <w:bCs w:val="0"/>
                <w:color w:val="auto"/>
                <w:sz w:val="21"/>
                <w:szCs w:val="21"/>
              </w:rPr>
            </w:pPr>
          </w:p>
        </w:tc>
        <w:tc>
          <w:tcPr>
            <w:tcW w:w="4571" w:type="dxa"/>
            <w:vAlign w:val="center"/>
          </w:tcPr>
          <w:p w14:paraId="26FD67D2">
            <w:pPr>
              <w:keepNext w:val="0"/>
              <w:keepLines w:val="0"/>
              <w:pageBreakBefore w:val="0"/>
              <w:kinsoku/>
              <w:wordWrap/>
              <w:overflowPunct/>
              <w:topLinePunct w:val="0"/>
              <w:autoSpaceDE/>
              <w:bidi w:val="0"/>
              <w:adjustRightInd/>
              <w:spacing w:line="460" w:lineRule="exact"/>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★3.车闸、车灯</w:t>
            </w:r>
          </w:p>
        </w:tc>
      </w:tr>
      <w:tr w14:paraId="30429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4168" w:type="dxa"/>
            <w:vAlign w:val="center"/>
          </w:tcPr>
          <w:p w14:paraId="49555FBE">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p>
        </w:tc>
        <w:tc>
          <w:tcPr>
            <w:tcW w:w="4571" w:type="dxa"/>
            <w:vAlign w:val="center"/>
          </w:tcPr>
          <w:p w14:paraId="40231514">
            <w:pPr>
              <w:keepNext w:val="0"/>
              <w:keepLines w:val="0"/>
              <w:pageBreakBefore w:val="0"/>
              <w:kinsoku/>
              <w:wordWrap/>
              <w:overflowPunct/>
              <w:topLinePunct w:val="0"/>
              <w:autoSpaceDE/>
              <w:bidi w:val="0"/>
              <w:adjustRightInd/>
              <w:spacing w:line="460" w:lineRule="exact"/>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★4.钥匙</w:t>
            </w:r>
          </w:p>
        </w:tc>
      </w:tr>
      <w:tr w14:paraId="684D50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3" w:hRule="atLeast"/>
          <w:jc w:val="center"/>
        </w:trPr>
        <w:tc>
          <w:tcPr>
            <w:tcW w:w="8739" w:type="dxa"/>
            <w:gridSpan w:val="2"/>
            <w:vAlign w:val="center"/>
          </w:tcPr>
          <w:p w14:paraId="255E09F9">
            <w:pPr>
              <w:keepNext w:val="0"/>
              <w:keepLines w:val="0"/>
              <w:pageBreakBefore w:val="0"/>
              <w:kinsoku/>
              <w:wordWrap/>
              <w:overflowPunct/>
              <w:topLinePunct w:val="0"/>
              <w:autoSpaceDE/>
              <w:bidi w:val="0"/>
              <w:adjustRightInd/>
              <w:spacing w:line="400" w:lineRule="exact"/>
              <w:ind w:firstLine="514" w:firstLineChars="245"/>
              <w:textAlignment w:val="auto"/>
              <w:outlineLvl w:val="9"/>
              <w:rPr>
                <w:rFonts w:hint="eastAsia" w:ascii="仿宋" w:hAnsi="仿宋" w:eastAsia="仿宋" w:cs="仿宋"/>
                <w:b w:val="0"/>
                <w:bCs w:val="0"/>
                <w:color w:val="auto"/>
                <w:sz w:val="21"/>
                <w:szCs w:val="21"/>
              </w:rPr>
            </w:pPr>
            <w:bookmarkStart w:id="430" w:name="_Toc21557"/>
            <w:bookmarkStart w:id="431" w:name="_Toc26356"/>
            <w:r>
              <w:rPr>
                <w:rFonts w:hint="eastAsia" w:ascii="仿宋" w:hAnsi="仿宋" w:eastAsia="仿宋" w:cs="仿宋"/>
                <w:b w:val="0"/>
                <w:bCs w:val="0"/>
                <w:color w:val="auto"/>
                <w:sz w:val="21"/>
                <w:szCs w:val="21"/>
              </w:rPr>
              <mc:AlternateContent>
                <mc:Choice Requires="wps">
                  <w:drawing>
                    <wp:anchor distT="0" distB="0" distL="114300" distR="114300" simplePos="0" relativeHeight="251659264" behindDoc="0" locked="0" layoutInCell="1" allowOverlap="1">
                      <wp:simplePos x="0" y="0"/>
                      <wp:positionH relativeFrom="column">
                        <wp:posOffset>-114300</wp:posOffset>
                      </wp:positionH>
                      <wp:positionV relativeFrom="paragraph">
                        <wp:posOffset>6361430</wp:posOffset>
                      </wp:positionV>
                      <wp:extent cx="635" cy="0"/>
                      <wp:effectExtent l="0" t="0" r="0" b="0"/>
                      <wp:wrapNone/>
                      <wp:docPr id="2" name="直接连接符 2"/>
                      <wp:cNvGraphicFramePr/>
                      <a:graphic xmlns:a="http://schemas.openxmlformats.org/drawingml/2006/main">
                        <a:graphicData uri="http://schemas.microsoft.com/office/word/2010/wordprocessingShape">
                          <wps:wsp>
                            <wps:cNvCnPr/>
                            <wps:spPr>
                              <a:xfrm>
                                <a:off x="0" y="0"/>
                                <a:ext cx="635" cy="0"/>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9pt;margin-top:500.9pt;height:0pt;width:0.05pt;z-index:251659264;mso-width-relative:page;mso-height-relative:page;" filled="f" stroked="t" coordsize="21600,21600" o:gfxdata="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GdOB+1wAAAA0BAAAPAAAAAAAAAAEAIAAAACIAAABkcnMvZG93bnJldi54bWxQSwEC&#10;FAAUAAAACACHTuJAhJwmnvUBAADuAwAADgAAAAAAAAABACAAAAAmAQAAZHJzL2Uyb0RvYy54bWxQ&#10;SwUGAAAAAAYABgBZAQAAjQUAAAAA&#10;">
                      <v:fill on="f" focussize="0,0"/>
                      <v:stroke color="#000000" joinstyle="round"/>
                      <v:imagedata o:title=""/>
                      <o:lock v:ext="edit" aspectratio="f"/>
                    </v:line>
                  </w:pict>
                </mc:Fallback>
              </mc:AlternateContent>
            </w:r>
            <w:r>
              <w:rPr>
                <w:rFonts w:hint="eastAsia" w:ascii="仿宋" w:hAnsi="仿宋" w:eastAsia="仿宋" w:cs="仿宋"/>
                <w:b w:val="0"/>
                <w:bCs w:val="0"/>
                <w:color w:val="auto"/>
                <w:sz w:val="21"/>
                <w:szCs w:val="21"/>
              </w:rPr>
              <w:t>注：第一次按开车前内容逐项检查并确认，存在问题整改后再确认；中间再次操作只检查带“★”部分；运输任务全部结束后按停车后确认内容逐项检查并确认。</w:t>
            </w:r>
            <w:bookmarkEnd w:id="430"/>
            <w:bookmarkEnd w:id="431"/>
          </w:p>
        </w:tc>
      </w:tr>
    </w:tbl>
    <w:p w14:paraId="5298BD62">
      <w:pPr>
        <w:keepNext w:val="0"/>
        <w:keepLines w:val="0"/>
        <w:pageBreakBefore w:val="0"/>
        <w:kinsoku/>
        <w:wordWrap/>
        <w:overflowPunct/>
        <w:topLinePunct w:val="0"/>
        <w:autoSpaceDE/>
        <w:bidi w:val="0"/>
        <w:adjustRightInd/>
        <w:spacing w:line="240" w:lineRule="auto"/>
        <w:jc w:val="both"/>
        <w:textAlignment w:val="auto"/>
        <w:outlineLvl w:val="9"/>
        <w:rPr>
          <w:rFonts w:hint="eastAsia" w:ascii="仿宋" w:hAnsi="仿宋" w:eastAsia="仿宋" w:cs="仿宋"/>
          <w:b w:val="0"/>
          <w:bCs/>
          <w:color w:val="auto"/>
          <w:sz w:val="32"/>
          <w:szCs w:val="32"/>
        </w:rPr>
      </w:pPr>
    </w:p>
    <w:tbl>
      <w:tblPr>
        <w:tblStyle w:val="12"/>
        <w:tblpPr w:leftFromText="180" w:rightFromText="180" w:vertAnchor="text" w:horzAnchor="margin" w:tblpXSpec="center" w:tblpY="202"/>
        <w:tblW w:w="884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45"/>
      </w:tblGrid>
      <w:tr w14:paraId="585146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8845" w:type="dxa"/>
            <w:vAlign w:val="center"/>
          </w:tcPr>
          <w:p w14:paraId="4A68B261">
            <w:pPr>
              <w:keepNext w:val="0"/>
              <w:keepLines w:val="0"/>
              <w:pageBreakBefore w:val="0"/>
              <w:kinsoku/>
              <w:wordWrap/>
              <w:overflowPunct/>
              <w:topLinePunct w:val="0"/>
              <w:autoSpaceDE/>
              <w:bidi w:val="0"/>
              <w:adjustRightInd/>
              <w:spacing w:line="360" w:lineRule="auto"/>
              <w:jc w:val="center"/>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电机车单元检查表</w:t>
            </w:r>
          </w:p>
        </w:tc>
      </w:tr>
      <w:tr w14:paraId="0B3A9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3" w:hRule="atLeast"/>
          <w:jc w:val="center"/>
        </w:trPr>
        <w:tc>
          <w:tcPr>
            <w:tcW w:w="8845" w:type="dxa"/>
            <w:vAlign w:val="top"/>
          </w:tcPr>
          <w:p w14:paraId="57D61587">
            <w:pPr>
              <w:keepNext w:val="0"/>
              <w:keepLines w:val="0"/>
              <w:pageBreakBefore w:val="0"/>
              <w:kinsoku/>
              <w:wordWrap/>
              <w:overflowPunct/>
              <w:topLinePunct w:val="0"/>
              <w:autoSpaceDE/>
              <w:bidi w:val="0"/>
              <w:adjustRightInd/>
              <w:spacing w:line="360" w:lineRule="auto"/>
              <w:jc w:val="both"/>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1.驾驶室</w:t>
            </w:r>
          </w:p>
        </w:tc>
      </w:tr>
      <w:tr w14:paraId="38073B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8845" w:type="dxa"/>
            <w:vAlign w:val="top"/>
          </w:tcPr>
          <w:p w14:paraId="5CAF5E6E">
            <w:pPr>
              <w:keepNext w:val="0"/>
              <w:keepLines w:val="0"/>
              <w:pageBreakBefore w:val="0"/>
              <w:kinsoku/>
              <w:wordWrap/>
              <w:overflowPunct/>
              <w:topLinePunct w:val="0"/>
              <w:autoSpaceDE/>
              <w:autoSpaceDN w:val="0"/>
              <w:bidi w:val="0"/>
              <w:adjustRightInd/>
              <w:spacing w:line="600" w:lineRule="exact"/>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2.电压</w:t>
            </w:r>
          </w:p>
        </w:tc>
      </w:tr>
      <w:tr w14:paraId="56FD5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8845" w:type="dxa"/>
            <w:vAlign w:val="top"/>
          </w:tcPr>
          <w:p w14:paraId="683B282E">
            <w:pPr>
              <w:keepNext w:val="0"/>
              <w:keepLines w:val="0"/>
              <w:pageBreakBefore w:val="0"/>
              <w:kinsoku/>
              <w:wordWrap/>
              <w:overflowPunct/>
              <w:topLinePunct w:val="0"/>
              <w:autoSpaceDE/>
              <w:bidi w:val="0"/>
              <w:adjustRightInd/>
              <w:spacing w:line="36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3.调速器、换向器</w:t>
            </w:r>
          </w:p>
        </w:tc>
      </w:tr>
      <w:tr w14:paraId="3128D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8845" w:type="dxa"/>
            <w:vAlign w:val="top"/>
          </w:tcPr>
          <w:p w14:paraId="5FD8FF6D">
            <w:pPr>
              <w:keepNext w:val="0"/>
              <w:keepLines w:val="0"/>
              <w:pageBreakBefore w:val="0"/>
              <w:kinsoku/>
              <w:wordWrap/>
              <w:overflowPunct/>
              <w:topLinePunct w:val="0"/>
              <w:autoSpaceDE/>
              <w:bidi w:val="0"/>
              <w:adjustRightInd/>
              <w:spacing w:line="36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4.车灯、喇叭、制动闸、撒砂装置</w:t>
            </w:r>
          </w:p>
        </w:tc>
      </w:tr>
      <w:tr w14:paraId="0C6BDA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8845" w:type="dxa"/>
            <w:vAlign w:val="top"/>
          </w:tcPr>
          <w:p w14:paraId="02207CF5">
            <w:pPr>
              <w:keepNext w:val="0"/>
              <w:keepLines w:val="0"/>
              <w:pageBreakBefore w:val="0"/>
              <w:kinsoku/>
              <w:wordWrap/>
              <w:overflowPunct/>
              <w:topLinePunct w:val="0"/>
              <w:autoSpaceDE/>
              <w:bidi w:val="0"/>
              <w:adjustRightInd/>
              <w:spacing w:line="36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5.蓄电池、插头</w:t>
            </w:r>
          </w:p>
        </w:tc>
      </w:tr>
      <w:tr w14:paraId="2CBAC0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exact"/>
          <w:jc w:val="center"/>
        </w:trPr>
        <w:tc>
          <w:tcPr>
            <w:tcW w:w="8845" w:type="dxa"/>
            <w:vAlign w:val="top"/>
          </w:tcPr>
          <w:p w14:paraId="0E390F74">
            <w:pPr>
              <w:keepNext w:val="0"/>
              <w:keepLines w:val="0"/>
              <w:pageBreakBefore w:val="0"/>
              <w:tabs>
                <w:tab w:val="center" w:pos="4153"/>
                <w:tab w:val="right" w:pos="8306"/>
              </w:tabs>
              <w:kinsoku/>
              <w:wordWrap/>
              <w:overflowPunct/>
              <w:topLinePunct w:val="0"/>
              <w:autoSpaceDE/>
              <w:bidi w:val="0"/>
              <w:adjustRightInd/>
              <w:snapToGrid w:val="0"/>
              <w:spacing w:line="480" w:lineRule="exact"/>
              <w:jc w:val="both"/>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接班后检查一次，单元检查表检查前，先进行停电闭锁确认。</w:t>
            </w:r>
          </w:p>
        </w:tc>
      </w:tr>
    </w:tbl>
    <w:p w14:paraId="5AE31829">
      <w:pPr>
        <w:keepNext w:val="0"/>
        <w:keepLines w:val="0"/>
        <w:pageBreakBefore w:val="0"/>
        <w:kinsoku/>
        <w:wordWrap/>
        <w:overflowPunct/>
        <w:topLinePunct w:val="0"/>
        <w:autoSpaceDE/>
        <w:bidi w:val="0"/>
        <w:adjustRightInd/>
        <w:spacing w:line="380" w:lineRule="exact"/>
        <w:jc w:val="center"/>
        <w:textAlignment w:val="auto"/>
        <w:outlineLvl w:val="9"/>
        <w:rPr>
          <w:rFonts w:hint="eastAsia" w:ascii="仿宋" w:hAnsi="仿宋" w:eastAsia="仿宋" w:cs="仿宋"/>
          <w:color w:val="auto"/>
          <w:sz w:val="28"/>
          <w:szCs w:val="28"/>
        </w:rPr>
      </w:pPr>
    </w:p>
    <w:tbl>
      <w:tblPr>
        <w:tblStyle w:val="12"/>
        <w:tblW w:w="8805" w:type="dxa"/>
        <w:tblInd w:w="-133" w:type="dxa"/>
        <w:tblLayout w:type="fixed"/>
        <w:tblCellMar>
          <w:top w:w="0" w:type="dxa"/>
          <w:left w:w="108" w:type="dxa"/>
          <w:bottom w:w="0" w:type="dxa"/>
          <w:right w:w="108" w:type="dxa"/>
        </w:tblCellMar>
      </w:tblPr>
      <w:tblGrid>
        <w:gridCol w:w="956"/>
        <w:gridCol w:w="1113"/>
        <w:gridCol w:w="6736"/>
      </w:tblGrid>
      <w:tr w14:paraId="7B031EEC">
        <w:tblPrEx>
          <w:tblCellMar>
            <w:top w:w="0" w:type="dxa"/>
            <w:left w:w="108" w:type="dxa"/>
            <w:bottom w:w="0" w:type="dxa"/>
            <w:right w:w="108" w:type="dxa"/>
          </w:tblCellMar>
        </w:tblPrEx>
        <w:trPr>
          <w:trHeight w:val="133" w:hRule="atLeast"/>
        </w:trPr>
        <w:tc>
          <w:tcPr>
            <w:tcW w:w="8805" w:type="dxa"/>
            <w:gridSpan w:val="3"/>
            <w:tcBorders>
              <w:top w:val="single" w:color="auto" w:sz="4" w:space="0"/>
              <w:left w:val="single" w:color="auto" w:sz="4" w:space="0"/>
              <w:bottom w:val="single" w:color="auto" w:sz="4" w:space="0"/>
              <w:right w:val="single" w:color="auto" w:sz="4" w:space="0"/>
            </w:tcBorders>
            <w:vAlign w:val="center"/>
          </w:tcPr>
          <w:p w14:paraId="0AE65DC1">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val="0"/>
                <w:color w:val="auto"/>
                <w:kern w:val="0"/>
                <w:sz w:val="21"/>
                <w:szCs w:val="21"/>
              </w:rPr>
              <w:t>电机车司机操作过程注意事项</w:t>
            </w:r>
          </w:p>
        </w:tc>
      </w:tr>
      <w:tr w14:paraId="0EDAB8EA">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14:paraId="7CBBC2CF">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113" w:type="dxa"/>
            <w:tcBorders>
              <w:top w:val="nil"/>
              <w:left w:val="nil"/>
              <w:bottom w:val="single" w:color="auto" w:sz="4" w:space="0"/>
              <w:right w:val="single" w:color="auto" w:sz="4" w:space="0"/>
            </w:tcBorders>
            <w:vAlign w:val="center"/>
          </w:tcPr>
          <w:p w14:paraId="16BC4EE3">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736" w:type="dxa"/>
            <w:tcBorders>
              <w:top w:val="nil"/>
              <w:left w:val="nil"/>
              <w:bottom w:val="single" w:color="auto" w:sz="4" w:space="0"/>
              <w:right w:val="single" w:color="auto" w:sz="4" w:space="0"/>
            </w:tcBorders>
            <w:vAlign w:val="center"/>
          </w:tcPr>
          <w:p w14:paraId="4B2E7AE9">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14:paraId="58D8F799">
        <w:tblPrEx>
          <w:tblCellMar>
            <w:top w:w="0" w:type="dxa"/>
            <w:left w:w="108" w:type="dxa"/>
            <w:bottom w:w="0" w:type="dxa"/>
            <w:right w:w="108" w:type="dxa"/>
          </w:tblCellMar>
        </w:tblPrEx>
        <w:trPr>
          <w:trHeight w:val="133" w:hRule="atLeast"/>
        </w:trPr>
        <w:tc>
          <w:tcPr>
            <w:tcW w:w="956" w:type="dxa"/>
            <w:vMerge w:val="restart"/>
            <w:tcBorders>
              <w:top w:val="nil"/>
              <w:left w:val="single" w:color="auto" w:sz="4" w:space="0"/>
              <w:bottom w:val="single" w:color="000000" w:sz="4" w:space="0"/>
              <w:right w:val="single" w:color="auto" w:sz="4" w:space="0"/>
            </w:tcBorders>
            <w:vAlign w:val="center"/>
          </w:tcPr>
          <w:p w14:paraId="5DD2AC95">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113" w:type="dxa"/>
            <w:tcBorders>
              <w:top w:val="nil"/>
              <w:left w:val="nil"/>
              <w:bottom w:val="single" w:color="auto" w:sz="4" w:space="0"/>
              <w:right w:val="single" w:color="auto" w:sz="4" w:space="0"/>
            </w:tcBorders>
            <w:vAlign w:val="center"/>
          </w:tcPr>
          <w:p w14:paraId="259A8955">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看线路</w:t>
            </w:r>
          </w:p>
        </w:tc>
        <w:tc>
          <w:tcPr>
            <w:tcW w:w="6736" w:type="dxa"/>
            <w:tcBorders>
              <w:top w:val="nil"/>
              <w:left w:val="nil"/>
              <w:bottom w:val="single" w:color="auto" w:sz="4" w:space="0"/>
              <w:right w:val="single" w:color="auto" w:sz="4" w:space="0"/>
            </w:tcBorders>
            <w:vAlign w:val="center"/>
          </w:tcPr>
          <w:p w14:paraId="7F6B563B">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注意观察人员、车辆、道岔岔尖位置、线路上的障碍物。</w:t>
            </w:r>
          </w:p>
        </w:tc>
      </w:tr>
      <w:tr w14:paraId="3A17543A">
        <w:tblPrEx>
          <w:tblCellMar>
            <w:top w:w="0" w:type="dxa"/>
            <w:left w:w="108" w:type="dxa"/>
            <w:bottom w:w="0" w:type="dxa"/>
            <w:right w:w="108" w:type="dxa"/>
          </w:tblCellMar>
        </w:tblPrEx>
        <w:trPr>
          <w:trHeight w:val="133" w:hRule="atLeast"/>
        </w:trPr>
        <w:tc>
          <w:tcPr>
            <w:tcW w:w="956" w:type="dxa"/>
            <w:vMerge w:val="continue"/>
            <w:tcBorders>
              <w:top w:val="nil"/>
              <w:left w:val="single" w:color="auto" w:sz="4" w:space="0"/>
              <w:bottom w:val="single" w:color="000000" w:sz="4" w:space="0"/>
              <w:right w:val="single" w:color="auto" w:sz="4" w:space="0"/>
            </w:tcBorders>
            <w:vAlign w:val="center"/>
          </w:tcPr>
          <w:p w14:paraId="416F7FCB">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p>
        </w:tc>
        <w:tc>
          <w:tcPr>
            <w:tcW w:w="1113" w:type="dxa"/>
            <w:tcBorders>
              <w:top w:val="nil"/>
              <w:left w:val="nil"/>
              <w:bottom w:val="single" w:color="auto" w:sz="4" w:space="0"/>
              <w:right w:val="single" w:color="auto" w:sz="4" w:space="0"/>
            </w:tcBorders>
            <w:vAlign w:val="center"/>
          </w:tcPr>
          <w:p w14:paraId="6CC0EDC9">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看仪表</w:t>
            </w:r>
          </w:p>
        </w:tc>
        <w:tc>
          <w:tcPr>
            <w:tcW w:w="6736" w:type="dxa"/>
            <w:tcBorders>
              <w:top w:val="nil"/>
              <w:left w:val="nil"/>
              <w:bottom w:val="single" w:color="auto" w:sz="4" w:space="0"/>
              <w:right w:val="single" w:color="auto" w:sz="4" w:space="0"/>
            </w:tcBorders>
            <w:vAlign w:val="center"/>
          </w:tcPr>
          <w:p w14:paraId="538D6100">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 xml:space="preserve">注意观察各种信号及仪表有无异常；发现人员示警立即停车 。                       </w:t>
            </w:r>
          </w:p>
        </w:tc>
      </w:tr>
      <w:tr w14:paraId="586F68A8">
        <w:tblPrEx>
          <w:tblCellMar>
            <w:top w:w="0" w:type="dxa"/>
            <w:left w:w="108" w:type="dxa"/>
            <w:bottom w:w="0" w:type="dxa"/>
            <w:right w:w="108" w:type="dxa"/>
          </w:tblCellMar>
        </w:tblPrEx>
        <w:trPr>
          <w:trHeight w:val="133" w:hRule="atLeast"/>
        </w:trPr>
        <w:tc>
          <w:tcPr>
            <w:tcW w:w="956" w:type="dxa"/>
            <w:vMerge w:val="restart"/>
            <w:tcBorders>
              <w:top w:val="nil"/>
              <w:left w:val="single" w:color="auto" w:sz="4" w:space="0"/>
              <w:bottom w:val="single" w:color="000000" w:sz="4" w:space="0"/>
              <w:right w:val="single" w:color="auto" w:sz="4" w:space="0"/>
            </w:tcBorders>
            <w:vAlign w:val="center"/>
          </w:tcPr>
          <w:p w14:paraId="4AFB7BCA">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113" w:type="dxa"/>
            <w:tcBorders>
              <w:top w:val="nil"/>
              <w:left w:val="nil"/>
              <w:bottom w:val="single" w:color="auto" w:sz="4" w:space="0"/>
              <w:right w:val="single" w:color="auto" w:sz="4" w:space="0"/>
            </w:tcBorders>
            <w:vAlign w:val="center"/>
          </w:tcPr>
          <w:p w14:paraId="27EEB532">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736" w:type="dxa"/>
            <w:tcBorders>
              <w:top w:val="nil"/>
              <w:left w:val="nil"/>
              <w:bottom w:val="single" w:color="auto" w:sz="4" w:space="0"/>
              <w:right w:val="single" w:color="auto" w:sz="4" w:space="0"/>
            </w:tcBorders>
            <w:vAlign w:val="center"/>
          </w:tcPr>
          <w:p w14:paraId="59A224EB">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按信号指令行车，接到紧急停车信号紧急制动。</w:t>
            </w:r>
          </w:p>
        </w:tc>
      </w:tr>
      <w:tr w14:paraId="1F5FB0FE">
        <w:tblPrEx>
          <w:tblCellMar>
            <w:top w:w="0" w:type="dxa"/>
            <w:left w:w="108" w:type="dxa"/>
            <w:bottom w:w="0" w:type="dxa"/>
            <w:right w:w="108" w:type="dxa"/>
          </w:tblCellMar>
        </w:tblPrEx>
        <w:trPr>
          <w:trHeight w:val="133" w:hRule="atLeast"/>
        </w:trPr>
        <w:tc>
          <w:tcPr>
            <w:tcW w:w="956" w:type="dxa"/>
            <w:vMerge w:val="continue"/>
            <w:tcBorders>
              <w:top w:val="nil"/>
              <w:left w:val="single" w:color="auto" w:sz="4" w:space="0"/>
              <w:bottom w:val="single" w:color="000000" w:sz="4" w:space="0"/>
              <w:right w:val="single" w:color="auto" w:sz="4" w:space="0"/>
            </w:tcBorders>
            <w:vAlign w:val="center"/>
          </w:tcPr>
          <w:p w14:paraId="1DC8A696">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p>
        </w:tc>
        <w:tc>
          <w:tcPr>
            <w:tcW w:w="1113" w:type="dxa"/>
            <w:tcBorders>
              <w:top w:val="nil"/>
              <w:left w:val="nil"/>
              <w:bottom w:val="single" w:color="auto" w:sz="4" w:space="0"/>
              <w:right w:val="single" w:color="auto" w:sz="4" w:space="0"/>
            </w:tcBorders>
            <w:vAlign w:val="center"/>
          </w:tcPr>
          <w:p w14:paraId="1EE25C9C">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736" w:type="dxa"/>
            <w:tcBorders>
              <w:top w:val="nil"/>
              <w:left w:val="nil"/>
              <w:bottom w:val="single" w:color="auto" w:sz="4" w:space="0"/>
              <w:right w:val="single" w:color="auto" w:sz="4" w:space="0"/>
            </w:tcBorders>
            <w:vAlign w:val="center"/>
          </w:tcPr>
          <w:p w14:paraId="26AB3E99">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列车出现异响应立即停车。</w:t>
            </w:r>
          </w:p>
        </w:tc>
      </w:tr>
      <w:tr w14:paraId="1B9F5C9B">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14:paraId="4796AD80">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113" w:type="dxa"/>
            <w:tcBorders>
              <w:top w:val="nil"/>
              <w:left w:val="nil"/>
              <w:bottom w:val="single" w:color="auto" w:sz="4" w:space="0"/>
              <w:right w:val="single" w:color="auto" w:sz="4" w:space="0"/>
            </w:tcBorders>
            <w:vAlign w:val="center"/>
          </w:tcPr>
          <w:p w14:paraId="79B999CB">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6736" w:type="dxa"/>
            <w:tcBorders>
              <w:top w:val="nil"/>
              <w:left w:val="nil"/>
              <w:bottom w:val="single" w:color="auto" w:sz="4" w:space="0"/>
              <w:right w:val="single" w:color="auto" w:sz="4" w:space="0"/>
            </w:tcBorders>
            <w:vAlign w:val="center"/>
          </w:tcPr>
          <w:p w14:paraId="7126B48D">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闻到机车出现焦糊、塑料等刺鼻异常气味时立即停车。</w:t>
            </w:r>
          </w:p>
        </w:tc>
      </w:tr>
      <w:tr w14:paraId="3D1D8770">
        <w:tblPrEx>
          <w:tblCellMar>
            <w:top w:w="0" w:type="dxa"/>
            <w:left w:w="108" w:type="dxa"/>
            <w:bottom w:w="0" w:type="dxa"/>
            <w:right w:w="108" w:type="dxa"/>
          </w:tblCellMar>
        </w:tblPrEx>
        <w:trPr>
          <w:trHeight w:val="262" w:hRule="atLeast"/>
        </w:trPr>
        <w:tc>
          <w:tcPr>
            <w:tcW w:w="956" w:type="dxa"/>
            <w:tcBorders>
              <w:top w:val="nil"/>
              <w:left w:val="single" w:color="auto" w:sz="4" w:space="0"/>
              <w:bottom w:val="single" w:color="auto" w:sz="4" w:space="0"/>
              <w:right w:val="single" w:color="auto" w:sz="4" w:space="0"/>
            </w:tcBorders>
            <w:vAlign w:val="center"/>
          </w:tcPr>
          <w:p w14:paraId="45193492">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113" w:type="dxa"/>
            <w:tcBorders>
              <w:top w:val="nil"/>
              <w:left w:val="nil"/>
              <w:bottom w:val="single" w:color="auto" w:sz="4" w:space="0"/>
              <w:right w:val="single" w:color="auto" w:sz="4" w:space="0"/>
            </w:tcBorders>
            <w:vAlign w:val="center"/>
          </w:tcPr>
          <w:p w14:paraId="63DA80BA">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握手柄</w:t>
            </w:r>
          </w:p>
        </w:tc>
        <w:tc>
          <w:tcPr>
            <w:tcW w:w="6736" w:type="dxa"/>
            <w:tcBorders>
              <w:top w:val="nil"/>
              <w:left w:val="nil"/>
              <w:bottom w:val="single" w:color="auto" w:sz="4" w:space="0"/>
              <w:right w:val="single" w:color="auto" w:sz="4" w:space="0"/>
            </w:tcBorders>
            <w:vAlign w:val="center"/>
          </w:tcPr>
          <w:p w14:paraId="6E124F52">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左手不得离开控制器操作手柄；会车、前方有人、障碍物及经过特殊地点时减速鸣笛。</w:t>
            </w:r>
          </w:p>
        </w:tc>
      </w:tr>
      <w:tr w14:paraId="3C7B5476">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14:paraId="01460FE6">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113" w:type="dxa"/>
            <w:tcBorders>
              <w:top w:val="nil"/>
              <w:left w:val="nil"/>
              <w:bottom w:val="single" w:color="auto" w:sz="4" w:space="0"/>
              <w:right w:val="single" w:color="auto" w:sz="4" w:space="0"/>
            </w:tcBorders>
            <w:vAlign w:val="center"/>
          </w:tcPr>
          <w:p w14:paraId="7D9C0DC8">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加减速</w:t>
            </w:r>
          </w:p>
        </w:tc>
        <w:tc>
          <w:tcPr>
            <w:tcW w:w="6736" w:type="dxa"/>
            <w:tcBorders>
              <w:top w:val="nil"/>
              <w:left w:val="nil"/>
              <w:bottom w:val="single" w:color="auto" w:sz="4" w:space="0"/>
              <w:right w:val="single" w:color="auto" w:sz="4" w:space="0"/>
            </w:tcBorders>
            <w:vAlign w:val="center"/>
          </w:tcPr>
          <w:p w14:paraId="223E5151">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尽量避免用手闸控制车速</w:t>
            </w:r>
            <w:r>
              <w:rPr>
                <w:rFonts w:hint="eastAsia" w:ascii="仿宋" w:hAnsi="仿宋" w:eastAsia="仿宋" w:cs="仿宋"/>
                <w:color w:val="auto"/>
                <w:kern w:val="0"/>
                <w:sz w:val="21"/>
                <w:szCs w:val="21"/>
                <w:lang w:eastAsia="zh-CN"/>
              </w:rPr>
              <w:t>。</w:t>
            </w:r>
          </w:p>
        </w:tc>
      </w:tr>
      <w:tr w14:paraId="7DA73284">
        <w:tblPrEx>
          <w:tblCellMar>
            <w:top w:w="0" w:type="dxa"/>
            <w:left w:w="108" w:type="dxa"/>
            <w:bottom w:w="0" w:type="dxa"/>
            <w:right w:w="108" w:type="dxa"/>
          </w:tblCellMar>
        </w:tblPrEx>
        <w:trPr>
          <w:trHeight w:val="262" w:hRule="atLeast"/>
        </w:trPr>
        <w:tc>
          <w:tcPr>
            <w:tcW w:w="956" w:type="dxa"/>
            <w:tcBorders>
              <w:top w:val="nil"/>
              <w:left w:val="single" w:color="auto" w:sz="4" w:space="0"/>
              <w:bottom w:val="single" w:color="auto" w:sz="4" w:space="0"/>
              <w:right w:val="single" w:color="auto" w:sz="4" w:space="0"/>
            </w:tcBorders>
            <w:vAlign w:val="center"/>
          </w:tcPr>
          <w:p w14:paraId="3694E71E">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113" w:type="dxa"/>
            <w:tcBorders>
              <w:top w:val="nil"/>
              <w:left w:val="nil"/>
              <w:bottom w:val="single" w:color="auto" w:sz="4" w:space="0"/>
              <w:right w:val="single" w:color="auto" w:sz="4" w:space="0"/>
            </w:tcBorders>
            <w:vAlign w:val="center"/>
          </w:tcPr>
          <w:p w14:paraId="2D05E30A">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制动</w:t>
            </w:r>
          </w:p>
        </w:tc>
        <w:tc>
          <w:tcPr>
            <w:tcW w:w="6736" w:type="dxa"/>
            <w:tcBorders>
              <w:top w:val="nil"/>
              <w:left w:val="nil"/>
              <w:bottom w:val="single" w:color="auto" w:sz="4" w:space="0"/>
              <w:right w:val="single" w:color="auto" w:sz="4" w:space="0"/>
            </w:tcBorders>
            <w:vAlign w:val="center"/>
          </w:tcPr>
          <w:p w14:paraId="7B48C471">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制动时不可施闸过急过猛；禁止在操作手把未回零位时施闸，严禁使用“打倒车”制动。</w:t>
            </w:r>
          </w:p>
        </w:tc>
      </w:tr>
      <w:tr w14:paraId="0FE8DA57">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14:paraId="17B44DF1">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7</w:t>
            </w:r>
          </w:p>
        </w:tc>
        <w:tc>
          <w:tcPr>
            <w:tcW w:w="1113" w:type="dxa"/>
            <w:tcBorders>
              <w:top w:val="nil"/>
              <w:left w:val="nil"/>
              <w:bottom w:val="single" w:color="auto" w:sz="4" w:space="0"/>
              <w:right w:val="single" w:color="auto" w:sz="4" w:space="0"/>
            </w:tcBorders>
            <w:vAlign w:val="center"/>
          </w:tcPr>
          <w:p w14:paraId="567B2B9C">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顶车</w:t>
            </w:r>
          </w:p>
        </w:tc>
        <w:tc>
          <w:tcPr>
            <w:tcW w:w="6736" w:type="dxa"/>
            <w:tcBorders>
              <w:top w:val="nil"/>
              <w:left w:val="nil"/>
              <w:bottom w:val="single" w:color="auto" w:sz="4" w:space="0"/>
              <w:right w:val="single" w:color="auto" w:sz="4" w:space="0"/>
            </w:tcBorders>
            <w:vAlign w:val="center"/>
          </w:tcPr>
          <w:p w14:paraId="4C9BF4E8">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顶车时必须听从调车人指挥，严禁异轨道顶车，严禁不连环顶车。</w:t>
            </w:r>
          </w:p>
        </w:tc>
      </w:tr>
      <w:tr w14:paraId="693A242E">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14:paraId="4682AE1B">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8</w:t>
            </w:r>
          </w:p>
        </w:tc>
        <w:tc>
          <w:tcPr>
            <w:tcW w:w="1113" w:type="dxa"/>
            <w:tcBorders>
              <w:top w:val="nil"/>
              <w:left w:val="nil"/>
              <w:bottom w:val="single" w:color="auto" w:sz="4" w:space="0"/>
              <w:right w:val="single" w:color="auto" w:sz="4" w:space="0"/>
            </w:tcBorders>
            <w:vAlign w:val="center"/>
          </w:tcPr>
          <w:p w14:paraId="63E45C01">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736" w:type="dxa"/>
            <w:tcBorders>
              <w:top w:val="nil"/>
              <w:left w:val="nil"/>
              <w:bottom w:val="single" w:color="auto" w:sz="4" w:space="0"/>
              <w:right w:val="single" w:color="auto" w:sz="4" w:space="0"/>
            </w:tcBorders>
            <w:vAlign w:val="center"/>
          </w:tcPr>
          <w:p w14:paraId="5D68A9E8">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禁止强制牵引复轨。</w:t>
            </w:r>
          </w:p>
        </w:tc>
      </w:tr>
      <w:tr w14:paraId="0AF453CA">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14:paraId="7F4394B5">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9</w:t>
            </w:r>
          </w:p>
        </w:tc>
        <w:tc>
          <w:tcPr>
            <w:tcW w:w="1113" w:type="dxa"/>
            <w:tcBorders>
              <w:top w:val="nil"/>
              <w:left w:val="nil"/>
              <w:bottom w:val="single" w:color="auto" w:sz="4" w:space="0"/>
              <w:right w:val="single" w:color="auto" w:sz="4" w:space="0"/>
            </w:tcBorders>
            <w:vAlign w:val="center"/>
          </w:tcPr>
          <w:p w14:paraId="58896CB4">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坐姿</w:t>
            </w:r>
          </w:p>
        </w:tc>
        <w:tc>
          <w:tcPr>
            <w:tcW w:w="6736" w:type="dxa"/>
            <w:tcBorders>
              <w:top w:val="nil"/>
              <w:left w:val="nil"/>
              <w:bottom w:val="single" w:color="auto" w:sz="4" w:space="0"/>
              <w:right w:val="single" w:color="auto" w:sz="4" w:space="0"/>
            </w:tcBorders>
            <w:vAlign w:val="center"/>
          </w:tcPr>
          <w:p w14:paraId="789632C1">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身体正坐在座位上，经常目视前方，严禁将头或身体探出车外。</w:t>
            </w:r>
          </w:p>
        </w:tc>
      </w:tr>
      <w:tr w14:paraId="3CBD3976">
        <w:tblPrEx>
          <w:tblCellMar>
            <w:top w:w="0" w:type="dxa"/>
            <w:left w:w="108" w:type="dxa"/>
            <w:bottom w:w="0" w:type="dxa"/>
            <w:right w:w="108" w:type="dxa"/>
          </w:tblCellMar>
        </w:tblPrEx>
        <w:trPr>
          <w:trHeight w:val="137" w:hRule="atLeast"/>
        </w:trPr>
        <w:tc>
          <w:tcPr>
            <w:tcW w:w="956" w:type="dxa"/>
            <w:tcBorders>
              <w:top w:val="nil"/>
              <w:left w:val="single" w:color="auto" w:sz="4" w:space="0"/>
              <w:bottom w:val="single" w:color="auto" w:sz="4" w:space="0"/>
              <w:right w:val="single" w:color="auto" w:sz="4" w:space="0"/>
            </w:tcBorders>
            <w:vAlign w:val="center"/>
          </w:tcPr>
          <w:p w14:paraId="5ED43251">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10</w:t>
            </w:r>
          </w:p>
        </w:tc>
        <w:tc>
          <w:tcPr>
            <w:tcW w:w="1113" w:type="dxa"/>
            <w:tcBorders>
              <w:top w:val="nil"/>
              <w:left w:val="nil"/>
              <w:bottom w:val="single" w:color="auto" w:sz="4" w:space="0"/>
              <w:right w:val="single" w:color="auto" w:sz="4" w:space="0"/>
            </w:tcBorders>
            <w:vAlign w:val="center"/>
          </w:tcPr>
          <w:p w14:paraId="6AFA4298">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位置</w:t>
            </w:r>
          </w:p>
        </w:tc>
        <w:tc>
          <w:tcPr>
            <w:tcW w:w="6736" w:type="dxa"/>
            <w:tcBorders>
              <w:top w:val="nil"/>
              <w:left w:val="nil"/>
              <w:bottom w:val="single" w:color="auto" w:sz="4" w:space="0"/>
              <w:right w:val="single" w:color="auto" w:sz="4" w:space="0"/>
            </w:tcBorders>
            <w:vAlign w:val="center"/>
          </w:tcPr>
          <w:p w14:paraId="38B8ADA9">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严禁在机车行驶中或尚未停稳前离开司机室；严禁车外开车。</w:t>
            </w:r>
          </w:p>
        </w:tc>
      </w:tr>
    </w:tbl>
    <w:p w14:paraId="19A5684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14:paraId="203B96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（一）入井、乘罐注意事项</w:t>
      </w:r>
    </w:p>
    <w:p w14:paraId="6FE0CA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14:paraId="3719C1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14:paraId="4FD63E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14:paraId="7B4267F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14:paraId="7504EDF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（二）井下行走、乘坐架空乘人装置注意事项</w:t>
      </w:r>
    </w:p>
    <w:p w14:paraId="400E626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14:paraId="4796BC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14:paraId="308BB7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14:paraId="5FAEA65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14:paraId="5F9128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14:paraId="540FFE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14:paraId="0B533C2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14:paraId="5F5725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14:paraId="30E3411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二、薄弱人物排查治理办法</w:t>
      </w:r>
    </w:p>
    <w:p w14:paraId="6F31DA0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薄弱人物</w:t>
      </w:r>
      <w:r>
        <w:rPr>
          <w:rFonts w:hint="eastAsia" w:ascii="仿宋" w:hAnsi="仿宋" w:eastAsia="仿宋" w:cs="仿宋"/>
          <w:b/>
          <w:bCs/>
          <w:color w:val="auto"/>
          <w:sz w:val="28"/>
          <w:szCs w:val="28"/>
        </w:rPr>
        <w:t>范畴</w:t>
      </w:r>
    </w:p>
    <w:p w14:paraId="3D4539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嗜好饮酒的“迷糊人”：是指爱好喝酒、酗酒甚至容易醉酒的人。</w:t>
      </w:r>
    </w:p>
    <w:p w14:paraId="2D4D27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婚期前后的“甜蜜人”：是指正在筹备或者刚刚完成婚姻大事的人。</w:t>
      </w:r>
    </w:p>
    <w:p w14:paraId="4EA4F7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家有丧事的“失落人”：是指家庭有亲人离世导致情绪失落波动。</w:t>
      </w:r>
    </w:p>
    <w:p w14:paraId="54F922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经常违章的“大胆人”：是指自律能力差，对违章屡教不改的人。</w:t>
      </w:r>
    </w:p>
    <w:p w14:paraId="044EA6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挨批受罚的“情绪人”：是指受到批评处罚情绪低落的人。</w:t>
      </w:r>
    </w:p>
    <w:p w14:paraId="07BD823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重新上岗的“三长人”：是指长伤、长病、长旷的返岗人员。</w:t>
      </w:r>
    </w:p>
    <w:p w14:paraId="5D3328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极度疲劳的“硬撑人”：是指班后从事体力劳动极度疲惫的人。</w:t>
      </w:r>
    </w:p>
    <w:p w14:paraId="3523A9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临近退休的“老年人”：是指年龄偏大（50岁以上）的老工人。</w:t>
      </w:r>
    </w:p>
    <w:p w14:paraId="6EC214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随时发病的“体弱人”：是指被医院诊断患有高血压、心脏病、脑血栓、</w:t>
      </w:r>
      <w:r>
        <w:rPr>
          <w:rFonts w:hint="eastAsia" w:ascii="仿宋" w:hAnsi="仿宋" w:eastAsia="仿宋" w:cs="仿宋"/>
          <w:color w:val="auto"/>
          <w:sz w:val="28"/>
          <w:szCs w:val="28"/>
          <w:lang w:val="en-US" w:eastAsia="zh-CN"/>
        </w:rPr>
        <w:t>抑郁症</w:t>
      </w:r>
      <w:r>
        <w:rPr>
          <w:rFonts w:hint="eastAsia" w:ascii="仿宋" w:hAnsi="仿宋" w:eastAsia="仿宋" w:cs="仿宋"/>
          <w:color w:val="auto"/>
          <w:sz w:val="28"/>
          <w:szCs w:val="28"/>
          <w:lang w:eastAsia="zh-CN"/>
        </w:rPr>
        <w:t>等病情的人。</w:t>
      </w:r>
    </w:p>
    <w:p w14:paraId="243166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家境特殊的“纠结人”：是指频发家庭矛盾影响工作情绪的人。</w:t>
      </w:r>
    </w:p>
    <w:p w14:paraId="471075B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岗位调整的“转行人”：是指转换了工作岗位、改变了工作性质的人。</w:t>
      </w:r>
    </w:p>
    <w:p w14:paraId="1AF38C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初来乍到的“新工人”：是指刚入矿或者从外单位调入的人。</w:t>
      </w:r>
    </w:p>
    <w:p w14:paraId="49381E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班前教育的“落空人”：是指未参加班前会的人。</w:t>
      </w:r>
    </w:p>
    <w:p w14:paraId="3555B3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心力交瘁的“上访人”：是指由于社会矛盾得不到及时解决有上访倾向的人。</w:t>
      </w:r>
    </w:p>
    <w:p w14:paraId="522ACF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八小时以外的“网络人”：是指工作之余，喜欢上网的年轻员工，班前休息不好，上班精力不集中。</w:t>
      </w:r>
    </w:p>
    <w:p w14:paraId="469289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性格粗暴的“鲁莽人”：是指性格简单粗暴的员工，工作急躁毛躁浮躁。</w:t>
      </w:r>
    </w:p>
    <w:p w14:paraId="2BB982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反应迟钝的“麻木人”：是指工作麻痹大意、马虎凑付不在乎、反应迟钝的员工。</w:t>
      </w:r>
    </w:p>
    <w:p w14:paraId="0A756E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不安心工作的“跳槽人”：是指不安心本职工作，意欲调动工作的人。</w:t>
      </w:r>
    </w:p>
    <w:p w14:paraId="17BFF8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不服从管理的“顶牛人”：是指与管理人员或员工有矛盾，不服从管理的员工。</w:t>
      </w:r>
    </w:p>
    <w:p w14:paraId="42FDA3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20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肩负第二职业的“经济人”：是指挣钱不要命，工作之余另有第二职业的人。</w:t>
      </w:r>
    </w:p>
    <w:p w14:paraId="2FC4781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（二）实施建档管理</w:t>
      </w:r>
    </w:p>
    <w:p w14:paraId="006908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岁以上老员工、患有疾病人员、其他人员等。当事人状况发生转变脱离了薄弱人物范畴的，及时予以“销号”。</w:t>
      </w:r>
    </w:p>
    <w:p w14:paraId="2854169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（三）具体排查方式</w:t>
      </w:r>
    </w:p>
    <w:p w14:paraId="248757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月度定性排查：深入掌握员工的思想、身体、爱好、家庭等情况，动态保持排查的敏感性，善于捕捉不良苗头，对薄弱人物进行分类定性，列出详细名单，根据分类定性情况，制定出具体防范措施。</w:t>
      </w:r>
    </w:p>
    <w:p w14:paraId="6CA3B2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每天班前排查：各单位召开班前会之前，首先由值班人员进行排查，对确定为薄弱人物的员工或者疑似薄弱人物的员工采取针对性措施，原则上“宁信其可能勿信其不可能”。</w:t>
      </w:r>
    </w:p>
    <w:p w14:paraId="4E9997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color w:val="auto"/>
          <w:sz w:val="28"/>
          <w:szCs w:val="28"/>
          <w:lang w:val="en-US" w:eastAsia="zh-CN"/>
        </w:rPr>
        <w:t>洪亮</w:t>
      </w:r>
      <w:r>
        <w:rPr>
          <w:rFonts w:hint="eastAsia" w:ascii="仿宋" w:hAnsi="仿宋" w:eastAsia="仿宋" w:cs="仿宋"/>
          <w:color w:val="auto"/>
          <w:sz w:val="28"/>
          <w:szCs w:val="28"/>
          <w:lang w:eastAsia="zh-CN"/>
        </w:rPr>
        <w:t>、气息是否流畅，询“问”员工身体心理健康状况，“测”量员工血压等状况。值班人员根据排查情况，落实各项管理措施，填写专项记录。</w:t>
      </w:r>
    </w:p>
    <w:p w14:paraId="08F54A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6945F8F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334709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现场排查：通过管理人员、班组长和安监员现场巡查，特别是结对子人员，值班安全员，对言谈举止出现异常者给予特别关注，必须立即采取应急措施，严重者及时护送至医院进行诊治。</w:t>
      </w:r>
    </w:p>
    <w:p w14:paraId="34FCBFE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四</w:t>
      </w:r>
      <w:r>
        <w:rPr>
          <w:rFonts w:hint="eastAsia" w:ascii="仿宋" w:hAnsi="仿宋" w:eastAsia="仿宋" w:cs="仿宋"/>
          <w:b/>
          <w:bCs/>
          <w:color w:val="auto"/>
          <w:sz w:val="28"/>
          <w:szCs w:val="28"/>
        </w:rPr>
        <w:t>）薄弱人员管控措施</w:t>
      </w:r>
    </w:p>
    <w:p w14:paraId="75F5B6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对于岗前饮酒者，坚决禁止上岗作业。轻者责令其回家休息，重者在区队原地休息或者安排人员护送回家。</w:t>
      </w:r>
    </w:p>
    <w:p w14:paraId="65691D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对于有喜事或丧事的人员，要通过面谈掌握当事人的心理状态，无异议后方可下井。</w:t>
      </w:r>
    </w:p>
    <w:p w14:paraId="1F0D8CD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对于经常违章的人员，要加强日常的教育，在班前会上注重提问，安排岗位要合理，原则上做到“疑人不用”。</w:t>
      </w:r>
    </w:p>
    <w:p w14:paraId="4B4C24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对于受到批评和处罚的员工，要加强心理疏导，让当事人放下思想包袱，解除心里抱怨，避免带着情绪上岗。</w:t>
      </w:r>
    </w:p>
    <w:p w14:paraId="444941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对于“三长”人员，必须加强岗前教育培训，考试合格后方可上岗。上岗过程中，要作为重点的巡查盯靠对象，</w:t>
      </w:r>
      <w:r>
        <w:rPr>
          <w:rFonts w:hint="eastAsia" w:ascii="仿宋" w:hAnsi="仿宋" w:eastAsia="仿宋" w:cs="仿宋"/>
          <w:color w:val="auto"/>
          <w:sz w:val="28"/>
          <w:szCs w:val="28"/>
          <w:lang w:val="en-US" w:eastAsia="zh-CN"/>
        </w:rPr>
        <w:t>实施跟踪观察</w:t>
      </w:r>
      <w:r>
        <w:rPr>
          <w:rFonts w:hint="eastAsia" w:ascii="仿宋" w:hAnsi="仿宋" w:eastAsia="仿宋" w:cs="仿宋"/>
          <w:color w:val="auto"/>
          <w:sz w:val="28"/>
          <w:szCs w:val="28"/>
          <w:lang w:eastAsia="zh-CN"/>
        </w:rPr>
        <w:t>。</w:t>
      </w:r>
    </w:p>
    <w:p w14:paraId="69B001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对于有高血压、心脏病等病史的人，一旦发现异常情况，应立即安排其原地休息，必要的时候，到医院检查就医,并适时参加矿上统一组织的劳鉴工作。</w:t>
      </w:r>
    </w:p>
    <w:p w14:paraId="33633D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对于家庭矛盾突出的员工，应通过谈心或者家访的方式，及时为员工解决家庭矛盾，解开症结，保证员工轻装上岗。</w:t>
      </w:r>
    </w:p>
    <w:p w14:paraId="34CB45C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对于临近退休的老工人，在安排岗位上首要考虑安全因素，原则上不安排攀高、抬重、高温等急难险重类型的作业。</w:t>
      </w:r>
    </w:p>
    <w:p w14:paraId="4B7F35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对于转岗员工当成新工人尽心管理，严格履行以师带徒合同，在老工人的带领下作业。</w:t>
      </w:r>
    </w:p>
    <w:p w14:paraId="7D59D4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对于刚入伍或者新调入的员工，第一时间建立“员工信息档案”，详细掌握员工的综合状况，加强日常培训，经常开展交流谈心，由经验丰富的老工人与其签订师徒合同。</w:t>
      </w:r>
    </w:p>
    <w:p w14:paraId="054D3D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凡是没有参加班前会学习教育的人员，一律严禁上岗作业。</w:t>
      </w:r>
    </w:p>
    <w:p w14:paraId="32E0B7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对于喜欢上网的年轻员工，要加强引导，多沟通勤交流，促使他们培养健康向上的生活工作情趣。</w:t>
      </w:r>
    </w:p>
    <w:p w14:paraId="0F83DD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对于有上访倾向的人，要及时了解情况，掌握思想状态，活血化瘀，必要时可申请法律援助，解决实际困难。</w:t>
      </w:r>
    </w:p>
    <w:p w14:paraId="78FCCF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对于反应迟钝、工作急躁毛躁浮躁的员工，要加强教育，使其克服缺点，结对子人员，必须安排一名沉稳人员带领，尽量避免让其承担单项工程和零星工程。</w:t>
      </w:r>
    </w:p>
    <w:p w14:paraId="093A9ED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对于不服从管理的员工，单位管理人员要及时做好一人一事的思想工作，解决存在的矛盾，使其心悦诚服、心情舒畅的投入工作。</w:t>
      </w:r>
    </w:p>
    <w:p w14:paraId="15C35B9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对于不安心工作或肩负第二职业的员工，单位主要领导要格外进行关注，进行一对一的帮教，使其回心转意，爱岗敬业，干好本职工作，时刻注意安全。</w:t>
      </w:r>
    </w:p>
    <w:p w14:paraId="2B6255A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14:paraId="1BA9544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14:paraId="273971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1.风险描述：矿井存在水灾、火灾风险。</w:t>
      </w:r>
    </w:p>
    <w:p w14:paraId="5D8663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管控措施：矿井发生水灾、火灾事故时，根据调度室应急语音广播通知要求，按避灾路线升井。</w:t>
      </w:r>
    </w:p>
    <w:p w14:paraId="46F8B0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避火灾路线：煤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六采轨道上山→煤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六采轨道石门→-450运输大巷（途径自救器补给站）→副井下井口→地面。</w:t>
      </w:r>
    </w:p>
    <w:p w14:paraId="7636254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避水灾路线：煤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六采轨道上山→煤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六采轨道石门→-450运输大巷（途径自救器补给站）→集中轨道上山→-313水平巷道→主井通道→主井下井口→地面。</w:t>
      </w:r>
    </w:p>
    <w:p w14:paraId="34084A4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2.风险描述：矿井存在停电、停风风险。</w:t>
      </w:r>
    </w:p>
    <w:p w14:paraId="385513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管控措施：矿井发生停电、停风事故且短时间无法恢复时，井下工作人员撤至进风巷内，根据调度室应急语音广播通知要求，按避灾路线撤至副井底，根据实际情况等待救援或沿主副井梯子间升井。</w:t>
      </w:r>
    </w:p>
    <w:p w14:paraId="0FA21F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六采轨道上山→煤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六采轨道石门→-450运输大巷（途径自救器补给站）→副井下井口→地面。</w:t>
      </w:r>
    </w:p>
    <w:p w14:paraId="5C8C6E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3.风险描述：矿井存在瓦斯、煤尘爆炸风险。</w:t>
      </w:r>
    </w:p>
    <w:p w14:paraId="612C554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管控措施：矿井发生瓦斯、煤仓爆炸事故时，根据调度室应急语音广播通知要求，按避灾路线升井。</w:t>
      </w:r>
    </w:p>
    <w:p w14:paraId="229027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避瓦斯、煤尘爆炸路线：煤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六采轨道上山→煤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六采轨道石门→-450运输大巷（途径自救器补给站）→副井下井口→地面。</w:t>
      </w:r>
    </w:p>
    <w:p w14:paraId="2745291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14:paraId="3651AB4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14:paraId="193298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（1）风险描述：车辆连接不合格或装载不符合要求，可能发生运输事故风险。</w:t>
      </w:r>
    </w:p>
    <w:p w14:paraId="23F4EC8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车辆连接使用有闭锁的销子，开车前检查车辆连接及装载情况；当班班组长应严格管理、监督职工的作业行为，发现违反规定作业的人员进行处罚并教育；安检员、机电科管理人员应做好监督管理工作，发现违规行为应立即制止，并作出相应处罚。</w:t>
      </w:r>
    </w:p>
    <w:p w14:paraId="70D9081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（2）风险描述：不按规定使用红尾灯，可能发生运输事故风险。</w:t>
      </w:r>
    </w:p>
    <w:p w14:paraId="6C4EF70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车辆运输前，按规定悬挂红尾灯；区队培训人员加强对职工的日常培训，规范职工的作业行为；当班班组长应严格管理、监督职工的作业行为，发现违反规定作业的人员进行处罚并教育；安检员、机电科管理人员应做好监督管理工作，发现违规行为应立即制止，并作出相应处罚。</w:t>
      </w:r>
    </w:p>
    <w:p w14:paraId="3EFFE08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（3）风险描述：列车周围及行进方向有人员及障碍物，可能发生运输事故风险。</w:t>
      </w:r>
    </w:p>
    <w:p w14:paraId="2DE6D37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管控措施：车辆运输前，列车周围及行进方向应无人员及障碍物；机电科、</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14:paraId="2CA13FE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23948D3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（1）风险描述：使用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运输，2辆机车在同一轨道同一方向行驶时，距离少于100m，可能发生运输事故风险。</w:t>
      </w:r>
    </w:p>
    <w:p w14:paraId="6BC0B12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运输时，2辆机车在同一轨道同一方向行驶时，距离不能少于100m；生产技术部、</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14:paraId="25385BA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（2）风险描述：使用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运输，机车行近道岔、弯道、巷道口、噪声大地段、视线有障碍时，未发出警号、减速，可能发生运输事故风险。</w:t>
      </w:r>
    </w:p>
    <w:p w14:paraId="7C27EFE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运输时，机车行近道岔、弯道、巷道口、噪声大地段、视线有障碍时，必须发出警号并减速慢行；生产技术部、</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14:paraId="1EC40E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（3）风险描述：使用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运输，机车在正常运行时未在列车前端，可能发生运输事故风险。</w:t>
      </w:r>
    </w:p>
    <w:p w14:paraId="07D275D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运输时，机车在正常运行时必须在列车前端；</w:t>
      </w:r>
      <w:r>
        <w:rPr>
          <w:rFonts w:hint="eastAsia" w:ascii="仿宋" w:hAnsi="仿宋" w:eastAsia="仿宋" w:cs="仿宋"/>
          <w:color w:val="auto"/>
          <w:sz w:val="28"/>
          <w:szCs w:val="28"/>
          <w:lang w:eastAsia="zh-CN"/>
        </w:rPr>
        <w:t>技术室、安监科</w:t>
      </w:r>
      <w:r>
        <w:rPr>
          <w:rFonts w:hint="eastAsia" w:ascii="仿宋" w:hAnsi="仿宋" w:eastAsia="仿宋" w:cs="仿宋"/>
          <w:color w:val="auto"/>
          <w:sz w:val="28"/>
          <w:szCs w:val="28"/>
        </w:rPr>
        <w:t>在检查监督时，发现问题责令机车司机整改。</w:t>
      </w:r>
    </w:p>
    <w:p w14:paraId="097C978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（4）风险描述：机车运行时，身体探出车外，可能发生运输事故风险。</w:t>
      </w:r>
    </w:p>
    <w:p w14:paraId="0F1A7C3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w:t>
      </w:r>
      <w:r>
        <w:rPr>
          <w:rFonts w:hint="eastAsia" w:ascii="仿宋" w:hAnsi="仿宋" w:eastAsia="仿宋" w:cs="仿宋"/>
          <w:color w:val="auto"/>
          <w:spacing w:val="3"/>
          <w:w w:val="100"/>
          <w:kern w:val="0"/>
          <w:sz w:val="28"/>
          <w:szCs w:val="28"/>
          <w:fitText w:val="1071" w:id="2032828414"/>
          <w:lang w:eastAsia="zh-CN"/>
        </w:rPr>
        <w:t>业行为</w:t>
      </w:r>
      <w:r>
        <w:rPr>
          <w:rFonts w:hint="eastAsia"/>
          <w:color w:val="auto"/>
          <w:spacing w:val="1"/>
          <w:w w:val="100"/>
          <w:kern w:val="0"/>
          <w:fitText w:val="1071" w:id="2032828414"/>
          <w:lang w:eastAsia="zh-CN"/>
        </w:rPr>
        <w:t>；</w:t>
      </w:r>
      <w:r>
        <w:rPr>
          <w:rFonts w:hint="eastAsia" w:ascii="仿宋" w:hAnsi="仿宋" w:eastAsia="仿宋" w:cs="仿宋"/>
          <w:color w:val="auto"/>
          <w:sz w:val="28"/>
          <w:szCs w:val="28"/>
        </w:rPr>
        <w:t>当班班组长应严格管理、监督职工的作业行为，发现违反规定作业的人员进行处罚并教育；安检员、机电科管理人员应做好监督管理工作，发现违规行为应立即制止，并作出相应处罚。</w:t>
      </w:r>
    </w:p>
    <w:p w14:paraId="020EABF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（5）风险描述：机车</w:t>
      </w:r>
      <w:r>
        <w:rPr>
          <w:rFonts w:hint="eastAsia" w:ascii="仿宋" w:hAnsi="仿宋" w:eastAsia="仿宋" w:cs="仿宋"/>
          <w:color w:val="auto"/>
          <w:sz w:val="28"/>
          <w:szCs w:val="28"/>
          <w:lang w:eastAsia="zh-CN"/>
        </w:rPr>
        <w:t>异道</w:t>
      </w:r>
      <w:r>
        <w:rPr>
          <w:rFonts w:hint="eastAsia" w:ascii="仿宋" w:hAnsi="仿宋" w:eastAsia="仿宋" w:cs="仿宋"/>
          <w:color w:val="auto"/>
          <w:sz w:val="28"/>
          <w:szCs w:val="28"/>
        </w:rPr>
        <w:t>顶车或强行牵引复轨，可能发生运输事故风险。</w:t>
      </w:r>
    </w:p>
    <w:p w14:paraId="031A74B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left"/>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管控措施：顶车时必须听从调车人指挥，严禁异轨道顶车，严禁不连环顶车；对脱轨的机车或矿车复轨时，应有可靠的措施，严禁强行牵引复轨。</w:t>
      </w:r>
    </w:p>
    <w:p w14:paraId="273F25D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（6）风险描述：处理掉道车辆不当，可能发生运输事故风险。</w:t>
      </w:r>
    </w:p>
    <w:p w14:paraId="0BC7088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管控措施：严格按照规定处理掉道车辆；安检员现场监督，发现处理方法不当进行制止纠正。</w:t>
      </w:r>
    </w:p>
    <w:p w14:paraId="200406B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（7）风险描述：制动过猛或打倒车制动，可能发生运输事故风险。</w:t>
      </w:r>
    </w:p>
    <w:p w14:paraId="64E2A75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制动时，不可施闸过急过猛，出现车轮抱死机车滑行现象时，应迅速松闸，缓解后重新施闸；禁止在操作手把未回零位时施闸，严禁使用“逆电流”(即“打倒车”)的方法制动电机车；需要紧急停车时，必须迅速将控制手把转至零位，拉紧手闸，并连续均匀撒砂；区队培训人员加强对职工的日常培训，规范职工的作业行为；安检员、机电科管理人员应做好监督管理工作，发现违规行为应立即制止，并作出相应处罚。</w:t>
      </w:r>
    </w:p>
    <w:p w14:paraId="7A6E613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14:paraId="5B39D48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运输，在运输线路上临时停车时，未扳紧停车制动，可能发生运输事故风险。</w:t>
      </w:r>
    </w:p>
    <w:p w14:paraId="7A219FF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运输时，在运输线路上临时停车时，扳紧停车制动；</w:t>
      </w:r>
      <w:r>
        <w:rPr>
          <w:rFonts w:hint="eastAsia" w:ascii="仿宋" w:hAnsi="仿宋" w:eastAsia="仿宋" w:cs="仿宋"/>
          <w:color w:val="auto"/>
          <w:sz w:val="28"/>
          <w:szCs w:val="28"/>
          <w:lang w:eastAsia="zh-CN"/>
        </w:rPr>
        <w:t>技术室</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14:paraId="30A4CCE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运输，在运输线路上临时停车时，关闭车灯，可能发生运输事故风险。</w:t>
      </w:r>
    </w:p>
    <w:p w14:paraId="7324993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运输时，在运输线路上临时停车时，严禁关闭车灯；</w:t>
      </w:r>
      <w:r>
        <w:rPr>
          <w:rFonts w:hint="eastAsia" w:ascii="仿宋" w:hAnsi="仿宋" w:eastAsia="仿宋" w:cs="仿宋"/>
          <w:color w:val="auto"/>
          <w:sz w:val="28"/>
          <w:szCs w:val="28"/>
          <w:lang w:eastAsia="zh-CN"/>
        </w:rPr>
        <w:t>技术室</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14:paraId="50331FD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运输，在运输线路上临时停车时，调速器、换向器未扳回零位，可能发生运输事故风险。</w:t>
      </w:r>
    </w:p>
    <w:p w14:paraId="6E1F4F8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运输时，在运输线路上临时停车时，调速器、换向器扳回零位；生产技术部、</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14:paraId="1A6BA23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（4）风险描述：司机离开座位时，未取下控制手把（钥匙），可能发生运输事故风险。</w:t>
      </w:r>
    </w:p>
    <w:p w14:paraId="6D59738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运输时，司机离开座位时，必须取下控制手把（钥匙）；</w:t>
      </w:r>
      <w:r>
        <w:rPr>
          <w:rFonts w:hint="eastAsia" w:ascii="仿宋" w:hAnsi="仿宋" w:eastAsia="仿宋" w:cs="仿宋"/>
          <w:color w:val="auto"/>
          <w:sz w:val="28"/>
          <w:szCs w:val="28"/>
          <w:lang w:eastAsia="zh-CN"/>
        </w:rPr>
        <w:t>技术室</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14:paraId="5E53240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运输时，电瓶车停车地点不合格，可能发生运输事故风险。</w:t>
      </w:r>
    </w:p>
    <w:p w14:paraId="4448D25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管控措施：机车占线停留，应停在指定停靠的安全区段，不应在主要运输线路“往返单线”上停车；不得在能自动滑行的坡道上停放机车，确需停放时，须用可靠的制动器将车辆稳住。</w:t>
      </w:r>
    </w:p>
    <w:p w14:paraId="1164FFB2">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14:paraId="233ED78C">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14:paraId="209B8E9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1.连接、装载、红尾灯：全部连接安全可靠、装载符合要求，红尾灯明亮、完好。</w:t>
      </w:r>
    </w:p>
    <w:p w14:paraId="25D578A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2.人员、障碍物：列车周围及行进方向无人员及障碍物。</w:t>
      </w:r>
    </w:p>
    <w:p w14:paraId="75C07198">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14:paraId="7A4D56E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1.驾驶室：驾驶室完好、无开裂变形。</w:t>
      </w:r>
    </w:p>
    <w:p w14:paraId="25339DB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2.电压：电压额定</w:t>
      </w:r>
      <w:r>
        <w:rPr>
          <w:rFonts w:hint="eastAsia" w:ascii="仿宋" w:hAnsi="仿宋" w:eastAsia="仿宋" w:cs="仿宋"/>
          <w:color w:val="auto"/>
          <w:sz w:val="28"/>
          <w:szCs w:val="28"/>
          <w:lang w:val="en-US" w:eastAsia="zh-CN"/>
        </w:rPr>
        <w:t>190</w:t>
      </w:r>
      <w:r>
        <w:rPr>
          <w:rFonts w:hint="eastAsia" w:ascii="仿宋" w:hAnsi="仿宋" w:eastAsia="仿宋" w:cs="仿宋"/>
          <w:color w:val="auto"/>
          <w:sz w:val="28"/>
          <w:szCs w:val="28"/>
        </w:rPr>
        <w:t>V。</w:t>
      </w:r>
    </w:p>
    <w:p w14:paraId="4CA5007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3.调速器、换向器：调速器、换向器灵敏可靠。</w:t>
      </w:r>
    </w:p>
    <w:p w14:paraId="173071D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4.车灯、喇叭、制动闸、撒砂装置：车灯明亮、喇叭响亮、制动闸安全可靠、撒砂装置灵活有效，沙箱内沙量、沙质符合要求。</w:t>
      </w:r>
    </w:p>
    <w:p w14:paraId="47EC736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5.蓄电池、插头：蓄电池完好、固定牢靠，插头插接牢靠。</w:t>
      </w:r>
    </w:p>
    <w:p w14:paraId="49FF6F25">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14:paraId="19E9E51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信号指令：必须按信号指令行车，开车前必须发出开车信号。</w:t>
      </w:r>
    </w:p>
    <w:p w14:paraId="10010F9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司机位置：</w:t>
      </w:r>
    </w:p>
    <w:p w14:paraId="0F376B9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运行中严禁将头或身体探出车外；</w:t>
      </w:r>
    </w:p>
    <w:p w14:paraId="27ABD49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严禁在机车行驶中或尚未停稳前离开司机室；</w:t>
      </w:r>
    </w:p>
    <w:p w14:paraId="44E39B8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严禁车外开车；</w:t>
      </w:r>
    </w:p>
    <w:p w14:paraId="6519984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特殊路段：</w:t>
      </w:r>
      <w:r>
        <w:rPr>
          <w:rFonts w:hint="eastAsia" w:ascii="仿宋" w:hAnsi="仿宋" w:eastAsia="仿宋" w:cs="仿宋"/>
          <w:color w:val="auto"/>
          <w:sz w:val="28"/>
          <w:szCs w:val="28"/>
        </w:rPr>
        <w:tab/>
      </w:r>
    </w:p>
    <w:p w14:paraId="2493413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接近风门、巷道口、硐室出口、弯道、道岔、坡度或噪声较大处，会车前以及前面有人或视线内有障碍物时，必须减低速度，并发出警号。</w:t>
      </w:r>
    </w:p>
    <w:p w14:paraId="39EAE69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通过施工区段，须服从施工人员指挥，准许运行时方可慢速通过。</w:t>
      </w:r>
    </w:p>
    <w:p w14:paraId="5CED5C8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扳（过）道岔：</w:t>
      </w:r>
      <w:r>
        <w:rPr>
          <w:rFonts w:hint="eastAsia" w:ascii="仿宋" w:hAnsi="仿宋" w:eastAsia="仿宋" w:cs="仿宋"/>
          <w:color w:val="auto"/>
          <w:sz w:val="28"/>
          <w:szCs w:val="28"/>
        </w:rPr>
        <w:tab/>
      </w:r>
    </w:p>
    <w:p w14:paraId="306BEFE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司机必须停稳机车，刹紧刹闸，</w:t>
      </w:r>
      <w:r>
        <w:rPr>
          <w:rFonts w:hint="eastAsia" w:ascii="仿宋" w:hAnsi="仿宋" w:eastAsia="仿宋" w:cs="仿宋"/>
          <w:color w:val="auto"/>
          <w:sz w:val="28"/>
          <w:szCs w:val="28"/>
          <w:lang w:eastAsia="zh-CN"/>
        </w:rPr>
        <w:t>使用控制器打</w:t>
      </w:r>
      <w:r>
        <w:rPr>
          <w:rFonts w:hint="eastAsia" w:ascii="仿宋" w:hAnsi="仿宋" w:eastAsia="仿宋" w:cs="仿宋"/>
          <w:color w:val="auto"/>
          <w:sz w:val="28"/>
          <w:szCs w:val="28"/>
        </w:rPr>
        <w:t>道岔，严禁挤岔强行通过。</w:t>
      </w:r>
    </w:p>
    <w:p w14:paraId="0D4A88A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通过司控道岔必须提前操作，观察道岔打严后方可通过。</w:t>
      </w:r>
    </w:p>
    <w:p w14:paraId="24BB89A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机车变向：行驶中改变运行方向时，需停稳后再换向操作。</w:t>
      </w:r>
    </w:p>
    <w:p w14:paraId="6C3B691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减速操作：应使用控制手把减速，尽量避免用手闸控制车速，若手把回零后车速仍较快，可适当施闸、撒砂。</w:t>
      </w:r>
    </w:p>
    <w:p w14:paraId="5B99407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正常制动：</w:t>
      </w:r>
      <w:r>
        <w:rPr>
          <w:rFonts w:hint="eastAsia" w:ascii="仿宋" w:hAnsi="仿宋" w:eastAsia="仿宋" w:cs="仿宋"/>
          <w:color w:val="auto"/>
          <w:sz w:val="28"/>
          <w:szCs w:val="28"/>
        </w:rPr>
        <w:tab/>
      </w:r>
    </w:p>
    <w:p w14:paraId="5B8CB2E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制动时，不可施闸过急过猛，出现车轮抱死机车滑行现象时，应迅速松闸，缓解后重新施闸。</w:t>
      </w:r>
    </w:p>
    <w:p w14:paraId="3DDF075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禁止在操作手把未回零位时施闸，严禁使用“逆电流”(即“打倒车”)的方法制动电机车。</w:t>
      </w:r>
    </w:p>
    <w:p w14:paraId="330E4D8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紧急制动：需要紧急停车时，必须迅速将控制手把转至零位，拉紧手闸，并连续均匀撒砂。</w:t>
      </w:r>
    </w:p>
    <w:p w14:paraId="5468A96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停车位置：</w:t>
      </w:r>
      <w:r>
        <w:rPr>
          <w:rFonts w:hint="eastAsia" w:ascii="仿宋" w:hAnsi="仿宋" w:eastAsia="仿宋" w:cs="仿宋"/>
          <w:color w:val="auto"/>
          <w:sz w:val="28"/>
          <w:szCs w:val="28"/>
        </w:rPr>
        <w:tab/>
      </w:r>
    </w:p>
    <w:p w14:paraId="624D241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列车占线停留，应停在指定停靠的安全区段。不应在主要运输线路“往返单线”上停车。</w:t>
      </w:r>
    </w:p>
    <w:p w14:paraId="692C9DA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不得在能自动滑行的坡道上停放机车，确需停放时，须用可靠的制动器将车辆稳住。</w:t>
      </w:r>
    </w:p>
    <w:p w14:paraId="73AE219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暂离岗位：暂时离开时，将控制器手把转至零位并取下保管好，扳紧车闸，但不得关闭车灯。</w:t>
      </w:r>
    </w:p>
    <w:p w14:paraId="2EDF2AA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异常处置：</w:t>
      </w:r>
    </w:p>
    <w:p w14:paraId="4FA9678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列车出现故障或发生不正常现象时，必须减速停车；有发生事故的危险或接到紧急停车信号时，必须立即紧急停车。</w:t>
      </w:r>
    </w:p>
    <w:p w14:paraId="748867D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不论任何原因造成电源中断，都应将控制器手把转回零位，然后重新启动。</w:t>
      </w:r>
    </w:p>
    <w:p w14:paraId="0A208A1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故障停车时，应立即向调度汇报，必须在机车（列车）前后设置警示防护后，方可检查，但电气设备严禁打开检查。</w:t>
      </w:r>
    </w:p>
    <w:p w14:paraId="5B60A20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顶车及复轨：</w:t>
      </w:r>
      <w:r>
        <w:rPr>
          <w:rFonts w:hint="eastAsia" w:ascii="仿宋" w:hAnsi="仿宋" w:eastAsia="仿宋" w:cs="仿宋"/>
          <w:color w:val="auto"/>
          <w:sz w:val="28"/>
          <w:szCs w:val="28"/>
        </w:rPr>
        <w:tab/>
      </w:r>
    </w:p>
    <w:p w14:paraId="26D1341F">
      <w:pPr>
        <w:keepNext w:val="0"/>
        <w:keepLines w:val="0"/>
        <w:pageBreakBefore w:val="0"/>
        <w:widowControl w:val="0"/>
        <w:kinsoku/>
        <w:wordWrap/>
        <w:overflowPunct/>
        <w:topLinePunct w:val="0"/>
        <w:autoSpaceDE/>
        <w:autoSpaceDN/>
        <w:bidi w:val="0"/>
        <w:adjustRightInd/>
        <w:snapToGrid/>
        <w:spacing w:line="500" w:lineRule="exact"/>
        <w:ind w:left="559" w:leftChars="266" w:firstLine="0" w:firstLineChars="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顶车时必须听从调车人指挥，严禁异道顶车，严禁不连环顶车。</w:t>
      </w: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对脱轨的机车或矿车复轨时，应有可靠的措施。</w:t>
      </w:r>
    </w:p>
    <w:p w14:paraId="4369C07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特殊运送：</w:t>
      </w:r>
    </w:p>
    <w:p w14:paraId="22EE040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运送“四超”物件时，必须严格执行安全措施的规定。</w:t>
      </w:r>
    </w:p>
    <w:p w14:paraId="4425097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运送人员时，严格按规定站点停车，严禁任意停车上下人员。</w:t>
      </w:r>
    </w:p>
    <w:p w14:paraId="4D007F4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列车速度：列车行驶的速度:运送人员时不得超过</w:t>
      </w:r>
      <w:r>
        <w:rPr>
          <w:rFonts w:hint="eastAsia" w:ascii="仿宋" w:hAnsi="仿宋" w:eastAsia="仿宋" w:cs="仿宋"/>
          <w:color w:val="auto"/>
          <w:sz w:val="28"/>
          <w:szCs w:val="28"/>
          <w:lang w:val="en-US" w:eastAsia="zh-CN"/>
        </w:rPr>
        <w:t>2.5</w:t>
      </w:r>
      <w:r>
        <w:rPr>
          <w:rFonts w:hint="eastAsia" w:ascii="仿宋" w:hAnsi="仿宋" w:eastAsia="仿宋" w:cs="仿宋"/>
          <w:color w:val="auto"/>
          <w:sz w:val="28"/>
          <w:szCs w:val="28"/>
        </w:rPr>
        <w:t>米/秒；运送爆炸材料或大型设备、材料时，不得超过2米/秒；车场调车时不得超过1.5米/秒。</w:t>
      </w:r>
    </w:p>
    <w:p w14:paraId="090C912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同轨车距：两机车或两列车在同一轨道同一方向行驶时，必须保持不少于100米的距离。</w:t>
      </w:r>
    </w:p>
    <w:p w14:paraId="02CDB1B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（三）操作后确认：</w:t>
      </w:r>
    </w:p>
    <w:p w14:paraId="17F2E8F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1.停车地点：停车地点符合规定。</w:t>
      </w:r>
    </w:p>
    <w:p w14:paraId="1F35828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2.调速器、换向器：调速器、换向器已打到零位。</w:t>
      </w:r>
    </w:p>
    <w:p w14:paraId="1281585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3.车闸、车灯：车闸已扳紧，列车制动可靠，车灯照明正常。</w:t>
      </w:r>
    </w:p>
    <w:p w14:paraId="7154532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4.钥匙：离开机车时控制器手把（钥匙）随身携带。</w:t>
      </w:r>
    </w:p>
    <w:p w14:paraId="7A26E26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14:paraId="43D787F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一、事故经过：</w:t>
      </w:r>
    </w:p>
    <w:p w14:paraId="25BA974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1998年元月1日中班，班前会结束后，运输工区中班大班长安排把钩工到集中下车场把钩，电机车司机颜</w:t>
      </w:r>
      <w:r>
        <w:rPr>
          <w:rFonts w:hint="eastAsia" w:ascii="仿宋" w:hAnsi="仿宋" w:eastAsia="仿宋" w:cs="仿宋"/>
          <w:color w:val="auto"/>
          <w:sz w:val="28"/>
          <w:szCs w:val="28"/>
          <w:lang w:eastAsia="zh-CN"/>
        </w:rPr>
        <w:t>某</w:t>
      </w:r>
      <w:r>
        <w:rPr>
          <w:rFonts w:hint="eastAsia" w:ascii="仿宋" w:hAnsi="仿宋" w:eastAsia="仿宋" w:cs="仿宋"/>
          <w:color w:val="auto"/>
          <w:sz w:val="28"/>
          <w:szCs w:val="28"/>
        </w:rPr>
        <w:t>负责集中片的车皮、物料供应。18时左右，颜</w:t>
      </w:r>
      <w:r>
        <w:rPr>
          <w:rFonts w:hint="eastAsia" w:ascii="仿宋" w:hAnsi="仿宋" w:eastAsia="仿宋" w:cs="仿宋"/>
          <w:color w:val="auto"/>
          <w:sz w:val="28"/>
          <w:szCs w:val="28"/>
          <w:lang w:eastAsia="zh-CN"/>
        </w:rPr>
        <w:t>某</w:t>
      </w:r>
      <w:r>
        <w:rPr>
          <w:rFonts w:hint="eastAsia" w:ascii="仿宋" w:hAnsi="仿宋" w:eastAsia="仿宋" w:cs="仿宋"/>
          <w:color w:val="auto"/>
          <w:sz w:val="28"/>
          <w:szCs w:val="28"/>
        </w:rPr>
        <w:t>开电机车拉着8车料送到集中下车场，因车场内料多，便将电机车停在集中下车场与付巷交叉处。19时50分，浙包队当班班长郑大洲带领4名工人从集中皮带联络巷出来推车皮，因下车场没有车皮，郑等4人便从下车场走到3#仓处，看到巷道内前方有一辆装满轨道及铁管的叉车，后有车皮，就先推出叉车放在直道上，然后将2个车皮推走，而没有将叉车推回原来位置。当行至下车场与付巷轨道交叉处因电机车挡道不能通过，郑就去找电机车司机颜××让其把电机车往前开一段，将2个车皮推入付巷。21时15分，颜××从集中下车场驾驶一台10吨电机车拉着8个重车准备送至下井口，当行至集中石门与3#煤仓交叉点向南10米处时，撞在停放在该处的装有21根道轨、14根2寸铁管的叉车上，致使该车重心前移，道轨落地滑行，道轨前头顶在砼枕上，后头翘起，撞坏电机车操作室，将司机颜××左胸挤伤，经送矿务局中心医院全力抢救无效死亡。</w:t>
      </w:r>
    </w:p>
    <w:p w14:paraId="4B410D2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二、事故原因：</w:t>
      </w:r>
    </w:p>
    <w:p w14:paraId="7ACC6CE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安全第一的思想树立不牢，往往是挂在墙上，写在纸上，喊在嘴上，在现场上、行为上没有真正行到落实。</w:t>
      </w:r>
    </w:p>
    <w:p w14:paraId="0899694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司机颜</w:t>
      </w:r>
      <w:r>
        <w:rPr>
          <w:rFonts w:hint="eastAsia" w:ascii="仿宋" w:hAnsi="仿宋" w:eastAsia="仿宋" w:cs="仿宋"/>
          <w:color w:val="auto"/>
          <w:sz w:val="28"/>
          <w:szCs w:val="28"/>
          <w:lang w:eastAsia="zh-CN"/>
        </w:rPr>
        <w:t>某</w:t>
      </w:r>
      <w:r>
        <w:rPr>
          <w:rFonts w:hint="eastAsia" w:ascii="仿宋" w:hAnsi="仿宋" w:eastAsia="仿宋" w:cs="仿宋"/>
          <w:color w:val="auto"/>
          <w:sz w:val="28"/>
          <w:szCs w:val="28"/>
        </w:rPr>
        <w:t>精力分散，违章开车，违犯操作规程，是发生事故的直接原因。</w:t>
      </w:r>
    </w:p>
    <w:p w14:paraId="1FFBFAB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浙包队当班班长及四名工人违犯规定，倒车后，没有把叉车再倒回原来位置，给事故发生埋下隐患，是造成事故的主要原因。</w:t>
      </w:r>
    </w:p>
    <w:p w14:paraId="615D128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运输工区当班班长，重生产，轻安全，现场管理混乱，是事故发生的一个原因。</w:t>
      </w:r>
    </w:p>
    <w:p w14:paraId="5AF3AF4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运输工区当班跟班领导，对本班安全工作管理抓得不严，对职工行为管理不细，是事故发生的一个原因。</w:t>
      </w:r>
    </w:p>
    <w:p w14:paraId="70D5897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运输工区区长安排工作不严不细，现场管理混乱，也是事故发生的一个原因。</w:t>
      </w:r>
    </w:p>
    <w:p w14:paraId="01B2267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运输工区党支部书记对职工安全教育力度不够，也是事故发生的一个原因。</w:t>
      </w:r>
    </w:p>
    <w:p w14:paraId="5B29BE9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技术科分管科长、技术员，对有关措施、制度抓得不严不细，也是事故发生的一个原因。</w:t>
      </w:r>
    </w:p>
    <w:p w14:paraId="4403DA7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通运科对全矿运输工作平常安全管理和安全监督检查抓得力度不够，也是事故发生的一个原因。</w:t>
      </w:r>
    </w:p>
    <w:p w14:paraId="6B37AE2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调度室分管主任对日常运输管理不严、不细，制度兑现力度不够，也是事故发生的一个原因。</w:t>
      </w:r>
    </w:p>
    <w:p w14:paraId="2F5C5EC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有关领导对平常运输安全管理不严、不细，也是事故发生的一个原因。</w:t>
      </w:r>
    </w:p>
    <w:p w14:paraId="67CB6D2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长负责全矿安全监督检查，力度不够，也是事故发生的一个原因。</w:t>
      </w:r>
    </w:p>
    <w:p w14:paraId="19817EB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分管运输专业的副矿长张忠新，安全管理不严，落实工作力度不够，也是事故发生的一个原因。</w:t>
      </w:r>
    </w:p>
    <w:p w14:paraId="0A30592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党委副书记周建民作为分管运输专业的付组长，对职工的安全教育力度不够，也是事故发生的一个原因。</w:t>
      </w:r>
    </w:p>
    <w:p w14:paraId="12A7DAB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三、防范措施：</w:t>
      </w:r>
    </w:p>
    <w:p w14:paraId="7952ACB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认真接受事故教训，举一反三，在全矿范围内开展一次安全教育和反事故活动，从思想上、行动上加深对安全工作的认识，牢固树立安全第一的思想。</w:t>
      </w:r>
    </w:p>
    <w:p w14:paraId="4CFB7A2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进一步加强对干部职工的安全思想教育，针对本次事故，在全矿组织开展好三个层次的大讨论活动。即：领导层在安全领导、管理层在安全管理、操作层在现场施工中各存在哪些不足？如何采取措施，强化管理，杜绝事故的发生。通过讨论，切实提高干部职工的安全意识，克服麻痹大意和马虎凑付不在乎等不良倾向，真正把安全工作当成天字号大事，花大力气抓实抓牢，抓出成效。</w:t>
      </w:r>
    </w:p>
    <w:p w14:paraId="5537754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切实加强对安全工作的领导， 抓住安全不放松，各单位安全第一责任者要真正担负起安全第一的责任，分管领导要真正提负起分管责任，各区队、班组要真正提负起直接管理责任。各专业部门要严格执行业务保安责任制。</w:t>
      </w:r>
    </w:p>
    <w:p w14:paraId="1266FA7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明确装车材料的存放、旧料的堆放等规定，使现场有章可循，有法可依。</w:t>
      </w:r>
    </w:p>
    <w:p w14:paraId="50C988D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整顿运输秩序，组织有关人员从上井口开始，对运输大巷、车场、顺槽，特别是各存（旧）料及撤换下来的轨道、铁管等地点，按标准化要求，该清除的清除，该运走的运走。</w:t>
      </w:r>
    </w:p>
    <w:p w14:paraId="6FDAE8E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加强特殊工种和岗位工管理，特别是单独作业岗位工的安全教育和管理，使他们按章作业，搞好自主保安。</w:t>
      </w:r>
    </w:p>
    <w:p w14:paraId="5DDC16CE">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rPr>
        <w:t>、常见三违</w:t>
      </w:r>
    </w:p>
    <w:p w14:paraId="12BDBC8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r>
        <w:rPr>
          <w:rFonts w:hint="eastAsia" w:ascii="仿宋" w:hAnsi="仿宋" w:eastAsia="仿宋" w:cs="仿宋"/>
          <w:color w:val="auto"/>
          <w:sz w:val="28"/>
          <w:szCs w:val="28"/>
          <w:lang w:val="en-US" w:eastAsia="zh-CN"/>
        </w:rPr>
        <w:t>;</w:t>
      </w:r>
    </w:p>
    <w:p w14:paraId="218A7C0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无证上岗、证件过期的</w:t>
      </w:r>
      <w:r>
        <w:rPr>
          <w:rFonts w:hint="eastAsia" w:ascii="仿宋" w:hAnsi="仿宋" w:eastAsia="仿宋" w:cs="仿宋"/>
          <w:color w:val="auto"/>
          <w:sz w:val="28"/>
          <w:szCs w:val="28"/>
          <w:lang w:val="en-US" w:eastAsia="zh-CN"/>
        </w:rPr>
        <w:t>;</w:t>
      </w:r>
    </w:p>
    <w:p w14:paraId="3BB4489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违反“行车不行人，行人不行车”制度的</w:t>
      </w:r>
      <w:r>
        <w:rPr>
          <w:rFonts w:hint="eastAsia" w:ascii="仿宋" w:hAnsi="仿宋" w:eastAsia="仿宋" w:cs="仿宋"/>
          <w:color w:val="auto"/>
          <w:sz w:val="28"/>
          <w:szCs w:val="28"/>
          <w:lang w:val="en-US" w:eastAsia="zh-CN"/>
        </w:rPr>
        <w:t>;</w:t>
      </w:r>
    </w:p>
    <w:p w14:paraId="48B4127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扒车、跳车和坐矿车的</w:t>
      </w:r>
      <w:r>
        <w:rPr>
          <w:rFonts w:hint="eastAsia" w:ascii="仿宋" w:hAnsi="仿宋" w:eastAsia="仿宋" w:cs="仿宋"/>
          <w:color w:val="auto"/>
          <w:sz w:val="28"/>
          <w:szCs w:val="28"/>
          <w:lang w:val="en-US" w:eastAsia="zh-CN"/>
        </w:rPr>
        <w:t>;</w:t>
      </w:r>
    </w:p>
    <w:p w14:paraId="380649A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r>
        <w:rPr>
          <w:rFonts w:hint="eastAsia" w:ascii="仿宋" w:hAnsi="仿宋" w:eastAsia="仿宋" w:cs="仿宋"/>
          <w:color w:val="auto"/>
          <w:sz w:val="28"/>
          <w:szCs w:val="28"/>
          <w:lang w:val="en-US" w:eastAsia="zh-CN"/>
        </w:rPr>
        <w:t>;</w:t>
      </w:r>
    </w:p>
    <w:p w14:paraId="4B7946B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岗位工睡岗的</w:t>
      </w:r>
      <w:r>
        <w:rPr>
          <w:rFonts w:hint="eastAsia" w:ascii="仿宋" w:hAnsi="仿宋" w:eastAsia="仿宋" w:cs="仿宋"/>
          <w:color w:val="auto"/>
          <w:sz w:val="28"/>
          <w:szCs w:val="28"/>
          <w:lang w:val="en-US" w:eastAsia="zh-CN"/>
        </w:rPr>
        <w:t>;</w:t>
      </w:r>
    </w:p>
    <w:p w14:paraId="05B54D1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设备运行时，人员接触设备的机械转动和传动部位或带电体的</w:t>
      </w:r>
      <w:r>
        <w:rPr>
          <w:rFonts w:hint="eastAsia" w:ascii="仿宋" w:hAnsi="仿宋" w:eastAsia="仿宋" w:cs="仿宋"/>
          <w:color w:val="auto"/>
          <w:sz w:val="28"/>
          <w:szCs w:val="28"/>
          <w:lang w:val="en-US" w:eastAsia="zh-CN"/>
        </w:rPr>
        <w:t>;</w:t>
      </w:r>
    </w:p>
    <w:p w14:paraId="7D50D2B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井下打架斗殴的</w:t>
      </w:r>
      <w:r>
        <w:rPr>
          <w:rFonts w:hint="eastAsia" w:ascii="仿宋" w:hAnsi="仿宋" w:eastAsia="仿宋" w:cs="仿宋"/>
          <w:color w:val="auto"/>
          <w:sz w:val="28"/>
          <w:szCs w:val="28"/>
          <w:lang w:val="en-US" w:eastAsia="zh-CN"/>
        </w:rPr>
        <w:t>;</w:t>
      </w:r>
    </w:p>
    <w:p w14:paraId="57454CD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对“三违”处罚无理取闹或辱骂安监员、管理人员的</w:t>
      </w:r>
      <w:r>
        <w:rPr>
          <w:rFonts w:hint="eastAsia" w:ascii="仿宋" w:hAnsi="仿宋" w:eastAsia="仿宋" w:cs="仿宋"/>
          <w:color w:val="auto"/>
          <w:sz w:val="28"/>
          <w:szCs w:val="28"/>
          <w:lang w:val="en-US" w:eastAsia="zh-CN"/>
        </w:rPr>
        <w:t>;</w:t>
      </w:r>
    </w:p>
    <w:p w14:paraId="0384F31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w:t>
      </w:r>
      <w:r>
        <w:rPr>
          <w:rFonts w:hint="eastAsia" w:ascii="仿宋" w:hAnsi="仿宋" w:eastAsia="仿宋" w:cs="仿宋"/>
          <w:color w:val="auto"/>
          <w:sz w:val="28"/>
          <w:szCs w:val="28"/>
        </w:rPr>
        <w:t>大件装车超长、超宽、超高、无措施运输</w:t>
      </w:r>
      <w:r>
        <w:rPr>
          <w:rFonts w:hint="eastAsia" w:ascii="仿宋" w:hAnsi="仿宋" w:eastAsia="仿宋" w:cs="仿宋"/>
          <w:color w:val="auto"/>
          <w:sz w:val="28"/>
          <w:szCs w:val="28"/>
          <w:lang w:val="en-US" w:eastAsia="zh-CN"/>
        </w:rPr>
        <w:t>;</w:t>
      </w:r>
    </w:p>
    <w:p w14:paraId="0B2011A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（十一）</w:t>
      </w:r>
      <w:r>
        <w:rPr>
          <w:rFonts w:hint="eastAsia" w:ascii="仿宋" w:hAnsi="仿宋" w:eastAsia="仿宋" w:cs="仿宋"/>
          <w:color w:val="auto"/>
          <w:sz w:val="28"/>
          <w:szCs w:val="28"/>
        </w:rPr>
        <w:t>电瓶车无照明开车或超速开车</w:t>
      </w:r>
      <w:r>
        <w:rPr>
          <w:rFonts w:hint="eastAsia" w:ascii="仿宋" w:hAnsi="仿宋" w:eastAsia="仿宋" w:cs="仿宋"/>
          <w:color w:val="auto"/>
          <w:sz w:val="28"/>
          <w:szCs w:val="28"/>
          <w:lang w:val="en-US" w:eastAsia="zh-CN"/>
        </w:rPr>
        <w:t>;</w:t>
      </w:r>
    </w:p>
    <w:p w14:paraId="7B85566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（十二）</w:t>
      </w:r>
      <w:r>
        <w:rPr>
          <w:rFonts w:hint="eastAsia" w:ascii="仿宋" w:hAnsi="仿宋" w:eastAsia="仿宋" w:cs="仿宋"/>
          <w:color w:val="auto"/>
          <w:sz w:val="28"/>
          <w:szCs w:val="28"/>
        </w:rPr>
        <w:t>电瓶车停车时不刹闸，不开大灯</w:t>
      </w:r>
      <w:r>
        <w:rPr>
          <w:rFonts w:hint="eastAsia" w:ascii="仿宋" w:hAnsi="仿宋" w:eastAsia="仿宋" w:cs="仿宋"/>
          <w:color w:val="auto"/>
          <w:sz w:val="28"/>
          <w:szCs w:val="28"/>
          <w:lang w:val="en-US" w:eastAsia="zh-CN"/>
        </w:rPr>
        <w:t>;</w:t>
      </w:r>
    </w:p>
    <w:p w14:paraId="60638F7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（十三）</w:t>
      </w:r>
      <w:r>
        <w:rPr>
          <w:rFonts w:hint="eastAsia" w:ascii="仿宋" w:hAnsi="仿宋" w:eastAsia="仿宋" w:cs="仿宋"/>
          <w:color w:val="auto"/>
          <w:sz w:val="28"/>
          <w:szCs w:val="28"/>
        </w:rPr>
        <w:t>电瓶车灯、铃、闸、棚、撒砂等装置不全、不完好开车</w:t>
      </w:r>
      <w:r>
        <w:rPr>
          <w:rFonts w:hint="eastAsia" w:ascii="仿宋" w:hAnsi="仿宋" w:eastAsia="仿宋" w:cs="仿宋"/>
          <w:color w:val="auto"/>
          <w:sz w:val="28"/>
          <w:szCs w:val="28"/>
          <w:lang w:val="en-US" w:eastAsia="zh-CN"/>
        </w:rPr>
        <w:t>;</w:t>
      </w:r>
    </w:p>
    <w:p w14:paraId="657AA98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（十四）</w:t>
      </w:r>
      <w:r>
        <w:rPr>
          <w:rFonts w:hint="eastAsia" w:ascii="仿宋" w:hAnsi="仿宋" w:eastAsia="仿宋" w:cs="仿宋"/>
          <w:color w:val="auto"/>
          <w:sz w:val="28"/>
          <w:szCs w:val="28"/>
        </w:rPr>
        <w:t>电瓶车连接销子不规范</w:t>
      </w:r>
      <w:r>
        <w:rPr>
          <w:rFonts w:hint="eastAsia" w:ascii="仿宋" w:hAnsi="仿宋" w:eastAsia="仿宋" w:cs="仿宋"/>
          <w:color w:val="auto"/>
          <w:sz w:val="28"/>
          <w:szCs w:val="28"/>
          <w:lang w:val="en-US" w:eastAsia="zh-CN"/>
        </w:rPr>
        <w:t>;</w:t>
      </w:r>
    </w:p>
    <w:p w14:paraId="55F83A4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（十五）</w:t>
      </w:r>
      <w:r>
        <w:rPr>
          <w:rFonts w:hint="eastAsia" w:ascii="仿宋" w:hAnsi="仿宋" w:eastAsia="仿宋" w:cs="仿宋"/>
          <w:color w:val="auto"/>
          <w:sz w:val="28"/>
          <w:szCs w:val="28"/>
        </w:rPr>
        <w:t>电瓶车司机遇拐弯、道岔、出入口、行人等不鸣笛不减速</w:t>
      </w:r>
      <w:r>
        <w:rPr>
          <w:rFonts w:hint="eastAsia" w:ascii="仿宋" w:hAnsi="仿宋" w:eastAsia="仿宋" w:cs="仿宋"/>
          <w:color w:val="auto"/>
          <w:sz w:val="28"/>
          <w:szCs w:val="28"/>
          <w:lang w:val="en-US" w:eastAsia="zh-CN"/>
        </w:rPr>
        <w:t>;</w:t>
      </w:r>
    </w:p>
    <w:p w14:paraId="5BBADE1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（十六）</w:t>
      </w:r>
      <w:r>
        <w:rPr>
          <w:rFonts w:hint="eastAsia" w:ascii="仿宋" w:hAnsi="仿宋" w:eastAsia="仿宋" w:cs="仿宋"/>
          <w:color w:val="auto"/>
          <w:sz w:val="28"/>
          <w:szCs w:val="28"/>
        </w:rPr>
        <w:t>电瓶车头带料或乘坐非专职人员</w:t>
      </w:r>
      <w:r>
        <w:rPr>
          <w:rFonts w:hint="eastAsia" w:ascii="仿宋" w:hAnsi="仿宋" w:eastAsia="仿宋" w:cs="仿宋"/>
          <w:color w:val="auto"/>
          <w:sz w:val="28"/>
          <w:szCs w:val="28"/>
          <w:lang w:val="en-US" w:eastAsia="zh-CN"/>
        </w:rPr>
        <w:t>;</w:t>
      </w:r>
    </w:p>
    <w:p w14:paraId="5A7E1AE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（十七）</w:t>
      </w:r>
      <w:r>
        <w:rPr>
          <w:rFonts w:hint="eastAsia" w:ascii="仿宋" w:hAnsi="仿宋" w:eastAsia="仿宋" w:cs="仿宋"/>
          <w:color w:val="auto"/>
          <w:sz w:val="28"/>
          <w:szCs w:val="28"/>
        </w:rPr>
        <w:t>电瓶车不连车顶车和异道顶车</w:t>
      </w:r>
      <w:r>
        <w:rPr>
          <w:rFonts w:hint="eastAsia" w:ascii="仿宋" w:hAnsi="仿宋" w:eastAsia="仿宋" w:cs="仿宋"/>
          <w:color w:val="auto"/>
          <w:sz w:val="28"/>
          <w:szCs w:val="28"/>
          <w:lang w:val="en-US" w:eastAsia="zh-CN"/>
        </w:rPr>
        <w:t>;</w:t>
      </w:r>
    </w:p>
    <w:p w14:paraId="6AA70B9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（十八）</w:t>
      </w:r>
      <w:r>
        <w:rPr>
          <w:rFonts w:hint="eastAsia" w:ascii="仿宋" w:hAnsi="仿宋" w:eastAsia="仿宋" w:cs="仿宋"/>
          <w:color w:val="auto"/>
          <w:sz w:val="28"/>
          <w:szCs w:val="28"/>
        </w:rPr>
        <w:t>电瓶车车辆运行时不挂尾灯</w:t>
      </w:r>
      <w:r>
        <w:rPr>
          <w:rFonts w:hint="eastAsia" w:ascii="仿宋" w:hAnsi="仿宋" w:eastAsia="仿宋" w:cs="仿宋"/>
          <w:color w:val="auto"/>
          <w:sz w:val="28"/>
          <w:szCs w:val="28"/>
          <w:lang w:val="en-US" w:eastAsia="zh-CN"/>
        </w:rPr>
        <w:t>;</w:t>
      </w:r>
    </w:p>
    <w:p w14:paraId="1343E6B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（十九）</w:t>
      </w:r>
      <w:r>
        <w:rPr>
          <w:rFonts w:hint="eastAsia" w:ascii="仿宋" w:hAnsi="仿宋" w:eastAsia="仿宋" w:cs="仿宋"/>
          <w:color w:val="auto"/>
          <w:sz w:val="28"/>
          <w:szCs w:val="28"/>
        </w:rPr>
        <w:t>电瓶车未停稳司机下车打道岔</w:t>
      </w:r>
      <w:r>
        <w:rPr>
          <w:rFonts w:hint="eastAsia" w:ascii="仿宋" w:hAnsi="仿宋" w:eastAsia="仿宋" w:cs="仿宋"/>
          <w:color w:val="auto"/>
          <w:sz w:val="28"/>
          <w:szCs w:val="28"/>
          <w:lang w:val="en-US" w:eastAsia="zh-CN"/>
        </w:rPr>
        <w:t>;</w:t>
      </w:r>
    </w:p>
    <w:p w14:paraId="423A445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default" w:ascii="仿宋" w:hAnsi="仿宋" w:eastAsia="仿宋" w:cs="仿宋"/>
          <w:color w:val="auto"/>
          <w:sz w:val="28"/>
          <w:szCs w:val="28"/>
          <w:lang w:val="en-US"/>
        </w:rPr>
      </w:pPr>
      <w:r>
        <w:rPr>
          <w:rFonts w:hint="eastAsia" w:ascii="仿宋" w:hAnsi="仿宋" w:eastAsia="仿宋" w:cs="仿宋"/>
          <w:color w:val="auto"/>
          <w:sz w:val="28"/>
          <w:szCs w:val="28"/>
          <w:lang w:eastAsia="zh-CN"/>
        </w:rPr>
        <w:t>（二十）</w:t>
      </w:r>
      <w:r>
        <w:rPr>
          <w:rFonts w:hint="eastAsia" w:ascii="仿宋" w:hAnsi="仿宋" w:eastAsia="仿宋" w:cs="仿宋"/>
          <w:color w:val="auto"/>
          <w:sz w:val="28"/>
          <w:szCs w:val="28"/>
        </w:rPr>
        <w:t>电瓶车运输时发生掉道</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按轻微伤对责任单位相关人员进行处理</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w:t>
      </w:r>
    </w:p>
    <w:p w14:paraId="521798B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（二十一）</w:t>
      </w:r>
      <w:r>
        <w:rPr>
          <w:rFonts w:hint="eastAsia" w:ascii="仿宋" w:hAnsi="仿宋" w:eastAsia="仿宋" w:cs="仿宋"/>
          <w:color w:val="auto"/>
          <w:sz w:val="28"/>
          <w:szCs w:val="28"/>
        </w:rPr>
        <w:t>电瓶车司机离开电车没有取下操作手把</w:t>
      </w:r>
      <w:r>
        <w:rPr>
          <w:rFonts w:hint="eastAsia" w:ascii="仿宋" w:hAnsi="仿宋" w:eastAsia="仿宋" w:cs="仿宋"/>
          <w:color w:val="auto"/>
          <w:sz w:val="28"/>
          <w:szCs w:val="28"/>
          <w:lang w:val="en-US" w:eastAsia="zh-CN"/>
        </w:rPr>
        <w:t>;</w:t>
      </w:r>
    </w:p>
    <w:p w14:paraId="65CC020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（二十二）</w:t>
      </w:r>
      <w:r>
        <w:rPr>
          <w:rFonts w:hint="eastAsia" w:ascii="仿宋" w:hAnsi="仿宋" w:eastAsia="仿宋" w:cs="仿宋"/>
          <w:color w:val="auto"/>
          <w:sz w:val="28"/>
          <w:szCs w:val="28"/>
        </w:rPr>
        <w:t>大巷两车相会时，不按规定停让车的</w:t>
      </w:r>
      <w:r>
        <w:rPr>
          <w:rFonts w:hint="eastAsia" w:ascii="仿宋" w:hAnsi="仿宋" w:eastAsia="仿宋" w:cs="仿宋"/>
          <w:color w:val="auto"/>
          <w:sz w:val="28"/>
          <w:szCs w:val="28"/>
          <w:lang w:val="en-US" w:eastAsia="zh-CN"/>
        </w:rPr>
        <w:t>;</w:t>
      </w:r>
    </w:p>
    <w:p w14:paraId="5F403D6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（二十三）</w:t>
      </w:r>
      <w:r>
        <w:rPr>
          <w:rFonts w:hint="eastAsia" w:ascii="仿宋" w:hAnsi="仿宋" w:eastAsia="仿宋" w:cs="仿宋"/>
          <w:color w:val="auto"/>
          <w:sz w:val="28"/>
          <w:szCs w:val="28"/>
        </w:rPr>
        <w:t>人车速度超过4米/秒的</w:t>
      </w:r>
      <w:r>
        <w:rPr>
          <w:rFonts w:hint="eastAsia" w:ascii="仿宋" w:hAnsi="仿宋" w:eastAsia="仿宋" w:cs="仿宋"/>
          <w:color w:val="auto"/>
          <w:sz w:val="28"/>
          <w:szCs w:val="28"/>
          <w:lang w:val="en-US" w:eastAsia="zh-CN"/>
        </w:rPr>
        <w:t>;</w:t>
      </w:r>
    </w:p>
    <w:p w14:paraId="20BA58F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（二十四）</w:t>
      </w:r>
      <w:r>
        <w:rPr>
          <w:rFonts w:hint="eastAsia" w:ascii="仿宋" w:hAnsi="仿宋" w:eastAsia="仿宋" w:cs="仿宋"/>
          <w:color w:val="auto"/>
          <w:sz w:val="28"/>
          <w:szCs w:val="28"/>
        </w:rPr>
        <w:t>井下运输车辆时使用钢丝绳连接</w:t>
      </w:r>
      <w:r>
        <w:rPr>
          <w:rFonts w:hint="eastAsia" w:ascii="仿宋" w:hAnsi="仿宋" w:eastAsia="仿宋" w:cs="仿宋"/>
          <w:color w:val="auto"/>
          <w:sz w:val="28"/>
          <w:szCs w:val="28"/>
          <w:lang w:val="en-US" w:eastAsia="zh-CN"/>
        </w:rPr>
        <w:t>;</w:t>
      </w:r>
    </w:p>
    <w:p w14:paraId="5B24FBF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（二十五）</w:t>
      </w:r>
      <w:r>
        <w:rPr>
          <w:rFonts w:hint="eastAsia" w:ascii="仿宋" w:hAnsi="仿宋" w:eastAsia="仿宋" w:cs="仿宋"/>
          <w:color w:val="auto"/>
          <w:sz w:val="28"/>
          <w:szCs w:val="28"/>
        </w:rPr>
        <w:t>用车顶撞风门</w:t>
      </w:r>
      <w:r>
        <w:rPr>
          <w:rFonts w:hint="eastAsia" w:ascii="仿宋" w:hAnsi="仿宋" w:eastAsia="仿宋" w:cs="仿宋"/>
          <w:color w:val="auto"/>
          <w:sz w:val="28"/>
          <w:szCs w:val="28"/>
          <w:lang w:val="en-US" w:eastAsia="zh-CN"/>
        </w:rPr>
        <w:t>;</w:t>
      </w:r>
    </w:p>
    <w:p w14:paraId="79D6AE0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（二十六）</w:t>
      </w:r>
      <w:r>
        <w:rPr>
          <w:rFonts w:hint="eastAsia" w:ascii="仿宋" w:hAnsi="仿宋" w:eastAsia="仿宋" w:cs="仿宋"/>
          <w:color w:val="auto"/>
          <w:sz w:val="28"/>
          <w:szCs w:val="28"/>
        </w:rPr>
        <w:t>运送“四超”车辆不用特制连接装置</w:t>
      </w:r>
      <w:r>
        <w:rPr>
          <w:rFonts w:hint="eastAsia" w:ascii="仿宋" w:hAnsi="仿宋" w:eastAsia="仿宋" w:cs="仿宋"/>
          <w:color w:val="auto"/>
          <w:sz w:val="28"/>
          <w:szCs w:val="28"/>
          <w:lang w:val="en-US" w:eastAsia="zh-CN"/>
        </w:rPr>
        <w:t>;</w:t>
      </w:r>
    </w:p>
    <w:p w14:paraId="74E5205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default" w:ascii="仿宋" w:hAnsi="仿宋" w:eastAsia="仿宋" w:cs="仿宋"/>
          <w:color w:val="auto"/>
          <w:sz w:val="28"/>
          <w:szCs w:val="28"/>
          <w:lang w:val="en-US"/>
        </w:rPr>
      </w:pPr>
      <w:r>
        <w:rPr>
          <w:rFonts w:hint="eastAsia" w:ascii="仿宋" w:hAnsi="仿宋" w:eastAsia="仿宋" w:cs="仿宋"/>
          <w:color w:val="auto"/>
          <w:sz w:val="28"/>
          <w:szCs w:val="28"/>
          <w:lang w:eastAsia="zh-CN"/>
        </w:rPr>
        <w:t>（二十七）</w:t>
      </w:r>
      <w:r>
        <w:rPr>
          <w:rFonts w:hint="eastAsia" w:ascii="仿宋" w:hAnsi="仿宋" w:eastAsia="仿宋" w:cs="仿宋"/>
          <w:color w:val="auto"/>
          <w:sz w:val="28"/>
          <w:szCs w:val="28"/>
        </w:rPr>
        <w:t>人为原因操作不当造成各种车辆掉道</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按轻微伤对责任单位相关人员进行处理</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w:t>
      </w:r>
    </w:p>
    <w:p w14:paraId="77048F2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（二十八）</w:t>
      </w:r>
      <w:r>
        <w:rPr>
          <w:rFonts w:hint="eastAsia" w:ascii="仿宋" w:hAnsi="仿宋" w:eastAsia="仿宋" w:cs="仿宋"/>
          <w:color w:val="auto"/>
          <w:sz w:val="28"/>
          <w:szCs w:val="28"/>
        </w:rPr>
        <w:t>电瓶车运行期间，司机不在行驶方向前驾驶室内作业的</w:t>
      </w:r>
      <w:r>
        <w:rPr>
          <w:rFonts w:hint="eastAsia" w:ascii="仿宋" w:hAnsi="仿宋" w:eastAsia="仿宋" w:cs="仿宋"/>
          <w:color w:val="auto"/>
          <w:sz w:val="28"/>
          <w:szCs w:val="28"/>
          <w:lang w:val="en-US" w:eastAsia="zh-CN"/>
        </w:rPr>
        <w:t>;</w:t>
      </w:r>
    </w:p>
    <w:p w14:paraId="14AFD98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（二十九）</w:t>
      </w:r>
      <w:r>
        <w:rPr>
          <w:rFonts w:hint="eastAsia" w:ascii="仿宋" w:hAnsi="仿宋" w:eastAsia="仿宋" w:cs="仿宋"/>
          <w:color w:val="auto"/>
          <w:sz w:val="28"/>
          <w:szCs w:val="28"/>
        </w:rPr>
        <w:t>电瓶车司机在车辆运行过程中将头、手伸出车外</w:t>
      </w:r>
      <w:r>
        <w:rPr>
          <w:rFonts w:hint="eastAsia" w:ascii="仿宋" w:hAnsi="仿宋" w:eastAsia="仿宋" w:cs="仿宋"/>
          <w:color w:val="auto"/>
          <w:sz w:val="28"/>
          <w:szCs w:val="28"/>
          <w:lang w:val="en-US" w:eastAsia="zh-CN"/>
        </w:rPr>
        <w:t>;</w:t>
      </w:r>
    </w:p>
    <w:p w14:paraId="70FCF6C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（三十）</w:t>
      </w:r>
      <w:r>
        <w:rPr>
          <w:rFonts w:hint="eastAsia" w:ascii="仿宋" w:hAnsi="仿宋" w:eastAsia="仿宋" w:cs="仿宋"/>
          <w:color w:val="auto"/>
          <w:sz w:val="28"/>
          <w:szCs w:val="28"/>
        </w:rPr>
        <w:t>两辆机车或列车在同一轨道同一方向行驶，行驶间距少于100米。</w:t>
      </w:r>
    </w:p>
    <w:p w14:paraId="2929AC51">
      <w:pPr>
        <w:rPr>
          <w:rFonts w:hint="eastAsia" w:ascii="仿宋" w:hAnsi="仿宋" w:eastAsia="仿宋" w:cs="仿宋"/>
          <w:b/>
          <w:color w:val="auto"/>
          <w:sz w:val="36"/>
          <w:szCs w:val="36"/>
        </w:rPr>
      </w:pPr>
      <w:bookmarkStart w:id="432" w:name="_Toc23783"/>
      <w:bookmarkStart w:id="433" w:name="_Toc5904"/>
      <w:bookmarkStart w:id="434" w:name="_Toc32506"/>
      <w:bookmarkStart w:id="435" w:name="_Toc13301"/>
      <w:bookmarkStart w:id="436" w:name="_Toc16379"/>
      <w:r>
        <w:rPr>
          <w:rFonts w:hint="eastAsia" w:ascii="仿宋" w:hAnsi="仿宋" w:eastAsia="仿宋" w:cs="仿宋"/>
          <w:b/>
          <w:color w:val="auto"/>
          <w:sz w:val="36"/>
          <w:szCs w:val="36"/>
        </w:rPr>
        <w:br w:type="page"/>
      </w:r>
    </w:p>
    <w:p w14:paraId="158C8C1B">
      <w:pPr>
        <w:spacing w:before="100" w:beforeAutospacing="1" w:after="100" w:afterAutospacing="1" w:line="380" w:lineRule="exact"/>
        <w:jc w:val="center"/>
        <w:outlineLvl w:val="1"/>
        <w:rPr>
          <w:rFonts w:hint="eastAsia" w:ascii="仿宋" w:hAnsi="仿宋" w:eastAsia="仿宋" w:cs="仿宋"/>
          <w:color w:val="auto"/>
          <w:sz w:val="36"/>
          <w:szCs w:val="36"/>
        </w:rPr>
      </w:pPr>
      <w:bookmarkStart w:id="437" w:name="_Toc10563"/>
      <w:r>
        <w:rPr>
          <w:rFonts w:hint="eastAsia" w:ascii="仿宋" w:hAnsi="仿宋" w:eastAsia="仿宋" w:cs="仿宋"/>
          <w:b/>
          <w:color w:val="auto"/>
          <w:sz w:val="36"/>
          <w:szCs w:val="36"/>
        </w:rPr>
        <w:t>架空乘人装置司机</w:t>
      </w:r>
      <w:bookmarkEnd w:id="432"/>
      <w:bookmarkEnd w:id="433"/>
      <w:bookmarkEnd w:id="434"/>
      <w:bookmarkEnd w:id="435"/>
      <w:bookmarkEnd w:id="436"/>
      <w:bookmarkEnd w:id="437"/>
    </w:p>
    <w:tbl>
      <w:tblPr>
        <w:tblStyle w:val="12"/>
        <w:tblW w:w="8863" w:type="dxa"/>
        <w:jc w:val="center"/>
        <w:tblLayout w:type="fixed"/>
        <w:tblCellMar>
          <w:top w:w="0" w:type="dxa"/>
          <w:left w:w="108" w:type="dxa"/>
          <w:bottom w:w="0" w:type="dxa"/>
          <w:right w:w="108" w:type="dxa"/>
        </w:tblCellMar>
      </w:tblPr>
      <w:tblGrid>
        <w:gridCol w:w="822"/>
        <w:gridCol w:w="3585"/>
        <w:gridCol w:w="753"/>
        <w:gridCol w:w="3703"/>
      </w:tblGrid>
      <w:tr w14:paraId="3E996E4D">
        <w:tblPrEx>
          <w:tblCellMar>
            <w:top w:w="0" w:type="dxa"/>
            <w:left w:w="108" w:type="dxa"/>
            <w:bottom w:w="0" w:type="dxa"/>
            <w:right w:w="108" w:type="dxa"/>
          </w:tblCellMar>
        </w:tblPrEx>
        <w:trPr>
          <w:trHeight w:val="591" w:hRule="atLeast"/>
          <w:jc w:val="center"/>
        </w:trPr>
        <w:tc>
          <w:tcPr>
            <w:tcW w:w="8863" w:type="dxa"/>
            <w:gridSpan w:val="4"/>
            <w:tcBorders>
              <w:top w:val="single" w:color="auto" w:sz="4" w:space="0"/>
              <w:left w:val="single" w:color="auto" w:sz="4" w:space="0"/>
              <w:bottom w:val="single" w:color="auto" w:sz="4" w:space="0"/>
              <w:right w:val="single" w:color="000000" w:sz="4" w:space="0"/>
            </w:tcBorders>
            <w:vAlign w:val="center"/>
          </w:tcPr>
          <w:p w14:paraId="004B4E86">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架空乘人装置司机岗位风险告知卡</w:t>
            </w:r>
          </w:p>
        </w:tc>
      </w:tr>
      <w:tr w14:paraId="5220A7FD">
        <w:tblPrEx>
          <w:tblCellMar>
            <w:top w:w="0" w:type="dxa"/>
            <w:left w:w="108" w:type="dxa"/>
            <w:bottom w:w="0" w:type="dxa"/>
            <w:right w:w="108" w:type="dxa"/>
          </w:tblCellMar>
        </w:tblPrEx>
        <w:trPr>
          <w:trHeight w:val="894" w:hRule="atLeast"/>
          <w:jc w:val="center"/>
        </w:trPr>
        <w:tc>
          <w:tcPr>
            <w:tcW w:w="822" w:type="dxa"/>
            <w:tcBorders>
              <w:top w:val="nil"/>
              <w:left w:val="single" w:color="auto" w:sz="4" w:space="0"/>
              <w:bottom w:val="single" w:color="auto" w:sz="4" w:space="0"/>
              <w:right w:val="single" w:color="auto" w:sz="4" w:space="0"/>
            </w:tcBorders>
            <w:vAlign w:val="center"/>
          </w:tcPr>
          <w:p w14:paraId="1C911325">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风险类型</w:t>
            </w:r>
          </w:p>
        </w:tc>
        <w:tc>
          <w:tcPr>
            <w:tcW w:w="3585" w:type="dxa"/>
            <w:tcBorders>
              <w:top w:val="nil"/>
              <w:left w:val="nil"/>
              <w:bottom w:val="single" w:color="auto" w:sz="4" w:space="0"/>
              <w:right w:val="single" w:color="auto" w:sz="4" w:space="0"/>
            </w:tcBorders>
            <w:vAlign w:val="center"/>
          </w:tcPr>
          <w:p w14:paraId="4FF1D1BA">
            <w:pPr>
              <w:keepNext w:val="0"/>
              <w:keepLines w:val="0"/>
              <w:pageBreakBefore w:val="0"/>
              <w:widowControl/>
              <w:kinsoku/>
              <w:wordWrap/>
              <w:overflowPunct/>
              <w:topLinePunct w:val="0"/>
              <w:autoSpaceDE/>
              <w:autoSpaceDN/>
              <w:bidi w:val="0"/>
              <w:adjustRightInd/>
              <w:snapToGrid/>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冒顶（片帮）、瓦斯、运输、物体打击、职业病危害</w:t>
            </w:r>
          </w:p>
        </w:tc>
        <w:tc>
          <w:tcPr>
            <w:tcW w:w="753" w:type="dxa"/>
            <w:tcBorders>
              <w:top w:val="nil"/>
              <w:left w:val="nil"/>
              <w:bottom w:val="single" w:color="auto" w:sz="4" w:space="0"/>
              <w:right w:val="single" w:color="auto" w:sz="4" w:space="0"/>
            </w:tcBorders>
            <w:vAlign w:val="center"/>
          </w:tcPr>
          <w:p w14:paraId="26698A98">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事故报告</w:t>
            </w:r>
          </w:p>
        </w:tc>
        <w:tc>
          <w:tcPr>
            <w:tcW w:w="3703" w:type="dxa"/>
            <w:tcBorders>
              <w:top w:val="nil"/>
              <w:left w:val="nil"/>
              <w:bottom w:val="single" w:color="auto" w:sz="4" w:space="0"/>
              <w:right w:val="single" w:color="auto" w:sz="4" w:space="0"/>
            </w:tcBorders>
            <w:vAlign w:val="center"/>
          </w:tcPr>
          <w:p w14:paraId="2EAAA330">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6E464FA7">
        <w:tblPrEx>
          <w:tblCellMar>
            <w:top w:w="0" w:type="dxa"/>
            <w:left w:w="108" w:type="dxa"/>
            <w:bottom w:w="0" w:type="dxa"/>
            <w:right w:w="108" w:type="dxa"/>
          </w:tblCellMar>
        </w:tblPrEx>
        <w:trPr>
          <w:trHeight w:val="415"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14:paraId="6BBB7B3E">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主要危害因素</w:t>
            </w:r>
          </w:p>
        </w:tc>
        <w:tc>
          <w:tcPr>
            <w:tcW w:w="4456" w:type="dxa"/>
            <w:gridSpan w:val="2"/>
            <w:tcBorders>
              <w:top w:val="single" w:color="auto" w:sz="4" w:space="0"/>
              <w:left w:val="nil"/>
              <w:bottom w:val="single" w:color="auto" w:sz="4" w:space="0"/>
              <w:right w:val="single" w:color="000000" w:sz="4" w:space="0"/>
            </w:tcBorders>
            <w:vAlign w:val="center"/>
          </w:tcPr>
          <w:p w14:paraId="490E7199">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管控措施</w:t>
            </w:r>
          </w:p>
        </w:tc>
      </w:tr>
      <w:tr w14:paraId="630F2938">
        <w:tblPrEx>
          <w:tblCellMar>
            <w:top w:w="0" w:type="dxa"/>
            <w:left w:w="108" w:type="dxa"/>
            <w:bottom w:w="0" w:type="dxa"/>
            <w:right w:w="108" w:type="dxa"/>
          </w:tblCellMar>
        </w:tblPrEx>
        <w:trPr>
          <w:trHeight w:val="1359"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14:paraId="4F8B9351">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1.未持证上岗；未佩戴个体防护；空顶作业；瓦斯超限作业。</w:t>
            </w:r>
          </w:p>
        </w:tc>
        <w:tc>
          <w:tcPr>
            <w:tcW w:w="4456" w:type="dxa"/>
            <w:gridSpan w:val="2"/>
            <w:tcBorders>
              <w:top w:val="single" w:color="auto" w:sz="4" w:space="0"/>
              <w:left w:val="nil"/>
              <w:bottom w:val="single" w:color="auto" w:sz="4" w:space="0"/>
              <w:right w:val="single" w:color="000000" w:sz="4" w:space="0"/>
            </w:tcBorders>
            <w:vAlign w:val="center"/>
          </w:tcPr>
          <w:p w14:paraId="7847567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1.经培训合格后，持证上岗；佩戴好安全帽、口罩、耳塞，执行好“三紧两不要；检查好顶帮支护情况，确保顶帮支护合格后方可上岗作业；瓦斯浓度达到1%时，立即停机处理。</w:t>
            </w:r>
          </w:p>
        </w:tc>
      </w:tr>
      <w:tr w14:paraId="17BE3215">
        <w:tblPrEx>
          <w:tblCellMar>
            <w:top w:w="0" w:type="dxa"/>
            <w:left w:w="108" w:type="dxa"/>
            <w:bottom w:w="0" w:type="dxa"/>
            <w:right w:w="108" w:type="dxa"/>
          </w:tblCellMar>
        </w:tblPrEx>
        <w:trPr>
          <w:trHeight w:val="757"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14:paraId="5E55A3B2">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2.开关、照明、信号或按钮不完好；固定不牢固。</w:t>
            </w:r>
          </w:p>
        </w:tc>
        <w:tc>
          <w:tcPr>
            <w:tcW w:w="4456" w:type="dxa"/>
            <w:gridSpan w:val="2"/>
            <w:tcBorders>
              <w:top w:val="single" w:color="auto" w:sz="4" w:space="0"/>
              <w:left w:val="nil"/>
              <w:bottom w:val="single" w:color="auto" w:sz="4" w:space="0"/>
              <w:right w:val="single" w:color="000000" w:sz="4" w:space="0"/>
            </w:tcBorders>
            <w:vAlign w:val="center"/>
          </w:tcPr>
          <w:p w14:paraId="7553BA40">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2.开机前必须检查好开关、照明、信号、按钮；各部件完好，固定牢固。</w:t>
            </w:r>
          </w:p>
        </w:tc>
      </w:tr>
      <w:tr w14:paraId="6E2A1AED">
        <w:tblPrEx>
          <w:tblCellMar>
            <w:top w:w="0" w:type="dxa"/>
            <w:left w:w="108" w:type="dxa"/>
            <w:bottom w:w="0" w:type="dxa"/>
            <w:right w:w="108" w:type="dxa"/>
          </w:tblCellMar>
        </w:tblPrEx>
        <w:trPr>
          <w:trHeight w:val="1344"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14:paraId="596FF167">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3.靠近运转部位，造成人身伤害；开机前未检查附近是否有人；安全防护措施失效。</w:t>
            </w:r>
          </w:p>
        </w:tc>
        <w:tc>
          <w:tcPr>
            <w:tcW w:w="4456" w:type="dxa"/>
            <w:gridSpan w:val="2"/>
            <w:tcBorders>
              <w:top w:val="single" w:color="auto" w:sz="4" w:space="0"/>
              <w:left w:val="nil"/>
              <w:bottom w:val="single" w:color="auto" w:sz="4" w:space="0"/>
              <w:right w:val="single" w:color="000000" w:sz="4" w:space="0"/>
            </w:tcBorders>
            <w:vAlign w:val="center"/>
          </w:tcPr>
          <w:p w14:paraId="01605B4B">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3.运行前确认运转部位附近无人；包机人定期对设备保护进行检查，发现失效及时处理；每班由维修工检查一遍架空乘人装置情况，发现问题及时处理。</w:t>
            </w:r>
          </w:p>
        </w:tc>
      </w:tr>
      <w:tr w14:paraId="4346E796">
        <w:tblPrEx>
          <w:tblCellMar>
            <w:top w:w="0" w:type="dxa"/>
            <w:left w:w="108" w:type="dxa"/>
            <w:bottom w:w="0" w:type="dxa"/>
            <w:right w:w="108" w:type="dxa"/>
          </w:tblCellMar>
        </w:tblPrEx>
        <w:trPr>
          <w:trHeight w:val="793"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14:paraId="3B5E40DF">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.信号器不完好，信号不清，无法发出警示；未停电闭锁。</w:t>
            </w:r>
          </w:p>
        </w:tc>
        <w:tc>
          <w:tcPr>
            <w:tcW w:w="4456" w:type="dxa"/>
            <w:gridSpan w:val="2"/>
            <w:tcBorders>
              <w:top w:val="single" w:color="auto" w:sz="4" w:space="0"/>
              <w:left w:val="nil"/>
              <w:bottom w:val="single" w:color="auto" w:sz="4" w:space="0"/>
              <w:right w:val="single" w:color="000000" w:sz="4" w:space="0"/>
            </w:tcBorders>
            <w:vAlign w:val="center"/>
          </w:tcPr>
          <w:p w14:paraId="3825A5CF">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5.开机前检查急停完好情况；停机后立即停电闭锁。</w:t>
            </w:r>
          </w:p>
        </w:tc>
      </w:tr>
      <w:tr w14:paraId="5805DF2C">
        <w:tblPrEx>
          <w:tblCellMar>
            <w:top w:w="0" w:type="dxa"/>
            <w:left w:w="108" w:type="dxa"/>
            <w:bottom w:w="0" w:type="dxa"/>
            <w:right w:w="108" w:type="dxa"/>
          </w:tblCellMar>
        </w:tblPrEx>
        <w:trPr>
          <w:trHeight w:val="1142" w:hRule="atLeast"/>
          <w:jc w:val="center"/>
        </w:trPr>
        <w:tc>
          <w:tcPr>
            <w:tcW w:w="822" w:type="dxa"/>
            <w:tcBorders>
              <w:top w:val="nil"/>
              <w:left w:val="single" w:color="auto" w:sz="4" w:space="0"/>
              <w:bottom w:val="single" w:color="auto" w:sz="4" w:space="0"/>
              <w:right w:val="single" w:color="auto" w:sz="4" w:space="0"/>
            </w:tcBorders>
            <w:vAlign w:val="center"/>
          </w:tcPr>
          <w:p w14:paraId="3A94209B">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74A72BB8">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041" w:type="dxa"/>
            <w:gridSpan w:val="3"/>
            <w:tcBorders>
              <w:top w:val="single" w:color="auto" w:sz="4" w:space="0"/>
              <w:left w:val="nil"/>
              <w:bottom w:val="single" w:color="auto" w:sz="4" w:space="0"/>
              <w:right w:val="single" w:color="000000" w:sz="4" w:space="0"/>
            </w:tcBorders>
            <w:vAlign w:val="center"/>
          </w:tcPr>
          <w:p w14:paraId="7A49A5B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1E16CEB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7F92C901">
        <w:tblPrEx>
          <w:tblCellMar>
            <w:top w:w="0" w:type="dxa"/>
            <w:left w:w="108" w:type="dxa"/>
            <w:bottom w:w="0" w:type="dxa"/>
            <w:right w:w="108" w:type="dxa"/>
          </w:tblCellMar>
        </w:tblPrEx>
        <w:trPr>
          <w:trHeight w:val="1772" w:hRule="atLeast"/>
          <w:jc w:val="center"/>
        </w:trPr>
        <w:tc>
          <w:tcPr>
            <w:tcW w:w="822" w:type="dxa"/>
            <w:tcBorders>
              <w:top w:val="nil"/>
              <w:left w:val="single" w:color="auto" w:sz="4" w:space="0"/>
              <w:bottom w:val="single" w:color="auto" w:sz="4" w:space="0"/>
              <w:right w:val="single" w:color="auto" w:sz="4" w:space="0"/>
            </w:tcBorders>
            <w:vAlign w:val="center"/>
          </w:tcPr>
          <w:p w14:paraId="6F708D29">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应急处置措施</w:t>
            </w:r>
          </w:p>
        </w:tc>
        <w:tc>
          <w:tcPr>
            <w:tcW w:w="8041" w:type="dxa"/>
            <w:gridSpan w:val="3"/>
            <w:tcBorders>
              <w:top w:val="single" w:color="auto" w:sz="4" w:space="0"/>
              <w:left w:val="nil"/>
              <w:bottom w:val="single" w:color="auto" w:sz="4" w:space="0"/>
              <w:right w:val="single" w:color="000000" w:sz="4" w:space="0"/>
            </w:tcBorders>
            <w:vAlign w:val="center"/>
          </w:tcPr>
          <w:p w14:paraId="5C341B85">
            <w:pPr>
              <w:keepNext w:val="0"/>
              <w:keepLines w:val="0"/>
              <w:pageBreakBefore w:val="0"/>
              <w:widowControl/>
              <w:numPr>
                <w:ilvl w:val="0"/>
                <w:numId w:val="0"/>
              </w:numPr>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出现紧急情况时，立即停机闭锁，找出故障点并将故障排除检查完毕方可开</w:t>
            </w:r>
          </w:p>
          <w:p w14:paraId="27FC7EBB">
            <w:pPr>
              <w:keepNext w:val="0"/>
              <w:keepLines w:val="0"/>
              <w:pageBreakBefore w:val="0"/>
              <w:widowControl/>
              <w:numPr>
                <w:ilvl w:val="0"/>
                <w:numId w:val="0"/>
              </w:numPr>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08C56143">
      <w:pPr>
        <w:keepNext w:val="0"/>
        <w:keepLines w:val="0"/>
        <w:pageBreakBefore w:val="0"/>
        <w:kinsoku/>
        <w:wordWrap/>
        <w:overflowPunct/>
        <w:topLinePunct w:val="0"/>
        <w:autoSpaceDE/>
        <w:autoSpaceDN/>
        <w:bidi w:val="0"/>
        <w:adjustRightInd/>
        <w:snapToGrid/>
        <w:ind w:right="571" w:rightChars="272"/>
        <w:jc w:val="center"/>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架空乘人装置司机安全提示卡</w:t>
      </w:r>
    </w:p>
    <w:tbl>
      <w:tblPr>
        <w:tblStyle w:val="12"/>
        <w:tblpPr w:leftFromText="180" w:rightFromText="180" w:vertAnchor="text" w:horzAnchor="margin" w:tblpXSpec="center" w:tblpY="202"/>
        <w:tblW w:w="88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37"/>
        <w:gridCol w:w="4443"/>
      </w:tblGrid>
      <w:tr w14:paraId="2C831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14:paraId="4E6C5E09">
            <w:pPr>
              <w:keepNext w:val="0"/>
              <w:keepLines w:val="0"/>
              <w:pageBreakBefore w:val="0"/>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1"/>
                <w:szCs w:val="21"/>
              </w:rPr>
              <w:t>开机前检查</w:t>
            </w:r>
          </w:p>
        </w:tc>
        <w:tc>
          <w:tcPr>
            <w:tcW w:w="4443" w:type="dxa"/>
            <w:vAlign w:val="center"/>
          </w:tcPr>
          <w:p w14:paraId="0E204AC4">
            <w:pPr>
              <w:keepNext w:val="0"/>
              <w:keepLines w:val="0"/>
              <w:pageBreakBefore w:val="0"/>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1"/>
                <w:szCs w:val="21"/>
              </w:rPr>
              <w:t>停机后确认</w:t>
            </w:r>
          </w:p>
        </w:tc>
      </w:tr>
      <w:tr w14:paraId="543343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14:paraId="10F880CB">
            <w:pPr>
              <w:keepNext w:val="0"/>
              <w:keepLines w:val="0"/>
              <w:pageBreakBefore w:val="0"/>
              <w:kinsoku/>
              <w:wordWrap/>
              <w:overflowPunct/>
              <w:topLinePunct w:val="0"/>
              <w:autoSpaceDE/>
              <w:autoSpaceDN/>
              <w:bidi w:val="0"/>
              <w:adjustRightInd/>
              <w:snapToGrid/>
              <w:ind w:firstLine="205" w:firstLineChars="98"/>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4443" w:type="dxa"/>
            <w:vAlign w:val="center"/>
          </w:tcPr>
          <w:p w14:paraId="49D43785">
            <w:pPr>
              <w:keepNext w:val="0"/>
              <w:keepLines w:val="0"/>
              <w:pageBreakBefore w:val="0"/>
              <w:kinsoku/>
              <w:wordWrap/>
              <w:overflowPunct/>
              <w:topLinePunct w:val="0"/>
              <w:autoSpaceDE/>
              <w:autoSpaceDN/>
              <w:bidi w:val="0"/>
              <w:adjustRightInd/>
              <w:snapToGrid/>
              <w:ind w:firstLine="210" w:firstLineChars="100"/>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1.操作台</w:t>
            </w:r>
          </w:p>
        </w:tc>
      </w:tr>
      <w:tr w14:paraId="06849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14:paraId="7FDBD932">
            <w:pPr>
              <w:keepNext w:val="0"/>
              <w:keepLines w:val="0"/>
              <w:pageBreakBefore w:val="0"/>
              <w:kinsoku/>
              <w:wordWrap/>
              <w:overflowPunct/>
              <w:topLinePunct w:val="0"/>
              <w:autoSpaceDE/>
              <w:autoSpaceDN/>
              <w:bidi w:val="0"/>
              <w:adjustRightInd/>
              <w:snapToGrid/>
              <w:ind w:firstLine="210" w:firstLineChars="100"/>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2.电话、信号、照明、语音箱</w:t>
            </w:r>
          </w:p>
        </w:tc>
        <w:tc>
          <w:tcPr>
            <w:tcW w:w="4443" w:type="dxa"/>
            <w:vAlign w:val="center"/>
          </w:tcPr>
          <w:p w14:paraId="3A81B452">
            <w:pPr>
              <w:keepNext w:val="0"/>
              <w:keepLines w:val="0"/>
              <w:pageBreakBefore w:val="0"/>
              <w:kinsoku/>
              <w:wordWrap/>
              <w:overflowPunct/>
              <w:topLinePunct w:val="0"/>
              <w:autoSpaceDE/>
              <w:autoSpaceDN/>
              <w:bidi w:val="0"/>
              <w:adjustRightInd/>
              <w:snapToGrid/>
              <w:ind w:firstLine="210" w:firstLineChars="100"/>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2.安全闸</w:t>
            </w:r>
          </w:p>
        </w:tc>
      </w:tr>
      <w:tr w14:paraId="694264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14:paraId="2C01898A">
            <w:pPr>
              <w:keepNext w:val="0"/>
              <w:keepLines w:val="0"/>
              <w:pageBreakBefore w:val="0"/>
              <w:kinsoku/>
              <w:wordWrap/>
              <w:overflowPunct/>
              <w:topLinePunct w:val="0"/>
              <w:autoSpaceDE/>
              <w:autoSpaceDN/>
              <w:bidi w:val="0"/>
              <w:adjustRightInd/>
              <w:snapToGrid/>
              <w:ind w:firstLine="205" w:firstLineChars="98"/>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3.消防器材</w:t>
            </w:r>
          </w:p>
        </w:tc>
        <w:tc>
          <w:tcPr>
            <w:tcW w:w="4443" w:type="dxa"/>
            <w:vAlign w:val="center"/>
          </w:tcPr>
          <w:p w14:paraId="214D890E">
            <w:pPr>
              <w:keepNext w:val="0"/>
              <w:keepLines w:val="0"/>
              <w:pageBreakBefore w:val="0"/>
              <w:kinsoku/>
              <w:wordWrap/>
              <w:overflowPunct/>
              <w:topLinePunct w:val="0"/>
              <w:autoSpaceDE/>
              <w:autoSpaceDN/>
              <w:bidi w:val="0"/>
              <w:adjustRightInd/>
              <w:snapToGrid/>
              <w:ind w:firstLine="205" w:firstLineChars="98"/>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3.工作闸</w:t>
            </w:r>
          </w:p>
        </w:tc>
      </w:tr>
      <w:tr w14:paraId="26739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14:paraId="45FAB442">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★4.人员、障碍物</w:t>
            </w:r>
          </w:p>
        </w:tc>
        <w:tc>
          <w:tcPr>
            <w:tcW w:w="4443" w:type="dxa"/>
            <w:vAlign w:val="center"/>
          </w:tcPr>
          <w:p w14:paraId="54B34372">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★4.停电闭锁</w:t>
            </w:r>
          </w:p>
        </w:tc>
      </w:tr>
      <w:tr w14:paraId="31E354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3" w:hRule="atLeast"/>
        </w:trPr>
        <w:tc>
          <w:tcPr>
            <w:tcW w:w="8880" w:type="dxa"/>
            <w:gridSpan w:val="2"/>
            <w:vAlign w:val="center"/>
          </w:tcPr>
          <w:p w14:paraId="771F9062">
            <w:pPr>
              <w:keepNext w:val="0"/>
              <w:keepLines w:val="0"/>
              <w:pageBreakBefore w:val="0"/>
              <w:kinsoku/>
              <w:wordWrap/>
              <w:overflowPunct/>
              <w:topLinePunct w:val="0"/>
              <w:autoSpaceDE/>
              <w:autoSpaceDN/>
              <w:bidi w:val="0"/>
              <w:adjustRightInd/>
              <w:snapToGrid/>
              <w:ind w:firstLine="411" w:firstLineChars="196"/>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注：第一次按开机前检查内容逐项检查并确认，存在问题整改后再确认；中间再次开机只检查带“★”部分；运送任务全部结束后按停机后确认内容逐项检查并确认。</w:t>
            </w:r>
          </w:p>
        </w:tc>
      </w:tr>
    </w:tbl>
    <w:p w14:paraId="065E730D">
      <w:pPr>
        <w:keepNext w:val="0"/>
        <w:keepLines w:val="0"/>
        <w:pageBreakBefore w:val="0"/>
        <w:kinsoku/>
        <w:wordWrap/>
        <w:overflowPunct/>
        <w:topLinePunct w:val="0"/>
        <w:autoSpaceDE/>
        <w:autoSpaceDN/>
        <w:bidi w:val="0"/>
        <w:adjustRightInd/>
        <w:snapToGrid/>
        <w:jc w:val="center"/>
        <w:textAlignment w:val="auto"/>
        <w:outlineLvl w:val="9"/>
        <w:rPr>
          <w:rFonts w:hint="eastAsia" w:ascii="仿宋" w:hAnsi="仿宋" w:eastAsia="仿宋" w:cs="仿宋"/>
          <w:color w:val="auto"/>
          <w:sz w:val="24"/>
        </w:rPr>
      </w:pPr>
      <w:r>
        <w:rPr>
          <w:rFonts w:hint="eastAsia" w:ascii="仿宋" w:hAnsi="仿宋" w:eastAsia="仿宋" w:cs="仿宋"/>
          <w:color w:val="auto"/>
          <w:sz w:val="24"/>
        </w:rPr>
        <w:t>架空乘人装置单元检查表</w:t>
      </w:r>
    </w:p>
    <w:tbl>
      <w:tblPr>
        <w:tblStyle w:val="12"/>
        <w:tblpPr w:leftFromText="180" w:rightFromText="180" w:vertAnchor="text" w:horzAnchor="margin" w:tblpXSpec="center" w:tblpY="202"/>
        <w:tblW w:w="88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16"/>
      </w:tblGrid>
      <w:tr w14:paraId="7A7F0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14:paraId="1DA37D79">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1.记录</w:t>
            </w:r>
          </w:p>
        </w:tc>
      </w:tr>
      <w:tr w14:paraId="70EFA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14:paraId="1BA9F56F">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2.操作台</w:t>
            </w:r>
          </w:p>
        </w:tc>
      </w:tr>
      <w:tr w14:paraId="618B8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14:paraId="61E01B62">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3.急停保护、越位保护、到站报警</w:t>
            </w:r>
          </w:p>
        </w:tc>
      </w:tr>
      <w:tr w14:paraId="5331A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14:paraId="0DC87869">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4.吊椅、钢丝绳、托压轮、基础钢架结构</w:t>
            </w:r>
          </w:p>
        </w:tc>
      </w:tr>
      <w:tr w14:paraId="308B0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14:paraId="6FD6100F">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5.掉绳保护、断轴保护、速度保护</w:t>
            </w:r>
          </w:p>
        </w:tc>
      </w:tr>
      <w:tr w14:paraId="26A0F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14:paraId="2CE8F013">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6.安全闸、驱动轮</w:t>
            </w:r>
          </w:p>
        </w:tc>
      </w:tr>
      <w:tr w14:paraId="7DD0E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14:paraId="79B9B87C">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7.减速机、工作闸、电机</w:t>
            </w:r>
          </w:p>
        </w:tc>
      </w:tr>
      <w:tr w14:paraId="305F8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14:paraId="7FC1060E">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8.液压站</w:t>
            </w:r>
          </w:p>
        </w:tc>
      </w:tr>
      <w:tr w14:paraId="7D561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exact"/>
        </w:trPr>
        <w:tc>
          <w:tcPr>
            <w:tcW w:w="8816" w:type="dxa"/>
            <w:vAlign w:val="center"/>
          </w:tcPr>
          <w:p w14:paraId="4DEEA40C">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接班后检查一次，单元检查表检查前，先进行停电闭锁确认。</w:t>
            </w:r>
          </w:p>
        </w:tc>
      </w:tr>
    </w:tbl>
    <w:p w14:paraId="32B137EC">
      <w:pPr>
        <w:keepNext w:val="0"/>
        <w:keepLines w:val="0"/>
        <w:pageBreakBefore w:val="0"/>
        <w:kinsoku/>
        <w:wordWrap/>
        <w:overflowPunct/>
        <w:topLinePunct w:val="0"/>
        <w:autoSpaceDE/>
        <w:autoSpaceDN/>
        <w:bidi w:val="0"/>
        <w:adjustRightInd/>
        <w:snapToGrid/>
        <w:spacing w:line="380" w:lineRule="exact"/>
        <w:ind w:firstLine="371" w:firstLineChars="177"/>
        <w:textAlignment w:val="auto"/>
        <w:outlineLvl w:val="9"/>
        <w:rPr>
          <w:rFonts w:hint="eastAsia" w:ascii="仿宋" w:hAnsi="仿宋" w:eastAsia="仿宋" w:cs="仿宋"/>
          <w:color w:val="auto"/>
          <w:sz w:val="21"/>
          <w:szCs w:val="21"/>
        </w:rPr>
      </w:pPr>
    </w:p>
    <w:tbl>
      <w:tblPr>
        <w:tblStyle w:val="12"/>
        <w:tblW w:w="8800" w:type="dxa"/>
        <w:tblInd w:w="-119" w:type="dxa"/>
        <w:tblLayout w:type="fixed"/>
        <w:tblCellMar>
          <w:top w:w="0" w:type="dxa"/>
          <w:left w:w="108" w:type="dxa"/>
          <w:bottom w:w="0" w:type="dxa"/>
          <w:right w:w="108" w:type="dxa"/>
        </w:tblCellMar>
      </w:tblPr>
      <w:tblGrid>
        <w:gridCol w:w="751"/>
        <w:gridCol w:w="1037"/>
        <w:gridCol w:w="7012"/>
      </w:tblGrid>
      <w:tr w14:paraId="369DE7AA">
        <w:tblPrEx>
          <w:tblCellMar>
            <w:top w:w="0" w:type="dxa"/>
            <w:left w:w="108" w:type="dxa"/>
            <w:bottom w:w="0" w:type="dxa"/>
            <w:right w:w="108" w:type="dxa"/>
          </w:tblCellMar>
        </w:tblPrEx>
        <w:trPr>
          <w:trHeight w:val="466" w:hRule="atLeast"/>
        </w:trPr>
        <w:tc>
          <w:tcPr>
            <w:tcW w:w="8800" w:type="dxa"/>
            <w:gridSpan w:val="3"/>
            <w:tcBorders>
              <w:top w:val="single" w:color="auto" w:sz="4" w:space="0"/>
              <w:left w:val="single" w:color="auto" w:sz="4" w:space="0"/>
              <w:bottom w:val="single" w:color="auto" w:sz="4" w:space="0"/>
              <w:right w:val="single" w:color="auto" w:sz="4" w:space="0"/>
            </w:tcBorders>
            <w:vAlign w:val="center"/>
          </w:tcPr>
          <w:p w14:paraId="4649AB9D">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rPr>
              <w:t>架空乘人装置司机操作过程注意事项</w:t>
            </w:r>
          </w:p>
        </w:tc>
      </w:tr>
      <w:tr w14:paraId="720CA327">
        <w:tblPrEx>
          <w:tblCellMar>
            <w:top w:w="0" w:type="dxa"/>
            <w:left w:w="108" w:type="dxa"/>
            <w:bottom w:w="0" w:type="dxa"/>
            <w:right w:w="108" w:type="dxa"/>
          </w:tblCellMar>
        </w:tblPrEx>
        <w:trPr>
          <w:trHeight w:val="466" w:hRule="atLeast"/>
        </w:trPr>
        <w:tc>
          <w:tcPr>
            <w:tcW w:w="751" w:type="dxa"/>
            <w:tcBorders>
              <w:top w:val="nil"/>
              <w:left w:val="single" w:color="auto" w:sz="4" w:space="0"/>
              <w:bottom w:val="single" w:color="auto" w:sz="4" w:space="0"/>
              <w:right w:val="single" w:color="auto" w:sz="4" w:space="0"/>
            </w:tcBorders>
            <w:vAlign w:val="center"/>
          </w:tcPr>
          <w:p w14:paraId="051DAB70">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序号</w:t>
            </w:r>
          </w:p>
        </w:tc>
        <w:tc>
          <w:tcPr>
            <w:tcW w:w="1037" w:type="dxa"/>
            <w:tcBorders>
              <w:top w:val="nil"/>
              <w:left w:val="nil"/>
              <w:bottom w:val="single" w:color="auto" w:sz="4" w:space="0"/>
              <w:right w:val="single" w:color="auto" w:sz="4" w:space="0"/>
            </w:tcBorders>
            <w:vAlign w:val="center"/>
          </w:tcPr>
          <w:p w14:paraId="120A56DE">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提示词</w:t>
            </w:r>
          </w:p>
        </w:tc>
        <w:tc>
          <w:tcPr>
            <w:tcW w:w="7012" w:type="dxa"/>
            <w:tcBorders>
              <w:top w:val="nil"/>
              <w:left w:val="nil"/>
              <w:bottom w:val="single" w:color="auto" w:sz="4" w:space="0"/>
              <w:right w:val="single" w:color="auto" w:sz="4" w:space="0"/>
            </w:tcBorders>
            <w:vAlign w:val="center"/>
          </w:tcPr>
          <w:p w14:paraId="1C78CAF5">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主要内容</w:t>
            </w:r>
          </w:p>
        </w:tc>
      </w:tr>
      <w:tr w14:paraId="19958B18">
        <w:tblPrEx>
          <w:tblCellMar>
            <w:top w:w="0" w:type="dxa"/>
            <w:left w:w="108" w:type="dxa"/>
            <w:bottom w:w="0" w:type="dxa"/>
            <w:right w:w="108" w:type="dxa"/>
          </w:tblCellMar>
        </w:tblPrEx>
        <w:trPr>
          <w:trHeight w:val="466" w:hRule="atLeast"/>
        </w:trPr>
        <w:tc>
          <w:tcPr>
            <w:tcW w:w="751" w:type="dxa"/>
            <w:vMerge w:val="restart"/>
            <w:tcBorders>
              <w:top w:val="nil"/>
              <w:left w:val="single" w:color="auto" w:sz="4" w:space="0"/>
              <w:bottom w:val="single" w:color="000000" w:sz="4" w:space="0"/>
              <w:right w:val="single" w:color="auto" w:sz="4" w:space="0"/>
            </w:tcBorders>
            <w:vAlign w:val="center"/>
          </w:tcPr>
          <w:p w14:paraId="3B487071">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037" w:type="dxa"/>
            <w:tcBorders>
              <w:top w:val="nil"/>
              <w:left w:val="nil"/>
              <w:bottom w:val="single" w:color="auto" w:sz="4" w:space="0"/>
              <w:right w:val="single" w:color="auto" w:sz="4" w:space="0"/>
            </w:tcBorders>
            <w:vAlign w:val="center"/>
          </w:tcPr>
          <w:p w14:paraId="0A42612B">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看显示</w:t>
            </w:r>
          </w:p>
        </w:tc>
        <w:tc>
          <w:tcPr>
            <w:tcW w:w="7012" w:type="dxa"/>
            <w:tcBorders>
              <w:top w:val="nil"/>
              <w:left w:val="nil"/>
              <w:bottom w:val="single" w:color="auto" w:sz="4" w:space="0"/>
              <w:right w:val="single" w:color="auto" w:sz="4" w:space="0"/>
            </w:tcBorders>
            <w:vAlign w:val="center"/>
          </w:tcPr>
          <w:p w14:paraId="002ADB27">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注意观察速度、信号、保护显示，出现异常立即停机。</w:t>
            </w:r>
          </w:p>
        </w:tc>
      </w:tr>
      <w:tr w14:paraId="1A06B6BE">
        <w:tblPrEx>
          <w:tblCellMar>
            <w:top w:w="0" w:type="dxa"/>
            <w:left w:w="108" w:type="dxa"/>
            <w:bottom w:w="0" w:type="dxa"/>
            <w:right w:w="108" w:type="dxa"/>
          </w:tblCellMar>
        </w:tblPrEx>
        <w:trPr>
          <w:trHeight w:val="804" w:hRule="atLeast"/>
        </w:trPr>
        <w:tc>
          <w:tcPr>
            <w:tcW w:w="751" w:type="dxa"/>
            <w:vMerge w:val="continue"/>
            <w:tcBorders>
              <w:top w:val="nil"/>
              <w:left w:val="single" w:color="auto" w:sz="4" w:space="0"/>
              <w:bottom w:val="single" w:color="000000" w:sz="4" w:space="0"/>
              <w:right w:val="single" w:color="auto" w:sz="4" w:space="0"/>
            </w:tcBorders>
            <w:vAlign w:val="center"/>
          </w:tcPr>
          <w:p w14:paraId="45DCE39D">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p>
        </w:tc>
        <w:tc>
          <w:tcPr>
            <w:tcW w:w="1037" w:type="dxa"/>
            <w:tcBorders>
              <w:top w:val="nil"/>
              <w:left w:val="nil"/>
              <w:bottom w:val="single" w:color="auto" w:sz="4" w:space="0"/>
              <w:right w:val="single" w:color="auto" w:sz="4" w:space="0"/>
            </w:tcBorders>
            <w:vAlign w:val="center"/>
          </w:tcPr>
          <w:p w14:paraId="562C6E60">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看设备</w:t>
            </w:r>
          </w:p>
        </w:tc>
        <w:tc>
          <w:tcPr>
            <w:tcW w:w="7012" w:type="dxa"/>
            <w:tcBorders>
              <w:top w:val="nil"/>
              <w:left w:val="nil"/>
              <w:bottom w:val="single" w:color="auto" w:sz="4" w:space="0"/>
              <w:right w:val="single" w:color="auto" w:sz="4" w:space="0"/>
            </w:tcBorders>
            <w:vAlign w:val="center"/>
          </w:tcPr>
          <w:p w14:paraId="5B6BE5EE">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随时观察驱动装置、制动装置、吊椅、绳轮钢丝绳有无异常，出现异常立即停机。</w:t>
            </w:r>
          </w:p>
        </w:tc>
      </w:tr>
      <w:tr w14:paraId="54D9A60B">
        <w:tblPrEx>
          <w:tblCellMar>
            <w:top w:w="0" w:type="dxa"/>
            <w:left w:w="108" w:type="dxa"/>
            <w:bottom w:w="0" w:type="dxa"/>
            <w:right w:w="108" w:type="dxa"/>
          </w:tblCellMar>
        </w:tblPrEx>
        <w:trPr>
          <w:trHeight w:val="466" w:hRule="atLeast"/>
        </w:trPr>
        <w:tc>
          <w:tcPr>
            <w:tcW w:w="751" w:type="dxa"/>
            <w:vMerge w:val="restart"/>
            <w:tcBorders>
              <w:top w:val="nil"/>
              <w:left w:val="single" w:color="auto" w:sz="4" w:space="0"/>
              <w:bottom w:val="single" w:color="000000" w:sz="4" w:space="0"/>
              <w:right w:val="single" w:color="auto" w:sz="4" w:space="0"/>
            </w:tcBorders>
            <w:vAlign w:val="center"/>
          </w:tcPr>
          <w:p w14:paraId="55EFCB16">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037" w:type="dxa"/>
            <w:tcBorders>
              <w:top w:val="nil"/>
              <w:left w:val="nil"/>
              <w:bottom w:val="single" w:color="auto" w:sz="4" w:space="0"/>
              <w:right w:val="single" w:color="auto" w:sz="4" w:space="0"/>
            </w:tcBorders>
            <w:vAlign w:val="center"/>
          </w:tcPr>
          <w:p w14:paraId="2482F69B">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7012" w:type="dxa"/>
            <w:tcBorders>
              <w:top w:val="nil"/>
              <w:left w:val="nil"/>
              <w:bottom w:val="single" w:color="auto" w:sz="4" w:space="0"/>
              <w:right w:val="single" w:color="auto" w:sz="4" w:space="0"/>
            </w:tcBorders>
            <w:vAlign w:val="center"/>
          </w:tcPr>
          <w:p w14:paraId="0417AFCD">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听到紧急停机信号、不明信号、人员喊话立即停机。</w:t>
            </w:r>
          </w:p>
        </w:tc>
      </w:tr>
      <w:tr w14:paraId="5874E210">
        <w:tblPrEx>
          <w:tblCellMar>
            <w:top w:w="0" w:type="dxa"/>
            <w:left w:w="108" w:type="dxa"/>
            <w:bottom w:w="0" w:type="dxa"/>
            <w:right w:w="108" w:type="dxa"/>
          </w:tblCellMar>
        </w:tblPrEx>
        <w:trPr>
          <w:trHeight w:val="466" w:hRule="atLeast"/>
        </w:trPr>
        <w:tc>
          <w:tcPr>
            <w:tcW w:w="751" w:type="dxa"/>
            <w:vMerge w:val="continue"/>
            <w:tcBorders>
              <w:top w:val="nil"/>
              <w:left w:val="single" w:color="auto" w:sz="4" w:space="0"/>
              <w:bottom w:val="single" w:color="000000" w:sz="4" w:space="0"/>
              <w:right w:val="single" w:color="auto" w:sz="4" w:space="0"/>
            </w:tcBorders>
            <w:vAlign w:val="center"/>
          </w:tcPr>
          <w:p w14:paraId="1A39D69B">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p>
        </w:tc>
        <w:tc>
          <w:tcPr>
            <w:tcW w:w="1037" w:type="dxa"/>
            <w:tcBorders>
              <w:top w:val="nil"/>
              <w:left w:val="nil"/>
              <w:bottom w:val="single" w:color="auto" w:sz="4" w:space="0"/>
              <w:right w:val="single" w:color="auto" w:sz="4" w:space="0"/>
            </w:tcBorders>
            <w:vAlign w:val="center"/>
          </w:tcPr>
          <w:p w14:paraId="2A61FCF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7012" w:type="dxa"/>
            <w:tcBorders>
              <w:top w:val="nil"/>
              <w:left w:val="nil"/>
              <w:bottom w:val="single" w:color="auto" w:sz="4" w:space="0"/>
              <w:right w:val="single" w:color="auto" w:sz="4" w:space="0"/>
            </w:tcBorders>
            <w:vAlign w:val="center"/>
          </w:tcPr>
          <w:p w14:paraId="0A4028D2">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出现严重异响或非正常震动立即停机。</w:t>
            </w:r>
          </w:p>
        </w:tc>
      </w:tr>
      <w:tr w14:paraId="6D46F175">
        <w:tblPrEx>
          <w:tblCellMar>
            <w:top w:w="0" w:type="dxa"/>
            <w:left w:w="108" w:type="dxa"/>
            <w:bottom w:w="0" w:type="dxa"/>
            <w:right w:w="108" w:type="dxa"/>
          </w:tblCellMar>
        </w:tblPrEx>
        <w:trPr>
          <w:trHeight w:val="466" w:hRule="atLeast"/>
        </w:trPr>
        <w:tc>
          <w:tcPr>
            <w:tcW w:w="751" w:type="dxa"/>
            <w:tcBorders>
              <w:top w:val="nil"/>
              <w:left w:val="single" w:color="auto" w:sz="4" w:space="0"/>
              <w:bottom w:val="single" w:color="auto" w:sz="4" w:space="0"/>
              <w:right w:val="single" w:color="auto" w:sz="4" w:space="0"/>
            </w:tcBorders>
            <w:vAlign w:val="center"/>
          </w:tcPr>
          <w:p w14:paraId="190DCFC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037" w:type="dxa"/>
            <w:tcBorders>
              <w:top w:val="nil"/>
              <w:left w:val="nil"/>
              <w:bottom w:val="single" w:color="auto" w:sz="4" w:space="0"/>
              <w:right w:val="single" w:color="auto" w:sz="4" w:space="0"/>
            </w:tcBorders>
            <w:vAlign w:val="center"/>
          </w:tcPr>
          <w:p w14:paraId="7B816659">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7012" w:type="dxa"/>
            <w:tcBorders>
              <w:top w:val="nil"/>
              <w:left w:val="nil"/>
              <w:bottom w:val="single" w:color="auto" w:sz="4" w:space="0"/>
              <w:right w:val="single" w:color="auto" w:sz="4" w:space="0"/>
            </w:tcBorders>
            <w:vAlign w:val="center"/>
          </w:tcPr>
          <w:p w14:paraId="485D93FB">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闻到异常气味立即停机。</w:t>
            </w:r>
          </w:p>
        </w:tc>
      </w:tr>
      <w:tr w14:paraId="06246CC3">
        <w:tblPrEx>
          <w:tblCellMar>
            <w:top w:w="0" w:type="dxa"/>
            <w:left w:w="108" w:type="dxa"/>
            <w:bottom w:w="0" w:type="dxa"/>
            <w:right w:w="108" w:type="dxa"/>
          </w:tblCellMar>
        </w:tblPrEx>
        <w:trPr>
          <w:trHeight w:val="804" w:hRule="atLeast"/>
        </w:trPr>
        <w:tc>
          <w:tcPr>
            <w:tcW w:w="751" w:type="dxa"/>
            <w:tcBorders>
              <w:top w:val="nil"/>
              <w:left w:val="single" w:color="auto" w:sz="4" w:space="0"/>
              <w:bottom w:val="single" w:color="auto" w:sz="4" w:space="0"/>
              <w:right w:val="single" w:color="auto" w:sz="4" w:space="0"/>
            </w:tcBorders>
            <w:vAlign w:val="center"/>
          </w:tcPr>
          <w:p w14:paraId="1E39BBEA">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037" w:type="dxa"/>
            <w:tcBorders>
              <w:top w:val="nil"/>
              <w:left w:val="nil"/>
              <w:bottom w:val="single" w:color="auto" w:sz="4" w:space="0"/>
              <w:right w:val="single" w:color="auto" w:sz="4" w:space="0"/>
            </w:tcBorders>
            <w:vAlign w:val="center"/>
          </w:tcPr>
          <w:p w14:paraId="2DFAF895">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携带</w:t>
            </w:r>
          </w:p>
        </w:tc>
        <w:tc>
          <w:tcPr>
            <w:tcW w:w="7012" w:type="dxa"/>
            <w:tcBorders>
              <w:top w:val="nil"/>
              <w:left w:val="nil"/>
              <w:bottom w:val="single" w:color="auto" w:sz="4" w:space="0"/>
              <w:right w:val="single" w:color="auto" w:sz="4" w:space="0"/>
            </w:tcBorders>
            <w:vAlign w:val="center"/>
          </w:tcPr>
          <w:p w14:paraId="3A6A90AC">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严禁携带超长（＞1.2m）、超重（＞20kg）的物品乘车；携带易燃、易爆危险品的人员必须单独运送。</w:t>
            </w:r>
          </w:p>
        </w:tc>
      </w:tr>
      <w:tr w14:paraId="5D2A43A0">
        <w:tblPrEx>
          <w:tblCellMar>
            <w:top w:w="0" w:type="dxa"/>
            <w:left w:w="108" w:type="dxa"/>
            <w:bottom w:w="0" w:type="dxa"/>
            <w:right w:w="108" w:type="dxa"/>
          </w:tblCellMar>
        </w:tblPrEx>
        <w:trPr>
          <w:trHeight w:val="490" w:hRule="atLeast"/>
        </w:trPr>
        <w:tc>
          <w:tcPr>
            <w:tcW w:w="751" w:type="dxa"/>
            <w:tcBorders>
              <w:top w:val="nil"/>
              <w:left w:val="single" w:color="auto" w:sz="4" w:space="0"/>
              <w:bottom w:val="single" w:color="auto" w:sz="4" w:space="0"/>
              <w:right w:val="single" w:color="auto" w:sz="4" w:space="0"/>
            </w:tcBorders>
            <w:vAlign w:val="center"/>
          </w:tcPr>
          <w:p w14:paraId="27F16663">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037" w:type="dxa"/>
            <w:tcBorders>
              <w:top w:val="nil"/>
              <w:left w:val="nil"/>
              <w:bottom w:val="single" w:color="auto" w:sz="4" w:space="0"/>
              <w:right w:val="single" w:color="auto" w:sz="4" w:space="0"/>
            </w:tcBorders>
            <w:vAlign w:val="center"/>
          </w:tcPr>
          <w:p w14:paraId="693A49E8">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7012" w:type="dxa"/>
            <w:tcBorders>
              <w:top w:val="nil"/>
              <w:left w:val="nil"/>
              <w:bottom w:val="single" w:color="auto" w:sz="4" w:space="0"/>
              <w:right w:val="single" w:color="auto" w:sz="4" w:space="0"/>
            </w:tcBorders>
            <w:vAlign w:val="center"/>
          </w:tcPr>
          <w:p w14:paraId="6C5DB283">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司机不准擅离岗位，严禁靠近转动部位，运行时应站在操作台附近。</w:t>
            </w:r>
          </w:p>
        </w:tc>
      </w:tr>
    </w:tbl>
    <w:p w14:paraId="6CDBDD5D">
      <w:pPr>
        <w:keepNext w:val="0"/>
        <w:keepLines w:val="0"/>
        <w:pageBreakBefore w:val="0"/>
        <w:kinsoku/>
        <w:wordWrap/>
        <w:overflowPunct/>
        <w:topLinePunct w:val="0"/>
        <w:autoSpaceDE/>
        <w:autoSpaceDN/>
        <w:bidi w:val="0"/>
        <w:adjustRightInd/>
        <w:snapToGrid/>
        <w:spacing w:line="380" w:lineRule="exact"/>
        <w:textAlignment w:val="auto"/>
        <w:outlineLvl w:val="9"/>
        <w:rPr>
          <w:rFonts w:hint="eastAsia" w:ascii="仿宋" w:hAnsi="仿宋" w:eastAsia="仿宋" w:cs="仿宋"/>
          <w:color w:val="auto"/>
          <w:sz w:val="24"/>
        </w:rPr>
      </w:pPr>
    </w:p>
    <w:p w14:paraId="093FBFDD">
      <w:pPr>
        <w:keepNext w:val="0"/>
        <w:keepLines w:val="0"/>
        <w:pageBreakBefore w:val="0"/>
        <w:kinsoku/>
        <w:wordWrap/>
        <w:overflowPunct/>
        <w:topLinePunct w:val="0"/>
        <w:autoSpaceDE/>
        <w:autoSpaceDN/>
        <w:bidi w:val="0"/>
        <w:adjustRightInd/>
        <w:snapToGrid/>
        <w:spacing w:line="600" w:lineRule="exact"/>
        <w:ind w:firstLine="562" w:firstLineChars="200"/>
        <w:textAlignment w:val="auto"/>
        <w:outlineLvl w:val="9"/>
        <w:rPr>
          <w:rFonts w:hint="eastAsia" w:ascii="仿宋" w:hAnsi="仿宋" w:eastAsia="仿宋" w:cs="仿宋"/>
          <w:b/>
          <w:bCs/>
          <w:color w:val="auto"/>
          <w:sz w:val="28"/>
          <w:szCs w:val="28"/>
        </w:rPr>
      </w:pPr>
    </w:p>
    <w:p w14:paraId="322D0B8F">
      <w:pPr>
        <w:keepNext w:val="0"/>
        <w:keepLines w:val="0"/>
        <w:pageBreakBefore w:val="0"/>
        <w:kinsoku/>
        <w:wordWrap/>
        <w:overflowPunct/>
        <w:topLinePunct w:val="0"/>
        <w:autoSpaceDE/>
        <w:autoSpaceDN/>
        <w:bidi w:val="0"/>
        <w:adjustRightInd/>
        <w:snapToGrid/>
        <w:spacing w:line="600" w:lineRule="exact"/>
        <w:ind w:firstLine="562" w:firstLineChars="200"/>
        <w:textAlignment w:val="auto"/>
        <w:outlineLvl w:val="9"/>
        <w:rPr>
          <w:rFonts w:hint="eastAsia" w:ascii="仿宋" w:hAnsi="仿宋" w:eastAsia="仿宋" w:cs="仿宋"/>
          <w:b/>
          <w:bCs/>
          <w:color w:val="auto"/>
          <w:sz w:val="28"/>
          <w:szCs w:val="28"/>
        </w:rPr>
      </w:pPr>
    </w:p>
    <w:p w14:paraId="2030DFF5">
      <w:pPr>
        <w:pStyle w:val="2"/>
        <w:rPr>
          <w:rFonts w:hint="eastAsia"/>
          <w:color w:val="auto"/>
        </w:rPr>
      </w:pPr>
    </w:p>
    <w:p w14:paraId="41D3CCA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14:paraId="6A7F2B2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（一）入井、乘罐注意事项</w:t>
      </w:r>
    </w:p>
    <w:p w14:paraId="52BABC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14:paraId="780B81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14:paraId="0A3A6C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14:paraId="23750D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14:paraId="78E8DC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（二）井下行走、乘坐架空乘人装置注意事项</w:t>
      </w:r>
    </w:p>
    <w:p w14:paraId="10F9D99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14:paraId="2CB3B9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14:paraId="1AB9D3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14:paraId="1533DE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14:paraId="59D328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14:paraId="44B9FA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14:paraId="1730E5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14:paraId="0C24F0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14:paraId="36D210D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3794EB5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3F9E04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CE7D3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25C6D3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49FF88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110F84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7752EE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7951AD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3BA880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30020D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03E946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645C95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55E6BFE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4834734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21FCEE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1F4817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76D707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3B1903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397DA7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601716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0DD8C4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123CFEE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3BBC4C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607E336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48CCFC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12B6D3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570C1E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1815648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363122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5983D3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72DD84F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63BF92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0ED454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71EBE3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2A6917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358700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4A9652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47C4AE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53F929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106A304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25E0D8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0834B3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4354E4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4972CA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4250B0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396D8E3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54B7FA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02AF760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14:paraId="79CC8D9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14:paraId="0777A6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1.风险描述：矿井存在水灾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风险。</w:t>
      </w:r>
    </w:p>
    <w:p w14:paraId="66308C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事故时，根据调度室应急语音广播通知要求，按避灾路线升井</w:t>
      </w:r>
      <w:r>
        <w:rPr>
          <w:rFonts w:hint="eastAsia" w:ascii="仿宋" w:hAnsi="仿宋" w:eastAsia="仿宋" w:cs="仿宋"/>
          <w:color w:val="auto"/>
          <w:sz w:val="28"/>
          <w:szCs w:val="28"/>
          <w:lang w:eastAsia="zh-CN"/>
        </w:rPr>
        <w:t>。</w:t>
      </w:r>
    </w:p>
    <w:p w14:paraId="68CEB2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避火灾路线：煤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75EA36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避水灾路线：煤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六采轨道石门→-450运输大巷（途径自救器补给站）→集中轨道上山→-313水平巷道→主井通道→主井下井口→地面。</w:t>
      </w:r>
    </w:p>
    <w:p w14:paraId="544CC5A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2.风险描述：矿井存在停电、停风风险。</w:t>
      </w:r>
    </w:p>
    <w:p w14:paraId="4A3FE72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管控措施：矿井发生停电、停风事故且短时间无法恢复时，井下工作人员撤至进风巷内，根据调度室应急语音广播通知要求，按避灾路线撤至副井底，根据实际情况等待救援或沿主副井梯子间升井。</w:t>
      </w:r>
    </w:p>
    <w:p w14:paraId="36B742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b w:val="0"/>
          <w:bCs w:val="0"/>
          <w:color w:val="auto"/>
          <w:sz w:val="28"/>
          <w:szCs w:val="28"/>
          <w:lang w:val="en-US" w:eastAsia="zh-CN"/>
        </w:rPr>
        <w:t>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714E6DE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3.风险描述：矿井存在瓦斯、煤尘爆炸风险。</w:t>
      </w:r>
    </w:p>
    <w:p w14:paraId="34F5CE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eastAsia="zh-CN"/>
        </w:rPr>
        <w:t>。</w:t>
      </w:r>
    </w:p>
    <w:p w14:paraId="3EE7ED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避瓦斯、煤尘爆炸</w:t>
      </w:r>
      <w:r>
        <w:rPr>
          <w:rFonts w:hint="eastAsia" w:ascii="仿宋" w:hAnsi="仿宋" w:eastAsia="仿宋" w:cs="仿宋"/>
          <w:b w:val="0"/>
          <w:bCs w:val="0"/>
          <w:color w:val="auto"/>
          <w:sz w:val="28"/>
          <w:szCs w:val="28"/>
          <w:lang w:val="en-US" w:eastAsia="zh-CN"/>
        </w:rPr>
        <w:t>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6BF91EE9">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14:paraId="038F3D5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14:paraId="53A93F2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（1）风险描述：局部喷层开裂、破碎，存在掉矸伤人、冒顶的风险。</w:t>
      </w:r>
    </w:p>
    <w:p w14:paraId="57A7538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进入施工地点后，首先使用专用长把工具对施工地点顶板及帮部进行敲帮问顶，找掉危岩活矸。敲帮问顶应从完好支护的地点开始，由外向里、自上而下、先顶部后两帮依次进行，敲帮问顶范围内严禁其他人员进入。</w:t>
      </w:r>
    </w:p>
    <w:p w14:paraId="1606F65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（2）风险描述：工作地点无照明或照明灯损坏，作业人员可能存在碰伤风险。</w:t>
      </w:r>
    </w:p>
    <w:p w14:paraId="165CA3E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管控措施：作业地点保证充足照明；发现照明灯损坏时，及时联系电工更换。</w:t>
      </w:r>
    </w:p>
    <w:p w14:paraId="6BCFEE3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（3）风险描述：电话、信号、语音箱不完好，设备发生故障或其他异常情况时不能联系，可能存在事故扩大风险。</w:t>
      </w:r>
    </w:p>
    <w:p w14:paraId="2C5E71B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管控措施：作业前，检查电话、信号、语音箱是否完好，发现异常及时维修；机电科、</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在检查监督时，发现问题责令司机整改。</w:t>
      </w:r>
    </w:p>
    <w:p w14:paraId="03A7E07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（4）风险描述：消防器材不完好或配备不全，防灭火管理不到位可能造成火灾。</w:t>
      </w:r>
    </w:p>
    <w:p w14:paraId="1194823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管控措施：按规定配备灭火器材；每班检查消防器材完好情况，发现消防器材损坏时，及时进行维修或更换。</w:t>
      </w:r>
    </w:p>
    <w:p w14:paraId="0497B9E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（5）风险描述：设备开机前，架空乘人装置巷道内有人员或障碍物，可能存在人员受伤或设备损坏风险。</w:t>
      </w:r>
    </w:p>
    <w:p w14:paraId="7084FAC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开机前，喊话联系架空乘人装置巷道内工作人员进行躲避并清理影响设备运行的障碍物；开机前，发现沿线有闭锁未复位时，联系清楚并恢复闭锁后，方可开机；开机时，先预警点动开车，无异常后再正常运行。</w:t>
      </w:r>
    </w:p>
    <w:p w14:paraId="0894CC7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1C9D42A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（1）风险描述：未进行信号联络或信号不清开车，可能存在人员受伤或设备损坏风险。</w:t>
      </w:r>
    </w:p>
    <w:p w14:paraId="5065555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管控措施：未进行信号联络或信号不清时，严禁开车；开机前，喊话联系架空乘人装置巷道内工作人员进行躲避；开车时，先预警点动开车，无异常后再正常运行。</w:t>
      </w:r>
    </w:p>
    <w:p w14:paraId="677319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（2）风险描述：乘坐人员携带超长、超重或易燃、易爆物品，可能发生人员受伤或设备损坏风险。</w:t>
      </w:r>
    </w:p>
    <w:p w14:paraId="10B1493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架空乘人装置司机维持乘人秩序，严禁携带超长（＞1.2m）、超重（＞20kg）的物品乘车；携带易燃、易爆危险品的人员必须单独运送。运行中应随时注意吊座、托绳轮、钢丝绳、保护指示等有无异常变化。</w:t>
      </w:r>
    </w:p>
    <w:p w14:paraId="4EA921E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（3）风险描述：作业人员站位不当，可能存在人员受伤风险。</w:t>
      </w:r>
    </w:p>
    <w:p w14:paraId="6622B84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管控措施：司机不准擅离岗位，严禁靠近转动部位，运行时应站在控制箱（按钮）附近，不得远离。</w:t>
      </w:r>
    </w:p>
    <w:p w14:paraId="36D945A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（4）风险描述：架空乘人装置运行中出现异响、异味未及时停机处理，可能存在运输事故风险。</w:t>
      </w:r>
    </w:p>
    <w:p w14:paraId="606066E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管控措施：架空乘人装置运行中出现异响、异味未及时停机处理，未处理完成不得开机运行。</w:t>
      </w:r>
    </w:p>
    <w:p w14:paraId="2267EFE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14:paraId="505432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（1）风险描述：架空乘人装置停机后，操作台“急停禁启”按钮未按下，人员误操作或设备误动作可能造成人员受伤风险。</w:t>
      </w:r>
    </w:p>
    <w:p w14:paraId="043585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管控措施：架空乘人装置停机后，按下“急停禁启”按钮。</w:t>
      </w:r>
    </w:p>
    <w:p w14:paraId="751D14E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（2）风险描述：架空乘人装置电源、控制开关未停电闭锁，人员误操作或设备误动作可能造成人员受伤风险。</w:t>
      </w:r>
    </w:p>
    <w:p w14:paraId="307D0D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停机后将架空乘人装置电源、控制开关停电闭锁；对架空乘人装置司机进行业务技能培训，熟记停送电流程，提高安全意识；班组长负责班组管理和现场管理，发现问题及时整改；机电管理人员、安全检查员负责对停送电流程的检查监督。</w:t>
      </w:r>
    </w:p>
    <w:p w14:paraId="3ACC841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）风险描述：架空乘人装置安全闸、工作闸未在制动位置，可能存在运输事故风险。</w:t>
      </w:r>
    </w:p>
    <w:p w14:paraId="01E163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管控措施：调整安全闸、工作闸间隙，停机后安全闸、工作闸有足够的预紧力。</w:t>
      </w:r>
    </w:p>
    <w:p w14:paraId="39BEB85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14:paraId="685A15B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14:paraId="25E3986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14:paraId="2451D7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2.照明、电话、信号、语音箱：照明装置明亮、完好，信号清晰可靠、电话畅通，语音箱完好。</w:t>
      </w:r>
    </w:p>
    <w:p w14:paraId="18927F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3.消防器材：消防器材齐全完好。</w:t>
      </w:r>
    </w:p>
    <w:p w14:paraId="356A1D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4.人员、障碍物：</w:t>
      </w:r>
      <w:r>
        <w:rPr>
          <w:rFonts w:hint="eastAsia" w:ascii="仿宋" w:hAnsi="仿宋" w:eastAsia="仿宋" w:cs="仿宋"/>
          <w:color w:val="auto"/>
          <w:sz w:val="28"/>
          <w:szCs w:val="28"/>
          <w:lang w:eastAsia="zh-CN"/>
        </w:rPr>
        <w:t>架空乘人装置运行轨</w:t>
      </w:r>
      <w:r>
        <w:rPr>
          <w:rFonts w:hint="eastAsia" w:ascii="仿宋" w:hAnsi="仿宋" w:eastAsia="仿宋" w:cs="仿宋"/>
          <w:color w:val="auto"/>
          <w:sz w:val="28"/>
          <w:szCs w:val="28"/>
        </w:rPr>
        <w:t>道内无闲杂人员及障碍物。</w:t>
      </w:r>
    </w:p>
    <w:p w14:paraId="4BDD7D2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14:paraId="71DC6E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1.记录：记录正常。</w:t>
      </w:r>
    </w:p>
    <w:p w14:paraId="029066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2.操作箱：操作箱显示正常，所有按钮灵敏可靠，表面清洁。</w:t>
      </w:r>
    </w:p>
    <w:p w14:paraId="70744E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3.急停保护、越位保护、到站报警：越位、急停保护齐全，到站报警完好。</w:t>
      </w:r>
    </w:p>
    <w:p w14:paraId="7310D0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4.吊椅、钢丝绳、托压轮、基础钢架结构：吊椅固定牢靠、无歪斜，钢丝绳无严重锈蚀，断丝不超限，托压轮完好无损，润滑良好，固定牢靠，基础钢结构完好。</w:t>
      </w:r>
    </w:p>
    <w:p w14:paraId="74B5844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5.掉绳保护、断轴保护、速度保护：掉绳保护、断轴保护、速度保护齐全。</w:t>
      </w:r>
    </w:p>
    <w:p w14:paraId="6E1CEF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6.安全闸、驱动轮；安全闸处于制动状态，驱动轮固定牢靠，完好。</w:t>
      </w:r>
    </w:p>
    <w:p w14:paraId="2A9AB7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7.液压站：油位正常、完好。</w:t>
      </w:r>
    </w:p>
    <w:p w14:paraId="755F5E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8.减速机、工作闸、电机：减速机、电机固定牢靠，连接完好，工作闸处于制动状态。</w:t>
      </w:r>
    </w:p>
    <w:p w14:paraId="4CD0A5D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14:paraId="5867D2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信号联络：</w:t>
      </w:r>
    </w:p>
    <w:p w14:paraId="4E286A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未进行信号联系或信号不清严禁开机，开机前必须发出预警信号并喊话。</w:t>
      </w:r>
    </w:p>
    <w:p w14:paraId="00235A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司机位置：</w:t>
      </w:r>
    </w:p>
    <w:p w14:paraId="7DAFB2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司机不准擅离岗位，严禁靠近转动部位，运行时应站在控制箱（按钮）附近，不得远离。</w:t>
      </w:r>
    </w:p>
    <w:p w14:paraId="0A132EA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启动：</w:t>
      </w:r>
    </w:p>
    <w:p w14:paraId="282E43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启动后，应先空转一定时间再允许乘人，应尽量避免带人启动。</w:t>
      </w:r>
    </w:p>
    <w:p w14:paraId="69D7D4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运行：</w:t>
      </w:r>
    </w:p>
    <w:p w14:paraId="6A7DFC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维持乘人秩序，确保人员乘坐间距、姿势符合要求。</w:t>
      </w:r>
    </w:p>
    <w:p w14:paraId="1F8399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严禁携带超长（＞1.2m）、超重（＞20kg）的物品乘车。</w:t>
      </w:r>
    </w:p>
    <w:p w14:paraId="5E704E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携带易燃、易爆危险品的人员必须单独运送。</w:t>
      </w:r>
    </w:p>
    <w:p w14:paraId="0890CC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④</w:t>
      </w:r>
      <w:r>
        <w:rPr>
          <w:rFonts w:hint="eastAsia" w:ascii="仿宋" w:hAnsi="仿宋" w:eastAsia="仿宋" w:cs="仿宋"/>
          <w:color w:val="auto"/>
          <w:sz w:val="28"/>
          <w:szCs w:val="28"/>
        </w:rPr>
        <w:t>运行中应随时注意吊座、托绳轮、钢丝绳、保护指示等有无异常变化。</w:t>
      </w:r>
    </w:p>
    <w:p w14:paraId="0DBF9A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停机：</w:t>
      </w:r>
    </w:p>
    <w:p w14:paraId="4C46314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短时停机只需按下“停机”按钮，长时停机时还必须按下“急停禁启”按钮。</w:t>
      </w:r>
    </w:p>
    <w:p w14:paraId="41E63D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暂离及检修：</w:t>
      </w:r>
    </w:p>
    <w:p w14:paraId="42F962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暂时离开岗位时必须按下“急停禁启”按钮，检修时应对控制开关进行停电闭锁，并悬挂停电牌。</w:t>
      </w:r>
    </w:p>
    <w:p w14:paraId="727239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异常处置</w:t>
      </w:r>
      <w:r>
        <w:rPr>
          <w:rFonts w:hint="eastAsia" w:ascii="仿宋" w:hAnsi="仿宋" w:eastAsia="仿宋" w:cs="仿宋"/>
          <w:color w:val="auto"/>
          <w:sz w:val="28"/>
          <w:szCs w:val="28"/>
        </w:rPr>
        <w:tab/>
      </w:r>
    </w:p>
    <w:p w14:paraId="103E2B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运行中发现下列情况之一时，必须立即停车：</w:t>
      </w:r>
    </w:p>
    <w:p w14:paraId="10F667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机头电机、减速器等传动部分有异常声响。</w:t>
      </w:r>
    </w:p>
    <w:p w14:paraId="225A85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机尾传动部分或拉紧装置出现异常。</w:t>
      </w:r>
    </w:p>
    <w:p w14:paraId="3073FC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托（压）索架有扭曲变形，影响正常运行。</w:t>
      </w:r>
    </w:p>
    <w:p w14:paraId="6234F94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④</w:t>
      </w:r>
      <w:r>
        <w:rPr>
          <w:rFonts w:hint="eastAsia" w:ascii="仿宋" w:hAnsi="仿宋" w:eastAsia="仿宋" w:cs="仿宋"/>
          <w:color w:val="auto"/>
          <w:sz w:val="28"/>
          <w:szCs w:val="28"/>
        </w:rPr>
        <w:t>钢丝绳从托（压）绳轮上跳出落道时。</w:t>
      </w:r>
    </w:p>
    <w:p w14:paraId="3BE0C9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⑤</w:t>
      </w:r>
      <w:r>
        <w:rPr>
          <w:rFonts w:hint="eastAsia" w:ascii="仿宋" w:hAnsi="仿宋" w:eastAsia="仿宋" w:cs="仿宋"/>
          <w:color w:val="auto"/>
          <w:sz w:val="28"/>
          <w:szCs w:val="28"/>
        </w:rPr>
        <w:t>吊具被卡绊或其它运转部件出现卡绊情况。</w:t>
      </w:r>
    </w:p>
    <w:p w14:paraId="580665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⑥</w:t>
      </w:r>
      <w:r>
        <w:rPr>
          <w:rFonts w:hint="eastAsia" w:ascii="仿宋" w:hAnsi="仿宋" w:eastAsia="仿宋" w:cs="仿宋"/>
          <w:color w:val="auto"/>
          <w:sz w:val="28"/>
          <w:szCs w:val="28"/>
        </w:rPr>
        <w:t>接到紧急停机信号、不明信号、有人喊话或摆灯示意要求停车时。</w:t>
      </w:r>
    </w:p>
    <w:p w14:paraId="617D598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（四）操作后确认：</w:t>
      </w:r>
    </w:p>
    <w:p w14:paraId="102632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1.操作箱：操作台已处于停止指示状态。</w:t>
      </w:r>
    </w:p>
    <w:p w14:paraId="26D9C2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2.安全闸：确认安全闸处于制动状态。</w:t>
      </w:r>
    </w:p>
    <w:p w14:paraId="540838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3.工作闸：确认制动闸处于制动状态。</w:t>
      </w:r>
    </w:p>
    <w:p w14:paraId="583277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4.停电闭锁：电源开关处于停止闭锁状态。</w:t>
      </w:r>
    </w:p>
    <w:p w14:paraId="773C3E5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14:paraId="5A310AE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（一）</w:t>
      </w:r>
      <w:r>
        <w:rPr>
          <w:rFonts w:hint="eastAsia" w:ascii="仿宋" w:hAnsi="仿宋" w:eastAsia="仿宋" w:cs="仿宋"/>
          <w:b/>
          <w:bCs/>
          <w:color w:val="auto"/>
          <w:sz w:val="28"/>
          <w:szCs w:val="28"/>
        </w:rPr>
        <w:t>事故经过：</w:t>
      </w:r>
    </w:p>
    <w:p w14:paraId="1713386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2015年3月31日中班16:15左右，集中轨道架空乘人装置正常运行时，在1105下顺门口架空乘人装置钢丝绳发生掉绳现象，架空乘人装置座椅集聚在该处，被矿领导发现后拉急停开关，架空乘人装置停止运行。集中轨道下车场把钩工谢树龙在未查明原因的情况下，继续打点开架空乘人装置，而后矿领导连续拉急停开关，把钩工谢树龙也连续打点，给架空乘人装置的安全运行带来隐患。</w:t>
      </w:r>
    </w:p>
    <w:p w14:paraId="4A84231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（二）</w:t>
      </w:r>
      <w:r>
        <w:rPr>
          <w:rFonts w:hint="eastAsia" w:ascii="仿宋" w:hAnsi="仿宋" w:eastAsia="仿宋" w:cs="仿宋"/>
          <w:b/>
          <w:bCs/>
          <w:color w:val="auto"/>
          <w:sz w:val="28"/>
          <w:szCs w:val="28"/>
        </w:rPr>
        <w:t>事故原因：</w:t>
      </w:r>
    </w:p>
    <w:p w14:paraId="5DEF99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集中轨道架空乘人装置掉绳原因分析：一是乘坐人员在1105下顺门口下车后，在向下放座椅时，由于座椅左右摆动，在过托压轮时，座椅抱索器碰到托压轮，将钢丝绳刮掉；二是架空乘人装置座椅抱索器内皮套磨损严重，且架空乘人装置钢丝绳在运行中有旋转现象，在过托压轮时，座椅抱索器碰到托压轮，将钢丝绳刮掉；三是1105下顺在开口时，巷道顶板下沉，造成架空乘人装置横梁出现轻微歪斜，在以上2种情况出现后，发生掉绳现象。</w:t>
      </w:r>
    </w:p>
    <w:p w14:paraId="663343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集中轨道下车场把钩工谢树龙，在矿领导连续拉架空乘人装置急停开关的情况下，未查明架空乘人装置的急停原因，还连续打点开架空乘人装置，是本次事故的主要原因。</w:t>
      </w:r>
    </w:p>
    <w:p w14:paraId="623405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把钩工谢树龙安全意识淡薄，工作随意性大，未按照《架空乘人装置安全操作规程》的要求进行操作，是本次事故的一个原因。</w:t>
      </w:r>
    </w:p>
    <w:p w14:paraId="6CEDBA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运输工区对员工安全教育培训不到位，现场管理有漏洞，是本次事情的一个原因。</w:t>
      </w:r>
    </w:p>
    <w:p w14:paraId="6FD3F5C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（三）</w:t>
      </w:r>
      <w:r>
        <w:rPr>
          <w:rFonts w:hint="eastAsia" w:ascii="仿宋" w:hAnsi="仿宋" w:eastAsia="仿宋" w:cs="仿宋"/>
          <w:b/>
          <w:bCs/>
          <w:color w:val="auto"/>
          <w:sz w:val="28"/>
          <w:szCs w:val="28"/>
        </w:rPr>
        <w:t>防范措施：</w:t>
      </w:r>
    </w:p>
    <w:p w14:paraId="246A82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此次事故发生后，运输工区加强员工的安全教育培训，吸取本次事故的教训，并在工区班前会上对本次发生的架空乘人装置事故进行传达、剖析，加强员工操作行为规范，杜绝类似情况的发生。</w:t>
      </w:r>
    </w:p>
    <w:p w14:paraId="0386F9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运输工区加强员工的安全思想教育，提高员工的安全意识和自主保安意识，让员工牢固树立安全第一的思想。</w:t>
      </w:r>
    </w:p>
    <w:p w14:paraId="0F71FE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运输工区将完善《架空乘人装置安全操作规程》中的内容，并明确出现意外情况后的应对措施，确保架空乘人装置的安全运行。</w:t>
      </w:r>
    </w:p>
    <w:p w14:paraId="13CEAD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运输工区管理人员要加大现场的安全管理力度，重点抓好员工在现场的操作行为规范，严格控制“三违”的发生，确保提升运输的安全。</w:t>
      </w:r>
    </w:p>
    <w:p w14:paraId="5810110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rPr>
        <w:t>、常见三违</w:t>
      </w:r>
    </w:p>
    <w:p w14:paraId="311436E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(一）</w:t>
      </w:r>
      <w:r>
        <w:rPr>
          <w:rFonts w:hint="eastAsia" w:ascii="仿宋" w:hAnsi="仿宋" w:eastAsia="仿宋" w:cs="仿宋"/>
          <w:color w:val="auto"/>
          <w:sz w:val="28"/>
          <w:szCs w:val="28"/>
        </w:rPr>
        <w:t>携带烟草和点火物品（手机），穿化纤衣服入井或入井前饮酒的；</w:t>
      </w:r>
    </w:p>
    <w:p w14:paraId="62E004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w:t>
      </w:r>
      <w:r>
        <w:rPr>
          <w:rFonts w:hint="eastAsia" w:ascii="仿宋" w:hAnsi="仿宋" w:eastAsia="仿宋" w:cs="仿宋"/>
          <w:color w:val="auto"/>
          <w:sz w:val="28"/>
          <w:szCs w:val="28"/>
        </w:rPr>
        <w:t>无证上岗、证件过期的；</w:t>
      </w:r>
    </w:p>
    <w:p w14:paraId="1FAA50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违反“行车不行人，行人不行车”制度的；</w:t>
      </w:r>
    </w:p>
    <w:p w14:paraId="2D127D4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扒车、跳车和坐矿车的；</w:t>
      </w:r>
    </w:p>
    <w:p w14:paraId="6C6F49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p>
    <w:p w14:paraId="777F3E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岗位工睡岗的；</w:t>
      </w:r>
    </w:p>
    <w:p w14:paraId="2ABB64C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 xml:space="preserve">设备运行时，人员接触设备的机械转动和传动部位或带电体的； </w:t>
      </w:r>
    </w:p>
    <w:p w14:paraId="754198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无措施施工或不按措施施工造成严重后果的；</w:t>
      </w:r>
    </w:p>
    <w:p w14:paraId="6AE4EC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14:paraId="645E28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w:t>
      </w:r>
      <w:r>
        <w:rPr>
          <w:rFonts w:hint="eastAsia" w:ascii="仿宋" w:hAnsi="仿宋" w:eastAsia="仿宋" w:cs="仿宋"/>
          <w:color w:val="auto"/>
          <w:sz w:val="28"/>
          <w:szCs w:val="28"/>
        </w:rPr>
        <w:t>井下打架斗殴的；</w:t>
      </w:r>
    </w:p>
    <w:p w14:paraId="3F5376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（十一）</w:t>
      </w:r>
      <w:r>
        <w:rPr>
          <w:rFonts w:hint="eastAsia" w:ascii="仿宋" w:hAnsi="仿宋" w:eastAsia="仿宋" w:cs="仿宋"/>
          <w:color w:val="auto"/>
          <w:sz w:val="28"/>
          <w:szCs w:val="28"/>
        </w:rPr>
        <w:t>对“三违”处罚无理取闹或辱骂安监员、管理人员的；</w:t>
      </w:r>
    </w:p>
    <w:p w14:paraId="22F376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 xml:space="preserve">串岗、脱岗、空岗的； </w:t>
      </w:r>
    </w:p>
    <w:p w14:paraId="1E3016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不随身携带、不按规定使用矿灯、安全帽、自救器的；</w:t>
      </w:r>
    </w:p>
    <w:p w14:paraId="6D79E6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不按规定乘坐架空乘人装置的；</w:t>
      </w:r>
    </w:p>
    <w:p w14:paraId="3E761A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各种保护、安全设施不按规定装设、使用、检查、检修、检测、试验或不灵敏可靠；</w:t>
      </w:r>
    </w:p>
    <w:p w14:paraId="568F67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操作按钮失灵继续使用或未按规定使用的；</w:t>
      </w:r>
    </w:p>
    <w:p w14:paraId="48CF23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各类司机误操作的；</w:t>
      </w:r>
    </w:p>
    <w:p w14:paraId="5CEAC0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开关未及时停电、闭锁的；</w:t>
      </w:r>
    </w:p>
    <w:p w14:paraId="400E2B4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容易碰到的和裸露的带电体及机械外露的转动和传动部位未加装护罩或遮拦等防护设施的；</w:t>
      </w:r>
    </w:p>
    <w:p w14:paraId="023210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自救器损坏或过期未及时更换的；</w:t>
      </w:r>
    </w:p>
    <w:p w14:paraId="615087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携带非防爆电子产品入井的；</w:t>
      </w:r>
    </w:p>
    <w:p w14:paraId="46EFB7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其他违反《煤矿安全规程》、《操作规程》及《作业规程》等有关规定的</w:t>
      </w:r>
      <w:r>
        <w:rPr>
          <w:rFonts w:hint="eastAsia" w:ascii="仿宋" w:hAnsi="仿宋" w:eastAsia="仿宋" w:cs="仿宋"/>
          <w:color w:val="auto"/>
          <w:sz w:val="28"/>
          <w:szCs w:val="28"/>
          <w:lang w:eastAsia="zh-CN"/>
        </w:rPr>
        <w:t>；</w:t>
      </w:r>
    </w:p>
    <w:p w14:paraId="4FD144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设备出现故障甩保护运行设备的；</w:t>
      </w:r>
    </w:p>
    <w:p w14:paraId="2BF200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各种保护未定期试验或失效未及时汇报处理的；</w:t>
      </w:r>
    </w:p>
    <w:p w14:paraId="36772D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开机前未按规定进行开机检查的；</w:t>
      </w:r>
    </w:p>
    <w:p w14:paraId="340AF6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不按规定程序、信号及运行时间开启设备的；</w:t>
      </w:r>
    </w:p>
    <w:p w14:paraId="7CF3B8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乘坐人员违反规定不进行制止的；</w:t>
      </w:r>
    </w:p>
    <w:p w14:paraId="6D3A69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人员上下车未维持秩序的</w:t>
      </w:r>
      <w:r>
        <w:rPr>
          <w:rFonts w:hint="eastAsia" w:ascii="仿宋" w:hAnsi="仿宋" w:eastAsia="仿宋" w:cs="仿宋"/>
          <w:color w:val="auto"/>
          <w:sz w:val="28"/>
          <w:szCs w:val="28"/>
          <w:lang w:eastAsia="zh-CN"/>
        </w:rPr>
        <w:t>；</w:t>
      </w:r>
    </w:p>
    <w:p w14:paraId="2F72AA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（二十九）由于检修不到位导致不能正常使用的；</w:t>
      </w:r>
    </w:p>
    <w:p w14:paraId="419707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（三十）乘坐距离违反规定；</w:t>
      </w:r>
    </w:p>
    <w:p w14:paraId="694DD5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（三十一）人员必须在规定地点乘车，乘车过程中，必须保持正确的姿势，严禁打瞌睡、打闹。乘车完毕后，必须将座椅放置在规定地点，严禁乱丢。</w:t>
      </w:r>
    </w:p>
    <w:p w14:paraId="1573604A">
      <w:pPr>
        <w:rPr>
          <w:rFonts w:hint="eastAsia" w:ascii="仿宋" w:hAnsi="仿宋" w:eastAsia="仿宋" w:cs="仿宋"/>
          <w:b/>
          <w:color w:val="auto"/>
          <w:sz w:val="36"/>
          <w:szCs w:val="36"/>
          <w:lang w:eastAsia="zh-CN"/>
        </w:rPr>
      </w:pPr>
      <w:bookmarkStart w:id="438" w:name="_Toc12116"/>
      <w:bookmarkStart w:id="439" w:name="_Toc6060"/>
      <w:bookmarkStart w:id="440" w:name="_Toc9401"/>
      <w:r>
        <w:rPr>
          <w:rFonts w:hint="eastAsia" w:ascii="仿宋" w:hAnsi="仿宋" w:eastAsia="仿宋" w:cs="仿宋"/>
          <w:b/>
          <w:color w:val="auto"/>
          <w:sz w:val="36"/>
          <w:szCs w:val="36"/>
          <w:lang w:eastAsia="zh-CN"/>
        </w:rPr>
        <w:br w:type="page"/>
      </w:r>
    </w:p>
    <w:p w14:paraId="0B2D9A65">
      <w:pPr>
        <w:spacing w:line="600" w:lineRule="exact"/>
        <w:ind w:firstLine="723" w:firstLineChars="200"/>
        <w:jc w:val="center"/>
        <w:outlineLvl w:val="1"/>
        <w:rPr>
          <w:rFonts w:hint="eastAsia" w:ascii="仿宋" w:hAnsi="仿宋" w:eastAsia="仿宋" w:cs="仿宋"/>
          <w:color w:val="auto"/>
          <w:sz w:val="36"/>
          <w:szCs w:val="36"/>
        </w:rPr>
      </w:pPr>
      <w:bookmarkStart w:id="441" w:name="_Toc235"/>
      <w:r>
        <w:rPr>
          <w:rFonts w:hint="eastAsia" w:ascii="仿宋" w:hAnsi="仿宋" w:eastAsia="仿宋" w:cs="仿宋"/>
          <w:b/>
          <w:color w:val="auto"/>
          <w:sz w:val="36"/>
          <w:szCs w:val="36"/>
          <w:lang w:eastAsia="zh-CN"/>
        </w:rPr>
        <w:t>立井</w:t>
      </w:r>
      <w:r>
        <w:rPr>
          <w:rFonts w:hint="eastAsia" w:ascii="仿宋" w:hAnsi="仿宋" w:eastAsia="仿宋" w:cs="仿宋"/>
          <w:b/>
          <w:color w:val="auto"/>
          <w:sz w:val="36"/>
          <w:szCs w:val="36"/>
        </w:rPr>
        <w:t>信号把钩工</w:t>
      </w:r>
      <w:bookmarkEnd w:id="438"/>
      <w:bookmarkEnd w:id="439"/>
      <w:bookmarkEnd w:id="440"/>
      <w:bookmarkEnd w:id="441"/>
    </w:p>
    <w:tbl>
      <w:tblPr>
        <w:tblStyle w:val="12"/>
        <w:tblpPr w:leftFromText="180" w:rightFromText="180" w:vertAnchor="text" w:horzAnchor="page" w:tblpX="1607" w:tblpY="752"/>
        <w:tblOverlap w:val="never"/>
        <w:tblW w:w="9022" w:type="dxa"/>
        <w:tblInd w:w="0" w:type="dxa"/>
        <w:tblLayout w:type="fixed"/>
        <w:tblCellMar>
          <w:top w:w="0" w:type="dxa"/>
          <w:left w:w="108" w:type="dxa"/>
          <w:bottom w:w="0" w:type="dxa"/>
          <w:right w:w="108" w:type="dxa"/>
        </w:tblCellMar>
      </w:tblPr>
      <w:tblGrid>
        <w:gridCol w:w="92"/>
        <w:gridCol w:w="1701"/>
        <w:gridCol w:w="2143"/>
        <w:gridCol w:w="833"/>
        <w:gridCol w:w="1207"/>
        <w:gridCol w:w="2994"/>
        <w:gridCol w:w="52"/>
      </w:tblGrid>
      <w:tr w14:paraId="03823D09">
        <w:tblPrEx>
          <w:tblCellMar>
            <w:top w:w="0" w:type="dxa"/>
            <w:left w:w="108" w:type="dxa"/>
            <w:bottom w:w="0" w:type="dxa"/>
            <w:right w:w="108" w:type="dxa"/>
          </w:tblCellMar>
        </w:tblPrEx>
        <w:trPr>
          <w:gridBefore w:val="1"/>
          <w:wBefore w:w="92" w:type="dxa"/>
          <w:trHeight w:val="482" w:hRule="atLeast"/>
        </w:trPr>
        <w:tc>
          <w:tcPr>
            <w:tcW w:w="8930" w:type="dxa"/>
            <w:gridSpan w:val="6"/>
            <w:tcBorders>
              <w:top w:val="single" w:color="auto" w:sz="4" w:space="0"/>
              <w:left w:val="single" w:color="auto" w:sz="4" w:space="0"/>
              <w:bottom w:val="single" w:color="auto" w:sz="4" w:space="0"/>
              <w:right w:val="single" w:color="auto" w:sz="4" w:space="0"/>
            </w:tcBorders>
            <w:vAlign w:val="center"/>
          </w:tcPr>
          <w:p w14:paraId="74C429AF">
            <w:pPr>
              <w:keepNext w:val="0"/>
              <w:keepLines w:val="0"/>
              <w:pageBreakBefore w:val="0"/>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bookmarkStart w:id="442" w:name="_Toc30375"/>
            <w:bookmarkStart w:id="443" w:name="_Toc5681"/>
            <w:r>
              <w:rPr>
                <w:rFonts w:hint="eastAsia" w:ascii="仿宋" w:hAnsi="仿宋" w:eastAsia="仿宋" w:cs="仿宋"/>
                <w:b w:val="0"/>
                <w:bCs/>
                <w:color w:val="auto"/>
                <w:sz w:val="21"/>
                <w:szCs w:val="21"/>
                <w:lang w:eastAsia="zh-CN"/>
              </w:rPr>
              <w:t>立井</w:t>
            </w:r>
            <w:r>
              <w:rPr>
                <w:rFonts w:hint="eastAsia" w:ascii="仿宋" w:hAnsi="仿宋" w:eastAsia="仿宋" w:cs="仿宋"/>
                <w:b w:val="0"/>
                <w:bCs/>
                <w:color w:val="auto"/>
                <w:sz w:val="21"/>
                <w:szCs w:val="21"/>
              </w:rPr>
              <w:t>信号把钩工岗位风险告知卡</w:t>
            </w:r>
          </w:p>
        </w:tc>
      </w:tr>
      <w:tr w14:paraId="59A40436">
        <w:tblPrEx>
          <w:tblCellMar>
            <w:top w:w="0" w:type="dxa"/>
            <w:left w:w="108" w:type="dxa"/>
            <w:bottom w:w="0" w:type="dxa"/>
            <w:right w:w="108" w:type="dxa"/>
          </w:tblCellMar>
        </w:tblPrEx>
        <w:trPr>
          <w:gridBefore w:val="1"/>
          <w:wBefore w:w="92" w:type="dxa"/>
          <w:trHeight w:val="889" w:hRule="atLeast"/>
        </w:trPr>
        <w:tc>
          <w:tcPr>
            <w:tcW w:w="1701" w:type="dxa"/>
            <w:tcBorders>
              <w:top w:val="nil"/>
              <w:left w:val="single" w:color="auto" w:sz="4" w:space="0"/>
              <w:bottom w:val="single" w:color="auto" w:sz="4" w:space="0"/>
              <w:right w:val="single" w:color="auto" w:sz="4" w:space="0"/>
            </w:tcBorders>
            <w:vAlign w:val="center"/>
          </w:tcPr>
          <w:p w14:paraId="4FABB1B9">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289F927A">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143" w:type="dxa"/>
            <w:tcBorders>
              <w:top w:val="nil"/>
              <w:left w:val="nil"/>
              <w:bottom w:val="single" w:color="auto" w:sz="4" w:space="0"/>
              <w:right w:val="single" w:color="auto" w:sz="4" w:space="0"/>
            </w:tcBorders>
            <w:vAlign w:val="center"/>
          </w:tcPr>
          <w:p w14:paraId="2C6E56C0">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机电、运输、物体打击</w:t>
            </w:r>
          </w:p>
        </w:tc>
        <w:tc>
          <w:tcPr>
            <w:tcW w:w="2040" w:type="dxa"/>
            <w:gridSpan w:val="2"/>
            <w:tcBorders>
              <w:top w:val="nil"/>
              <w:left w:val="nil"/>
              <w:bottom w:val="single" w:color="auto" w:sz="4" w:space="0"/>
              <w:right w:val="single" w:color="auto" w:sz="4" w:space="0"/>
            </w:tcBorders>
            <w:vAlign w:val="center"/>
          </w:tcPr>
          <w:p w14:paraId="10EBEBE9">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5661D545">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046" w:type="dxa"/>
            <w:gridSpan w:val="2"/>
            <w:tcBorders>
              <w:top w:val="nil"/>
              <w:left w:val="nil"/>
              <w:bottom w:val="single" w:color="auto" w:sz="4" w:space="0"/>
              <w:right w:val="single" w:color="auto" w:sz="4" w:space="0"/>
            </w:tcBorders>
            <w:vAlign w:val="center"/>
          </w:tcPr>
          <w:p w14:paraId="42D8794C">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val="en-US" w:eastAsia="zh-CN"/>
              </w:rPr>
              <w:t>8650200</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23BA4BDE">
        <w:tblPrEx>
          <w:tblCellMar>
            <w:top w:w="0" w:type="dxa"/>
            <w:left w:w="108" w:type="dxa"/>
            <w:bottom w:w="0" w:type="dxa"/>
            <w:right w:w="108" w:type="dxa"/>
          </w:tblCellMar>
        </w:tblPrEx>
        <w:trPr>
          <w:gridBefore w:val="1"/>
          <w:wBefore w:w="92" w:type="dxa"/>
          <w:trHeight w:val="385"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14:paraId="4810AF07">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086" w:type="dxa"/>
            <w:gridSpan w:val="4"/>
            <w:tcBorders>
              <w:top w:val="single" w:color="auto" w:sz="4" w:space="0"/>
              <w:left w:val="nil"/>
              <w:bottom w:val="single" w:color="auto" w:sz="4" w:space="0"/>
              <w:right w:val="single" w:color="auto" w:sz="4" w:space="0"/>
            </w:tcBorders>
            <w:vAlign w:val="center"/>
          </w:tcPr>
          <w:p w14:paraId="37551351">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68487492">
        <w:tblPrEx>
          <w:tblCellMar>
            <w:top w:w="0" w:type="dxa"/>
            <w:left w:w="108" w:type="dxa"/>
            <w:bottom w:w="0" w:type="dxa"/>
            <w:right w:w="108" w:type="dxa"/>
          </w:tblCellMar>
        </w:tblPrEx>
        <w:trPr>
          <w:gridBefore w:val="1"/>
          <w:wBefore w:w="92" w:type="dxa"/>
          <w:trHeight w:val="2212"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14:paraId="57AFF1C0">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1.未持证上岗；罐笼超员；井口检身不认真，造成违禁物品下井、饮酒者入井；人员未完全进入罐笼，信把工就放罐帘危及人身安全</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14:paraId="46D564D5">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1.经培训合格后，持证上岗；大罐单层提升人数不能超过</w:t>
            </w:r>
            <w:r>
              <w:rPr>
                <w:rFonts w:hint="eastAsia" w:ascii="仿宋" w:hAnsi="仿宋" w:eastAsia="仿宋" w:cs="仿宋"/>
                <w:color w:val="auto"/>
                <w:kern w:val="0"/>
                <w:sz w:val="21"/>
                <w:szCs w:val="21"/>
                <w:lang w:val="en-US" w:eastAsia="zh-CN"/>
              </w:rPr>
              <w:t>45</w:t>
            </w:r>
            <w:r>
              <w:rPr>
                <w:rFonts w:hint="eastAsia" w:ascii="仿宋" w:hAnsi="仿宋" w:eastAsia="仿宋" w:cs="仿宋"/>
                <w:color w:val="auto"/>
                <w:kern w:val="0"/>
                <w:sz w:val="21"/>
                <w:szCs w:val="21"/>
              </w:rPr>
              <w:t>人，小罐单层提升人数不能超过</w:t>
            </w:r>
            <w:r>
              <w:rPr>
                <w:rFonts w:hint="eastAsia" w:ascii="仿宋" w:hAnsi="仿宋" w:eastAsia="仿宋" w:cs="仿宋"/>
                <w:color w:val="auto"/>
                <w:kern w:val="0"/>
                <w:sz w:val="21"/>
                <w:szCs w:val="21"/>
                <w:lang w:val="en-US" w:eastAsia="zh-CN"/>
              </w:rPr>
              <w:t>31</w:t>
            </w:r>
            <w:r>
              <w:rPr>
                <w:rFonts w:hint="eastAsia" w:ascii="仿宋" w:hAnsi="仿宋" w:eastAsia="仿宋" w:cs="仿宋"/>
                <w:color w:val="auto"/>
                <w:kern w:val="0"/>
                <w:sz w:val="21"/>
                <w:szCs w:val="21"/>
              </w:rPr>
              <w:t>人，严禁超员；下井人员禁止携带火柴、火机等违禁物品，禁止酒后下井；井口把钩工严格执行入井检身制度，杜绝违禁品下井；提高工作责任心，规范操作，管理人员加强监管</w:t>
            </w:r>
            <w:r>
              <w:rPr>
                <w:rFonts w:hint="eastAsia" w:ascii="仿宋" w:hAnsi="仿宋" w:eastAsia="仿宋" w:cs="仿宋"/>
                <w:color w:val="auto"/>
                <w:kern w:val="0"/>
                <w:sz w:val="21"/>
                <w:szCs w:val="21"/>
                <w:lang w:eastAsia="zh-CN"/>
              </w:rPr>
              <w:t>。</w:t>
            </w:r>
          </w:p>
        </w:tc>
      </w:tr>
      <w:tr w14:paraId="05E92F62">
        <w:tblPrEx>
          <w:tblCellMar>
            <w:top w:w="0" w:type="dxa"/>
            <w:left w:w="108" w:type="dxa"/>
            <w:bottom w:w="0" w:type="dxa"/>
            <w:right w:w="108" w:type="dxa"/>
          </w:tblCellMar>
        </w:tblPrEx>
        <w:trPr>
          <w:gridBefore w:val="1"/>
          <w:wBefore w:w="92" w:type="dxa"/>
          <w:trHeight w:val="1310"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14:paraId="0D01E802">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2.阻车器内存放车辆超限；罐笼未完全到位，就允许乘罐人员走出候车室门；跨越运行中的推车器或两矿车之间</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14:paraId="77C614B3">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2.加强工作落实，按规定操作，管理人员加强监管；信把钩工必须等罐笼到位后，才能允许人员走出候车室进罐笼；禁止跨越运行中的推车器和两矿车之间</w:t>
            </w:r>
            <w:r>
              <w:rPr>
                <w:rFonts w:hint="eastAsia" w:ascii="仿宋" w:hAnsi="仿宋" w:eastAsia="仿宋" w:cs="仿宋"/>
                <w:color w:val="auto"/>
                <w:kern w:val="0"/>
                <w:sz w:val="21"/>
                <w:szCs w:val="21"/>
                <w:lang w:eastAsia="zh-CN"/>
              </w:rPr>
              <w:t>。</w:t>
            </w:r>
          </w:p>
        </w:tc>
      </w:tr>
      <w:tr w14:paraId="4A8CE3CC">
        <w:tblPrEx>
          <w:tblCellMar>
            <w:top w:w="0" w:type="dxa"/>
            <w:left w:w="108" w:type="dxa"/>
            <w:bottom w:w="0" w:type="dxa"/>
            <w:right w:w="108" w:type="dxa"/>
          </w:tblCellMar>
        </w:tblPrEx>
        <w:trPr>
          <w:gridBefore w:val="1"/>
          <w:wBefore w:w="92" w:type="dxa"/>
          <w:trHeight w:val="1047"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14:paraId="70A9BB06">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3.同一层罐笼内人员和物料混合提升；人员不按规定行走、逗留的，不制止</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14:paraId="15193277">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3.同一层罐笼内禁止人员和物料混合提升；加强管理，发现人员不按规定行走要及时制止</w:t>
            </w:r>
            <w:r>
              <w:rPr>
                <w:rFonts w:hint="eastAsia" w:ascii="仿宋" w:hAnsi="仿宋" w:eastAsia="仿宋" w:cs="仿宋"/>
                <w:color w:val="auto"/>
                <w:kern w:val="0"/>
                <w:sz w:val="21"/>
                <w:szCs w:val="21"/>
                <w:lang w:eastAsia="zh-CN"/>
              </w:rPr>
              <w:t>。</w:t>
            </w:r>
          </w:p>
        </w:tc>
      </w:tr>
      <w:tr w14:paraId="2DFBA01B">
        <w:tblPrEx>
          <w:tblCellMar>
            <w:top w:w="0" w:type="dxa"/>
            <w:left w:w="108" w:type="dxa"/>
            <w:bottom w:w="0" w:type="dxa"/>
            <w:right w:w="108" w:type="dxa"/>
          </w:tblCellMar>
        </w:tblPrEx>
        <w:trPr>
          <w:gridBefore w:val="1"/>
          <w:wBefore w:w="92" w:type="dxa"/>
          <w:trHeight w:val="791"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14:paraId="722834E1">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4.副井上下人期间，将车辆推入第二道阻车器以内</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14:paraId="4DED401B">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4.副井上下人期间，第二道阻车器以内严禁停放车辆</w:t>
            </w:r>
            <w:r>
              <w:rPr>
                <w:rFonts w:hint="eastAsia" w:ascii="仿宋" w:hAnsi="仿宋" w:eastAsia="仿宋" w:cs="仿宋"/>
                <w:color w:val="auto"/>
                <w:kern w:val="0"/>
                <w:sz w:val="21"/>
                <w:szCs w:val="21"/>
                <w:lang w:eastAsia="zh-CN"/>
              </w:rPr>
              <w:t>。</w:t>
            </w:r>
          </w:p>
        </w:tc>
      </w:tr>
      <w:tr w14:paraId="610A75C4">
        <w:tblPrEx>
          <w:tblCellMar>
            <w:top w:w="0" w:type="dxa"/>
            <w:left w:w="108" w:type="dxa"/>
            <w:bottom w:w="0" w:type="dxa"/>
            <w:right w:w="108" w:type="dxa"/>
          </w:tblCellMar>
        </w:tblPrEx>
        <w:trPr>
          <w:gridBefore w:val="1"/>
          <w:wBefore w:w="92" w:type="dxa"/>
          <w:trHeight w:val="1001"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14:paraId="70FC55CC">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5.错发、误发信号</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14:paraId="07AAE943">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5.信号的发出必须准确无误，若不慎错发信号，必须立即发送停止信号，然后再重新发送信号</w:t>
            </w:r>
            <w:r>
              <w:rPr>
                <w:rFonts w:hint="eastAsia" w:ascii="仿宋" w:hAnsi="仿宋" w:eastAsia="仿宋" w:cs="仿宋"/>
                <w:color w:val="auto"/>
                <w:kern w:val="0"/>
                <w:sz w:val="21"/>
                <w:szCs w:val="21"/>
                <w:lang w:eastAsia="zh-CN"/>
              </w:rPr>
              <w:t>。</w:t>
            </w:r>
          </w:p>
        </w:tc>
      </w:tr>
      <w:tr w14:paraId="12F9CE40">
        <w:tblPrEx>
          <w:tblCellMar>
            <w:top w:w="0" w:type="dxa"/>
            <w:left w:w="108" w:type="dxa"/>
            <w:bottom w:w="0" w:type="dxa"/>
            <w:right w:w="108" w:type="dxa"/>
          </w:tblCellMar>
        </w:tblPrEx>
        <w:trPr>
          <w:gridBefore w:val="1"/>
          <w:wBefore w:w="92" w:type="dxa"/>
          <w:trHeight w:val="1250" w:hRule="atLeast"/>
        </w:trPr>
        <w:tc>
          <w:tcPr>
            <w:tcW w:w="1701" w:type="dxa"/>
            <w:tcBorders>
              <w:top w:val="nil"/>
              <w:left w:val="single" w:color="auto" w:sz="4" w:space="0"/>
              <w:bottom w:val="single" w:color="auto" w:sz="4" w:space="0"/>
              <w:right w:val="single" w:color="auto" w:sz="4" w:space="0"/>
            </w:tcBorders>
            <w:vAlign w:val="center"/>
          </w:tcPr>
          <w:p w14:paraId="080B9209">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40FE2E83">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229" w:type="dxa"/>
            <w:gridSpan w:val="5"/>
            <w:tcBorders>
              <w:top w:val="single" w:color="auto" w:sz="4" w:space="0"/>
              <w:left w:val="nil"/>
              <w:bottom w:val="single" w:color="auto" w:sz="4" w:space="0"/>
              <w:right w:val="single" w:color="auto" w:sz="4" w:space="0"/>
            </w:tcBorders>
            <w:vAlign w:val="center"/>
          </w:tcPr>
          <w:p w14:paraId="397DBAB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283685D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5CF3096E">
        <w:tblPrEx>
          <w:tblCellMar>
            <w:top w:w="0" w:type="dxa"/>
            <w:left w:w="108" w:type="dxa"/>
            <w:bottom w:w="0" w:type="dxa"/>
            <w:right w:w="108" w:type="dxa"/>
          </w:tblCellMar>
        </w:tblPrEx>
        <w:trPr>
          <w:gridBefore w:val="1"/>
          <w:wBefore w:w="92" w:type="dxa"/>
          <w:trHeight w:val="2345" w:hRule="atLeast"/>
        </w:trPr>
        <w:tc>
          <w:tcPr>
            <w:tcW w:w="1701" w:type="dxa"/>
            <w:tcBorders>
              <w:top w:val="nil"/>
              <w:left w:val="single" w:color="auto" w:sz="4" w:space="0"/>
              <w:bottom w:val="single" w:color="auto" w:sz="4" w:space="0"/>
              <w:right w:val="single" w:color="auto" w:sz="4" w:space="0"/>
            </w:tcBorders>
            <w:vAlign w:val="center"/>
          </w:tcPr>
          <w:p w14:paraId="32B1555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42ED2710">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4B303624">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229" w:type="dxa"/>
            <w:gridSpan w:val="5"/>
            <w:tcBorders>
              <w:top w:val="single" w:color="auto" w:sz="4" w:space="0"/>
              <w:left w:val="nil"/>
              <w:bottom w:val="single" w:color="auto" w:sz="4" w:space="0"/>
              <w:right w:val="single" w:color="auto" w:sz="4" w:space="0"/>
            </w:tcBorders>
            <w:vAlign w:val="center"/>
          </w:tcPr>
          <w:p w14:paraId="6E3C1990">
            <w:pPr>
              <w:keepNext w:val="0"/>
              <w:keepLines w:val="0"/>
              <w:pageBreakBefore w:val="0"/>
              <w:widowControl/>
              <w:numPr>
                <w:ilvl w:val="0"/>
                <w:numId w:val="0"/>
              </w:numPr>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发生事故后，严格按照“及时汇报、积极抢救、安全撤离、妥善避灾”原则进行自救、互救</w:t>
            </w:r>
            <w:r>
              <w:rPr>
                <w:rFonts w:hint="eastAsia" w:ascii="仿宋" w:hAnsi="仿宋" w:eastAsia="仿宋" w:cs="仿宋"/>
                <w:color w:val="auto"/>
                <w:kern w:val="0"/>
                <w:sz w:val="21"/>
                <w:szCs w:val="21"/>
                <w:lang w:eastAsia="zh-CN"/>
              </w:rPr>
              <w:t>。</w:t>
            </w:r>
          </w:p>
          <w:p w14:paraId="3CD2D888">
            <w:pPr>
              <w:keepNext w:val="0"/>
              <w:keepLines w:val="0"/>
              <w:pageBreakBefore w:val="0"/>
              <w:widowControl/>
              <w:numPr>
                <w:ilvl w:val="0"/>
                <w:numId w:val="0"/>
              </w:numPr>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2.抢救伤员时遵循“三先三后”原则，即：对窒息或心跳呼吸停止不久的伤员必须先复苏后搬运，对出血伤员必须先止血后搬运，对骨折伤员先固定后搬运</w:t>
            </w:r>
            <w:r>
              <w:rPr>
                <w:rFonts w:hint="eastAsia" w:ascii="仿宋" w:hAnsi="仿宋" w:eastAsia="仿宋" w:cs="仿宋"/>
                <w:color w:val="auto"/>
                <w:kern w:val="0"/>
                <w:sz w:val="21"/>
                <w:szCs w:val="21"/>
                <w:lang w:eastAsia="zh-CN"/>
              </w:rPr>
              <w:t>。</w:t>
            </w:r>
          </w:p>
        </w:tc>
      </w:tr>
      <w:tr w14:paraId="05253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761" w:hRule="atLeast"/>
        </w:trPr>
        <w:tc>
          <w:tcPr>
            <w:tcW w:w="8970" w:type="dxa"/>
            <w:gridSpan w:val="6"/>
            <w:vAlign w:val="center"/>
          </w:tcPr>
          <w:p w14:paraId="6256044C">
            <w:pPr>
              <w:keepNext w:val="0"/>
              <w:keepLines w:val="0"/>
              <w:pageBreakBefore w:val="0"/>
              <w:kinsoku/>
              <w:wordWrap/>
              <w:overflowPunct/>
              <w:topLinePunct w:val="0"/>
              <w:autoSpaceDE/>
              <w:autoSpaceDN/>
              <w:bidi w:val="0"/>
              <w:adjustRightInd/>
              <w:spacing w:line="240" w:lineRule="auto"/>
              <w:ind w:firstLine="3373" w:firstLineChars="1600"/>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lang w:eastAsia="zh-CN"/>
              </w:rPr>
              <w:t>立井</w:t>
            </w:r>
            <w:r>
              <w:rPr>
                <w:rFonts w:hint="eastAsia" w:ascii="仿宋" w:hAnsi="仿宋" w:eastAsia="仿宋" w:cs="仿宋"/>
                <w:b/>
                <w:color w:val="auto"/>
                <w:sz w:val="21"/>
                <w:szCs w:val="21"/>
              </w:rPr>
              <w:t>信号把钩工安全提示卡</w:t>
            </w:r>
          </w:p>
        </w:tc>
      </w:tr>
      <w:tr w14:paraId="240C3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431" w:hRule="atLeast"/>
        </w:trPr>
        <w:tc>
          <w:tcPr>
            <w:tcW w:w="4769" w:type="dxa"/>
            <w:gridSpan w:val="4"/>
            <w:vAlign w:val="center"/>
          </w:tcPr>
          <w:p w14:paraId="3D60ADD0">
            <w:pPr>
              <w:keepNext w:val="0"/>
              <w:keepLines w:val="0"/>
              <w:pageBreakBefore w:val="0"/>
              <w:kinsoku/>
              <w:wordWrap/>
              <w:overflowPunct/>
              <w:topLinePunct w:val="0"/>
              <w:autoSpaceDE/>
              <w:autoSpaceDN/>
              <w:bidi w:val="0"/>
              <w:adjustRightInd/>
              <w:spacing w:line="240" w:lineRule="auto"/>
              <w:ind w:firstLine="729" w:firstLineChars="346"/>
              <w:textAlignment w:val="auto"/>
              <w:outlineLvl w:val="9"/>
              <w:rPr>
                <w:rFonts w:hint="eastAsia" w:ascii="仿宋" w:hAnsi="仿宋" w:eastAsia="仿宋" w:cs="仿宋"/>
                <w:b/>
                <w:bCs w:val="0"/>
                <w:color w:val="auto"/>
                <w:sz w:val="21"/>
                <w:szCs w:val="21"/>
              </w:rPr>
            </w:pPr>
            <w:r>
              <w:rPr>
                <w:rFonts w:hint="eastAsia" w:ascii="仿宋" w:hAnsi="仿宋" w:eastAsia="仿宋" w:cs="仿宋"/>
                <w:b/>
                <w:bCs w:val="0"/>
                <w:color w:val="auto"/>
                <w:sz w:val="21"/>
                <w:szCs w:val="21"/>
              </w:rPr>
              <w:t>操作前检查</w:t>
            </w:r>
          </w:p>
        </w:tc>
        <w:tc>
          <w:tcPr>
            <w:tcW w:w="4201" w:type="dxa"/>
            <w:gridSpan w:val="2"/>
            <w:vAlign w:val="center"/>
          </w:tcPr>
          <w:p w14:paraId="47961C45">
            <w:pPr>
              <w:keepNext w:val="0"/>
              <w:keepLines w:val="0"/>
              <w:pageBreakBefore w:val="0"/>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val="0"/>
                <w:color w:val="auto"/>
                <w:sz w:val="21"/>
                <w:szCs w:val="21"/>
              </w:rPr>
            </w:pPr>
            <w:r>
              <w:rPr>
                <w:rFonts w:hint="eastAsia" w:ascii="仿宋" w:hAnsi="仿宋" w:eastAsia="仿宋" w:cs="仿宋"/>
                <w:b/>
                <w:bCs w:val="0"/>
                <w:color w:val="auto"/>
                <w:sz w:val="21"/>
                <w:szCs w:val="21"/>
              </w:rPr>
              <w:t>操作后确认</w:t>
            </w:r>
          </w:p>
        </w:tc>
      </w:tr>
      <w:tr w14:paraId="045749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14:paraId="42E6522F">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1.照明</w:t>
            </w:r>
          </w:p>
        </w:tc>
        <w:tc>
          <w:tcPr>
            <w:tcW w:w="4201" w:type="dxa"/>
            <w:gridSpan w:val="2"/>
            <w:vAlign w:val="center"/>
          </w:tcPr>
          <w:p w14:paraId="501FB391">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★1.提升方向</w:t>
            </w:r>
          </w:p>
        </w:tc>
      </w:tr>
      <w:tr w14:paraId="7003D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14:paraId="39D83891">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2.电话</w:t>
            </w:r>
          </w:p>
        </w:tc>
        <w:tc>
          <w:tcPr>
            <w:tcW w:w="4201" w:type="dxa"/>
            <w:gridSpan w:val="2"/>
            <w:vAlign w:val="center"/>
          </w:tcPr>
          <w:p w14:paraId="661D4382">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★2.安全门</w:t>
            </w:r>
          </w:p>
        </w:tc>
      </w:tr>
      <w:tr w14:paraId="4AB4BC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14:paraId="3F405AAD">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3.操作柜</w:t>
            </w:r>
          </w:p>
        </w:tc>
        <w:tc>
          <w:tcPr>
            <w:tcW w:w="4201" w:type="dxa"/>
            <w:gridSpan w:val="2"/>
            <w:vAlign w:val="center"/>
          </w:tcPr>
          <w:p w14:paraId="74F30E80">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★3.摇台</w:t>
            </w:r>
          </w:p>
        </w:tc>
      </w:tr>
      <w:tr w14:paraId="55B82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14:paraId="0C554EB9">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★4.安全门</w:t>
            </w:r>
          </w:p>
        </w:tc>
        <w:tc>
          <w:tcPr>
            <w:tcW w:w="4201" w:type="dxa"/>
            <w:gridSpan w:val="2"/>
            <w:vAlign w:val="center"/>
          </w:tcPr>
          <w:p w14:paraId="5AFF766A">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★4.阻车器</w:t>
            </w:r>
          </w:p>
        </w:tc>
      </w:tr>
      <w:tr w14:paraId="66106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14:paraId="3D362325">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★5.摇台、阻车器</w:t>
            </w:r>
          </w:p>
        </w:tc>
        <w:tc>
          <w:tcPr>
            <w:tcW w:w="4201" w:type="dxa"/>
            <w:gridSpan w:val="2"/>
            <w:vAlign w:val="center"/>
          </w:tcPr>
          <w:p w14:paraId="5822B28E">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p>
        </w:tc>
      </w:tr>
      <w:tr w14:paraId="7623D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73" w:hRule="atLeast"/>
        </w:trPr>
        <w:tc>
          <w:tcPr>
            <w:tcW w:w="4769" w:type="dxa"/>
            <w:gridSpan w:val="4"/>
            <w:vAlign w:val="center"/>
          </w:tcPr>
          <w:p w14:paraId="3E5D9966">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6.信号</w:t>
            </w:r>
          </w:p>
        </w:tc>
        <w:tc>
          <w:tcPr>
            <w:tcW w:w="4201" w:type="dxa"/>
            <w:gridSpan w:val="2"/>
            <w:vAlign w:val="center"/>
          </w:tcPr>
          <w:p w14:paraId="3880D0BF">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p>
        </w:tc>
      </w:tr>
      <w:tr w14:paraId="1FA72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428" w:hRule="atLeast"/>
        </w:trPr>
        <w:tc>
          <w:tcPr>
            <w:tcW w:w="4769" w:type="dxa"/>
            <w:gridSpan w:val="4"/>
            <w:vAlign w:val="center"/>
          </w:tcPr>
          <w:p w14:paraId="6F5A1459">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★7.人员（车辆）</w:t>
            </w:r>
          </w:p>
        </w:tc>
        <w:tc>
          <w:tcPr>
            <w:tcW w:w="4201" w:type="dxa"/>
            <w:gridSpan w:val="2"/>
            <w:vAlign w:val="center"/>
          </w:tcPr>
          <w:p w14:paraId="46063369">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p>
        </w:tc>
      </w:tr>
      <w:tr w14:paraId="79924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755" w:hRule="atLeast"/>
        </w:trPr>
        <w:tc>
          <w:tcPr>
            <w:tcW w:w="8970" w:type="dxa"/>
            <w:gridSpan w:val="6"/>
            <w:vAlign w:val="center"/>
          </w:tcPr>
          <w:p w14:paraId="742EBE8E">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注：第一次按操作前内容逐项检查并确认，存在问题整改后再确认；中间再次操作只检查带“★”部分；提升任务全部结束后按操作后确认内容逐项检查并确认。</w:t>
            </w:r>
          </w:p>
        </w:tc>
      </w:tr>
    </w:tbl>
    <w:p w14:paraId="39650578">
      <w:pPr>
        <w:keepNext w:val="0"/>
        <w:keepLines w:val="0"/>
        <w:pageBreakBefore w:val="0"/>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val="0"/>
          <w:bCs/>
          <w:color w:val="auto"/>
          <w:sz w:val="21"/>
          <w:szCs w:val="21"/>
        </w:rPr>
      </w:pPr>
      <w:bookmarkStart w:id="444" w:name="_Toc11147"/>
      <w:bookmarkStart w:id="445" w:name="_Toc10261"/>
      <w:r>
        <w:rPr>
          <w:rFonts w:hint="eastAsia" w:ascii="仿宋" w:hAnsi="仿宋" w:eastAsia="仿宋" w:cs="仿宋"/>
          <w:b w:val="0"/>
          <w:bCs/>
          <w:color w:val="auto"/>
          <w:sz w:val="21"/>
          <w:szCs w:val="21"/>
          <w:lang w:eastAsia="zh-CN"/>
        </w:rPr>
        <w:t>立井</w:t>
      </w:r>
      <w:r>
        <w:rPr>
          <w:rFonts w:hint="eastAsia" w:ascii="仿宋" w:hAnsi="仿宋" w:eastAsia="仿宋" w:cs="仿宋"/>
          <w:b w:val="0"/>
          <w:bCs/>
          <w:color w:val="auto"/>
          <w:sz w:val="21"/>
          <w:szCs w:val="21"/>
        </w:rPr>
        <w:t>信号单元检查表</w:t>
      </w:r>
    </w:p>
    <w:tbl>
      <w:tblPr>
        <w:tblStyle w:val="12"/>
        <w:tblpPr w:leftFromText="180" w:rightFromText="180" w:vertAnchor="text" w:horzAnchor="margin" w:tblpXSpec="center" w:tblpY="202"/>
        <w:tblW w:w="8920" w:type="dxa"/>
        <w:tblInd w:w="8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0"/>
      </w:tblGrid>
      <w:tr w14:paraId="137EB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exact"/>
        </w:trPr>
        <w:tc>
          <w:tcPr>
            <w:tcW w:w="8920" w:type="dxa"/>
            <w:vAlign w:val="center"/>
          </w:tcPr>
          <w:p w14:paraId="694C9795">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1.电话、照明</w:t>
            </w:r>
          </w:p>
        </w:tc>
      </w:tr>
      <w:tr w14:paraId="46CD3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exact"/>
        </w:trPr>
        <w:tc>
          <w:tcPr>
            <w:tcW w:w="8920" w:type="dxa"/>
            <w:vAlign w:val="center"/>
          </w:tcPr>
          <w:p w14:paraId="730F7EF6">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2.操作台、信号、语音箱、警示牌板</w:t>
            </w:r>
          </w:p>
        </w:tc>
      </w:tr>
      <w:tr w14:paraId="4DE72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exact"/>
        </w:trPr>
        <w:tc>
          <w:tcPr>
            <w:tcW w:w="8920" w:type="dxa"/>
            <w:vAlign w:val="center"/>
          </w:tcPr>
          <w:p w14:paraId="3C32BE6A">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3.阻车器</w:t>
            </w:r>
          </w:p>
        </w:tc>
      </w:tr>
      <w:tr w14:paraId="1EF85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exact"/>
        </w:trPr>
        <w:tc>
          <w:tcPr>
            <w:tcW w:w="8920" w:type="dxa"/>
            <w:vAlign w:val="center"/>
          </w:tcPr>
          <w:p w14:paraId="2BC2BAEC">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4.推车机</w:t>
            </w:r>
          </w:p>
        </w:tc>
      </w:tr>
      <w:tr w14:paraId="7C187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exact"/>
        </w:trPr>
        <w:tc>
          <w:tcPr>
            <w:tcW w:w="8920" w:type="dxa"/>
            <w:vAlign w:val="center"/>
          </w:tcPr>
          <w:p w14:paraId="2399FA91">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lang w:val="en-US" w:eastAsia="zh-CN"/>
              </w:rPr>
              <w:t>5</w:t>
            </w:r>
            <w:r>
              <w:rPr>
                <w:rFonts w:hint="eastAsia" w:ascii="仿宋" w:hAnsi="仿宋" w:eastAsia="仿宋" w:cs="仿宋"/>
                <w:color w:val="auto"/>
                <w:sz w:val="21"/>
                <w:szCs w:val="21"/>
              </w:rPr>
              <w:t>.工作范围内轨道、道岔</w:t>
            </w:r>
          </w:p>
        </w:tc>
      </w:tr>
      <w:tr w14:paraId="25603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2" w:hRule="exact"/>
        </w:trPr>
        <w:tc>
          <w:tcPr>
            <w:tcW w:w="8920" w:type="dxa"/>
            <w:vAlign w:val="center"/>
          </w:tcPr>
          <w:p w14:paraId="36CB4CE0">
            <w:pPr>
              <w:keepNext w:val="0"/>
              <w:keepLines w:val="0"/>
              <w:pageBreakBefore w:val="0"/>
              <w:tabs>
                <w:tab w:val="center" w:pos="4153"/>
                <w:tab w:val="right" w:pos="8306"/>
              </w:tabs>
              <w:kinsoku/>
              <w:wordWrap/>
              <w:overflowPunct/>
              <w:topLinePunct w:val="0"/>
              <w:autoSpaceDE/>
              <w:autoSpaceDN/>
              <w:bidi w:val="0"/>
              <w:adjustRightInd/>
              <w:snapToGrid w:val="0"/>
              <w:spacing w:line="240" w:lineRule="auto"/>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接班后逐项检查并确认，存在问题整改后再确认。</w:t>
            </w:r>
          </w:p>
        </w:tc>
      </w:tr>
    </w:tbl>
    <w:p w14:paraId="608782FB">
      <w:pPr>
        <w:keepNext w:val="0"/>
        <w:keepLines w:val="0"/>
        <w:pageBreakBefore w:val="0"/>
        <w:kinsoku/>
        <w:wordWrap/>
        <w:overflowPunct/>
        <w:topLinePunct w:val="0"/>
        <w:autoSpaceDE/>
        <w:autoSpaceDN/>
        <w:bidi w:val="0"/>
        <w:adjustRightInd/>
        <w:textAlignment w:val="auto"/>
        <w:outlineLvl w:val="9"/>
        <w:rPr>
          <w:rFonts w:hint="eastAsia" w:ascii="仿宋" w:hAnsi="仿宋" w:eastAsia="仿宋" w:cs="仿宋"/>
          <w:color w:val="auto"/>
          <w:sz w:val="21"/>
          <w:szCs w:val="21"/>
          <w:highlight w:val="none"/>
        </w:rPr>
      </w:pPr>
    </w:p>
    <w:tbl>
      <w:tblPr>
        <w:tblStyle w:val="12"/>
        <w:tblW w:w="8880" w:type="dxa"/>
        <w:jc w:val="center"/>
        <w:tblLayout w:type="fixed"/>
        <w:tblCellMar>
          <w:top w:w="0" w:type="dxa"/>
          <w:left w:w="108" w:type="dxa"/>
          <w:bottom w:w="0" w:type="dxa"/>
          <w:right w:w="108" w:type="dxa"/>
        </w:tblCellMar>
      </w:tblPr>
      <w:tblGrid>
        <w:gridCol w:w="683"/>
        <w:gridCol w:w="1398"/>
        <w:gridCol w:w="6799"/>
      </w:tblGrid>
      <w:tr w14:paraId="0318B8F3">
        <w:tblPrEx>
          <w:tblCellMar>
            <w:top w:w="0" w:type="dxa"/>
            <w:left w:w="108" w:type="dxa"/>
            <w:bottom w:w="0" w:type="dxa"/>
            <w:right w:w="108" w:type="dxa"/>
          </w:tblCellMar>
        </w:tblPrEx>
        <w:trPr>
          <w:trHeight w:val="249" w:hRule="atLeast"/>
          <w:jc w:val="center"/>
        </w:trPr>
        <w:tc>
          <w:tcPr>
            <w:tcW w:w="8880" w:type="dxa"/>
            <w:gridSpan w:val="3"/>
            <w:tcBorders>
              <w:top w:val="single" w:color="auto" w:sz="4" w:space="0"/>
              <w:left w:val="single" w:color="auto" w:sz="4" w:space="0"/>
              <w:bottom w:val="single" w:color="auto" w:sz="4" w:space="0"/>
              <w:right w:val="single" w:color="auto" w:sz="4" w:space="0"/>
            </w:tcBorders>
            <w:vAlign w:val="center"/>
          </w:tcPr>
          <w:p w14:paraId="034E8CB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eastAsia="zh-CN"/>
              </w:rPr>
              <w:t>立井信把工操作过程注意事项</w:t>
            </w:r>
          </w:p>
        </w:tc>
      </w:tr>
      <w:tr w14:paraId="33E790FD">
        <w:tblPrEx>
          <w:tblCellMar>
            <w:top w:w="0" w:type="dxa"/>
            <w:left w:w="108" w:type="dxa"/>
            <w:bottom w:w="0" w:type="dxa"/>
            <w:right w:w="108" w:type="dxa"/>
          </w:tblCellMar>
        </w:tblPrEx>
        <w:trPr>
          <w:trHeight w:val="249" w:hRule="atLeast"/>
          <w:jc w:val="center"/>
        </w:trPr>
        <w:tc>
          <w:tcPr>
            <w:tcW w:w="683" w:type="dxa"/>
            <w:tcBorders>
              <w:top w:val="nil"/>
              <w:left w:val="single" w:color="auto" w:sz="4" w:space="0"/>
              <w:bottom w:val="single" w:color="auto" w:sz="4" w:space="0"/>
              <w:right w:val="single" w:color="auto" w:sz="4" w:space="0"/>
            </w:tcBorders>
            <w:vAlign w:val="center"/>
          </w:tcPr>
          <w:p w14:paraId="0B841A27">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398" w:type="dxa"/>
            <w:tcBorders>
              <w:top w:val="nil"/>
              <w:left w:val="nil"/>
              <w:bottom w:val="single" w:color="auto" w:sz="4" w:space="0"/>
              <w:right w:val="single" w:color="auto" w:sz="4" w:space="0"/>
            </w:tcBorders>
            <w:vAlign w:val="center"/>
          </w:tcPr>
          <w:p w14:paraId="32761591">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799" w:type="dxa"/>
            <w:tcBorders>
              <w:top w:val="nil"/>
              <w:left w:val="nil"/>
              <w:bottom w:val="single" w:color="auto" w:sz="4" w:space="0"/>
              <w:right w:val="single" w:color="auto" w:sz="4" w:space="0"/>
            </w:tcBorders>
            <w:vAlign w:val="center"/>
          </w:tcPr>
          <w:p w14:paraId="0C212B26">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14:paraId="09A3267F">
        <w:tblPrEx>
          <w:tblCellMar>
            <w:top w:w="0" w:type="dxa"/>
            <w:left w:w="108" w:type="dxa"/>
            <w:bottom w:w="0" w:type="dxa"/>
            <w:right w:w="108" w:type="dxa"/>
          </w:tblCellMar>
        </w:tblPrEx>
        <w:trPr>
          <w:trHeight w:val="249" w:hRule="atLeast"/>
          <w:jc w:val="center"/>
        </w:trPr>
        <w:tc>
          <w:tcPr>
            <w:tcW w:w="683" w:type="dxa"/>
            <w:vMerge w:val="restart"/>
            <w:tcBorders>
              <w:top w:val="nil"/>
              <w:left w:val="single" w:color="auto" w:sz="4" w:space="0"/>
              <w:bottom w:val="single" w:color="000000" w:sz="4" w:space="0"/>
              <w:right w:val="single" w:color="auto" w:sz="4" w:space="0"/>
            </w:tcBorders>
            <w:vAlign w:val="center"/>
          </w:tcPr>
          <w:p w14:paraId="691D63CB">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398" w:type="dxa"/>
            <w:tcBorders>
              <w:top w:val="nil"/>
              <w:left w:val="nil"/>
              <w:bottom w:val="single" w:color="auto" w:sz="4" w:space="0"/>
              <w:right w:val="single" w:color="auto" w:sz="4" w:space="0"/>
            </w:tcBorders>
            <w:vAlign w:val="center"/>
          </w:tcPr>
          <w:p w14:paraId="26D2ED10">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看显示</w:t>
            </w:r>
          </w:p>
        </w:tc>
        <w:tc>
          <w:tcPr>
            <w:tcW w:w="6799" w:type="dxa"/>
            <w:tcBorders>
              <w:top w:val="nil"/>
              <w:left w:val="nil"/>
              <w:bottom w:val="single" w:color="auto" w:sz="4" w:space="0"/>
              <w:right w:val="single" w:color="auto" w:sz="4" w:space="0"/>
            </w:tcBorders>
            <w:vAlign w:val="center"/>
          </w:tcPr>
          <w:p w14:paraId="1A5CC937">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随时观察信号、保护显示，发现异常立即发出</w:t>
            </w:r>
            <w:r>
              <w:rPr>
                <w:rFonts w:hint="eastAsia" w:ascii="仿宋" w:hAnsi="仿宋" w:eastAsia="仿宋" w:cs="仿宋"/>
                <w:color w:val="auto"/>
                <w:kern w:val="0"/>
                <w:sz w:val="21"/>
                <w:szCs w:val="21"/>
                <w:lang w:eastAsia="zh-CN"/>
              </w:rPr>
              <w:t>紧急</w:t>
            </w:r>
            <w:r>
              <w:rPr>
                <w:rFonts w:hint="eastAsia" w:ascii="仿宋" w:hAnsi="仿宋" w:eastAsia="仿宋" w:cs="仿宋"/>
                <w:color w:val="auto"/>
                <w:kern w:val="0"/>
                <w:sz w:val="21"/>
                <w:szCs w:val="21"/>
              </w:rPr>
              <w:t>停车信号。</w:t>
            </w:r>
          </w:p>
        </w:tc>
      </w:tr>
      <w:tr w14:paraId="28DAABBE">
        <w:tblPrEx>
          <w:tblCellMar>
            <w:top w:w="0" w:type="dxa"/>
            <w:left w:w="108" w:type="dxa"/>
            <w:bottom w:w="0" w:type="dxa"/>
            <w:right w:w="108" w:type="dxa"/>
          </w:tblCellMar>
        </w:tblPrEx>
        <w:trPr>
          <w:trHeight w:val="249" w:hRule="atLeast"/>
          <w:jc w:val="center"/>
        </w:trPr>
        <w:tc>
          <w:tcPr>
            <w:tcW w:w="683" w:type="dxa"/>
            <w:vMerge w:val="continue"/>
            <w:tcBorders>
              <w:top w:val="nil"/>
              <w:left w:val="single" w:color="auto" w:sz="4" w:space="0"/>
              <w:bottom w:val="single" w:color="000000" w:sz="4" w:space="0"/>
              <w:right w:val="single" w:color="auto" w:sz="4" w:space="0"/>
            </w:tcBorders>
            <w:vAlign w:val="center"/>
          </w:tcPr>
          <w:p w14:paraId="56349FE7">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98" w:type="dxa"/>
            <w:tcBorders>
              <w:top w:val="nil"/>
              <w:left w:val="nil"/>
              <w:bottom w:val="single" w:color="auto" w:sz="4" w:space="0"/>
              <w:right w:val="single" w:color="auto" w:sz="4" w:space="0"/>
            </w:tcBorders>
            <w:vAlign w:val="center"/>
          </w:tcPr>
          <w:p w14:paraId="3B06544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看设施</w:t>
            </w:r>
          </w:p>
        </w:tc>
        <w:tc>
          <w:tcPr>
            <w:tcW w:w="6799" w:type="dxa"/>
            <w:tcBorders>
              <w:top w:val="nil"/>
              <w:left w:val="nil"/>
              <w:bottom w:val="single" w:color="auto" w:sz="4" w:space="0"/>
              <w:right w:val="single" w:color="auto" w:sz="4" w:space="0"/>
            </w:tcBorders>
            <w:vAlign w:val="center"/>
          </w:tcPr>
          <w:p w14:paraId="00C16339">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随时观察阻车器、钢丝绳，出现异常立即发出停车信号</w:t>
            </w:r>
          </w:p>
        </w:tc>
      </w:tr>
      <w:tr w14:paraId="63050194">
        <w:tblPrEx>
          <w:tblCellMar>
            <w:top w:w="0" w:type="dxa"/>
            <w:left w:w="108" w:type="dxa"/>
            <w:bottom w:w="0" w:type="dxa"/>
            <w:right w:w="108" w:type="dxa"/>
          </w:tblCellMar>
        </w:tblPrEx>
        <w:trPr>
          <w:trHeight w:val="249" w:hRule="atLeast"/>
          <w:jc w:val="center"/>
        </w:trPr>
        <w:tc>
          <w:tcPr>
            <w:tcW w:w="683" w:type="dxa"/>
            <w:vMerge w:val="continue"/>
            <w:tcBorders>
              <w:top w:val="nil"/>
              <w:left w:val="single" w:color="auto" w:sz="4" w:space="0"/>
              <w:bottom w:val="single" w:color="000000" w:sz="4" w:space="0"/>
              <w:right w:val="single" w:color="auto" w:sz="4" w:space="0"/>
            </w:tcBorders>
            <w:vAlign w:val="center"/>
          </w:tcPr>
          <w:p w14:paraId="3EA69085">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98" w:type="dxa"/>
            <w:tcBorders>
              <w:top w:val="nil"/>
              <w:left w:val="nil"/>
              <w:bottom w:val="single" w:color="auto" w:sz="4" w:space="0"/>
              <w:right w:val="single" w:color="auto" w:sz="4" w:space="0"/>
            </w:tcBorders>
            <w:vAlign w:val="center"/>
          </w:tcPr>
          <w:p w14:paraId="4F8969F2">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看车辆</w:t>
            </w:r>
          </w:p>
        </w:tc>
        <w:tc>
          <w:tcPr>
            <w:tcW w:w="6799" w:type="dxa"/>
            <w:tcBorders>
              <w:top w:val="nil"/>
              <w:left w:val="nil"/>
              <w:bottom w:val="single" w:color="auto" w:sz="4" w:space="0"/>
              <w:right w:val="single" w:color="auto" w:sz="4" w:space="0"/>
            </w:tcBorders>
            <w:vAlign w:val="center"/>
          </w:tcPr>
          <w:p w14:paraId="7571A67A">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注意观察</w:t>
            </w:r>
            <w:r>
              <w:rPr>
                <w:rFonts w:hint="eastAsia" w:ascii="仿宋" w:hAnsi="仿宋" w:eastAsia="仿宋" w:cs="仿宋"/>
                <w:color w:val="auto"/>
                <w:kern w:val="0"/>
                <w:sz w:val="21"/>
                <w:szCs w:val="21"/>
                <w:lang w:eastAsia="zh-CN"/>
              </w:rPr>
              <w:t>罐笼</w:t>
            </w:r>
            <w:r>
              <w:rPr>
                <w:rFonts w:hint="eastAsia" w:ascii="仿宋" w:hAnsi="仿宋" w:eastAsia="仿宋" w:cs="仿宋"/>
                <w:color w:val="auto"/>
                <w:kern w:val="0"/>
                <w:sz w:val="21"/>
                <w:szCs w:val="21"/>
              </w:rPr>
              <w:t>运行状况，出现异常立即发出停车信号。</w:t>
            </w:r>
          </w:p>
        </w:tc>
      </w:tr>
      <w:tr w14:paraId="0DB5108D">
        <w:tblPrEx>
          <w:tblCellMar>
            <w:top w:w="0" w:type="dxa"/>
            <w:left w:w="108" w:type="dxa"/>
            <w:bottom w:w="0" w:type="dxa"/>
            <w:right w:w="108" w:type="dxa"/>
          </w:tblCellMar>
        </w:tblPrEx>
        <w:trPr>
          <w:trHeight w:val="249" w:hRule="atLeast"/>
          <w:jc w:val="center"/>
        </w:trPr>
        <w:tc>
          <w:tcPr>
            <w:tcW w:w="683" w:type="dxa"/>
            <w:vMerge w:val="continue"/>
            <w:tcBorders>
              <w:top w:val="nil"/>
              <w:left w:val="single" w:color="auto" w:sz="4" w:space="0"/>
              <w:bottom w:val="single" w:color="000000" w:sz="4" w:space="0"/>
              <w:right w:val="single" w:color="auto" w:sz="4" w:space="0"/>
            </w:tcBorders>
            <w:vAlign w:val="center"/>
          </w:tcPr>
          <w:p w14:paraId="37C45F8E">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98" w:type="dxa"/>
            <w:tcBorders>
              <w:top w:val="nil"/>
              <w:left w:val="nil"/>
              <w:bottom w:val="single" w:color="auto" w:sz="4" w:space="0"/>
              <w:right w:val="single" w:color="auto" w:sz="4" w:space="0"/>
            </w:tcBorders>
            <w:vAlign w:val="center"/>
          </w:tcPr>
          <w:p w14:paraId="2243E91F">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看人员</w:t>
            </w:r>
          </w:p>
        </w:tc>
        <w:tc>
          <w:tcPr>
            <w:tcW w:w="6799" w:type="dxa"/>
            <w:tcBorders>
              <w:top w:val="nil"/>
              <w:left w:val="nil"/>
              <w:bottom w:val="single" w:color="auto" w:sz="4" w:space="0"/>
              <w:right w:val="single" w:color="auto" w:sz="4" w:space="0"/>
            </w:tcBorders>
            <w:vAlign w:val="center"/>
          </w:tcPr>
          <w:p w14:paraId="01BB1839">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不提升人员的情况下，</w:t>
            </w:r>
            <w:r>
              <w:rPr>
                <w:rFonts w:hint="eastAsia" w:ascii="仿宋" w:hAnsi="仿宋" w:eastAsia="仿宋" w:cs="仿宋"/>
                <w:color w:val="auto"/>
                <w:kern w:val="0"/>
                <w:sz w:val="21"/>
                <w:szCs w:val="21"/>
              </w:rPr>
              <w:t>严禁其他人员进入提升区域。</w:t>
            </w:r>
          </w:p>
        </w:tc>
      </w:tr>
      <w:tr w14:paraId="14BDF180">
        <w:tblPrEx>
          <w:tblCellMar>
            <w:top w:w="0" w:type="dxa"/>
            <w:left w:w="108" w:type="dxa"/>
            <w:bottom w:w="0" w:type="dxa"/>
            <w:right w:w="108" w:type="dxa"/>
          </w:tblCellMar>
        </w:tblPrEx>
        <w:trPr>
          <w:trHeight w:val="249" w:hRule="atLeast"/>
          <w:jc w:val="center"/>
        </w:trPr>
        <w:tc>
          <w:tcPr>
            <w:tcW w:w="683" w:type="dxa"/>
            <w:vMerge w:val="restart"/>
            <w:tcBorders>
              <w:top w:val="nil"/>
              <w:left w:val="single" w:color="auto" w:sz="4" w:space="0"/>
              <w:bottom w:val="single" w:color="000000" w:sz="4" w:space="0"/>
              <w:right w:val="single" w:color="auto" w:sz="4" w:space="0"/>
            </w:tcBorders>
            <w:vAlign w:val="center"/>
          </w:tcPr>
          <w:p w14:paraId="575709AA">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398" w:type="dxa"/>
            <w:tcBorders>
              <w:top w:val="nil"/>
              <w:left w:val="nil"/>
              <w:bottom w:val="single" w:color="auto" w:sz="4" w:space="0"/>
              <w:right w:val="single" w:color="auto" w:sz="4" w:space="0"/>
            </w:tcBorders>
            <w:vAlign w:val="center"/>
          </w:tcPr>
          <w:p w14:paraId="45EB48AB">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799" w:type="dxa"/>
            <w:tcBorders>
              <w:top w:val="nil"/>
              <w:left w:val="nil"/>
              <w:bottom w:val="single" w:color="auto" w:sz="4" w:space="0"/>
              <w:right w:val="single" w:color="auto" w:sz="4" w:space="0"/>
            </w:tcBorders>
            <w:vAlign w:val="center"/>
          </w:tcPr>
          <w:p w14:paraId="1687A1CE">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出现异常不明信号立即发出停车信号。</w:t>
            </w:r>
          </w:p>
        </w:tc>
      </w:tr>
      <w:tr w14:paraId="4E181585">
        <w:tblPrEx>
          <w:tblCellMar>
            <w:top w:w="0" w:type="dxa"/>
            <w:left w:w="108" w:type="dxa"/>
            <w:bottom w:w="0" w:type="dxa"/>
            <w:right w:w="108" w:type="dxa"/>
          </w:tblCellMar>
        </w:tblPrEx>
        <w:trPr>
          <w:trHeight w:val="249" w:hRule="atLeast"/>
          <w:jc w:val="center"/>
        </w:trPr>
        <w:tc>
          <w:tcPr>
            <w:tcW w:w="683" w:type="dxa"/>
            <w:vMerge w:val="continue"/>
            <w:tcBorders>
              <w:top w:val="nil"/>
              <w:left w:val="single" w:color="auto" w:sz="4" w:space="0"/>
              <w:bottom w:val="single" w:color="000000" w:sz="4" w:space="0"/>
              <w:right w:val="single" w:color="auto" w:sz="4" w:space="0"/>
            </w:tcBorders>
            <w:vAlign w:val="center"/>
          </w:tcPr>
          <w:p w14:paraId="28722AC8">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98" w:type="dxa"/>
            <w:tcBorders>
              <w:top w:val="nil"/>
              <w:left w:val="nil"/>
              <w:bottom w:val="single" w:color="auto" w:sz="4" w:space="0"/>
              <w:right w:val="single" w:color="auto" w:sz="4" w:space="0"/>
            </w:tcBorders>
            <w:vAlign w:val="center"/>
          </w:tcPr>
          <w:p w14:paraId="76D8FE98">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799" w:type="dxa"/>
            <w:tcBorders>
              <w:top w:val="nil"/>
              <w:left w:val="nil"/>
              <w:bottom w:val="single" w:color="auto" w:sz="4" w:space="0"/>
              <w:right w:val="single" w:color="auto" w:sz="4" w:space="0"/>
            </w:tcBorders>
            <w:vAlign w:val="center"/>
          </w:tcPr>
          <w:p w14:paraId="04357A66">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设备设施及绳道内出现异响立即发出停车信号。</w:t>
            </w:r>
          </w:p>
        </w:tc>
      </w:tr>
      <w:tr w14:paraId="70ECC6DA">
        <w:tblPrEx>
          <w:tblCellMar>
            <w:top w:w="0" w:type="dxa"/>
            <w:left w:w="108" w:type="dxa"/>
            <w:bottom w:w="0" w:type="dxa"/>
            <w:right w:w="108" w:type="dxa"/>
          </w:tblCellMar>
        </w:tblPrEx>
        <w:trPr>
          <w:trHeight w:val="249" w:hRule="atLeast"/>
          <w:jc w:val="center"/>
        </w:trPr>
        <w:tc>
          <w:tcPr>
            <w:tcW w:w="683" w:type="dxa"/>
            <w:tcBorders>
              <w:top w:val="nil"/>
              <w:left w:val="single" w:color="auto" w:sz="4" w:space="0"/>
              <w:bottom w:val="single" w:color="auto" w:sz="4" w:space="0"/>
              <w:right w:val="single" w:color="auto" w:sz="4" w:space="0"/>
            </w:tcBorders>
            <w:vAlign w:val="center"/>
          </w:tcPr>
          <w:p w14:paraId="496B471C">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p>
        </w:tc>
        <w:tc>
          <w:tcPr>
            <w:tcW w:w="1398" w:type="dxa"/>
            <w:tcBorders>
              <w:top w:val="nil"/>
              <w:left w:val="nil"/>
              <w:bottom w:val="single" w:color="auto" w:sz="4" w:space="0"/>
              <w:right w:val="single" w:color="auto" w:sz="4" w:space="0"/>
            </w:tcBorders>
            <w:vAlign w:val="center"/>
          </w:tcPr>
          <w:p w14:paraId="1533450B">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特殊运送</w:t>
            </w:r>
          </w:p>
        </w:tc>
        <w:tc>
          <w:tcPr>
            <w:tcW w:w="6799" w:type="dxa"/>
            <w:tcBorders>
              <w:top w:val="nil"/>
              <w:left w:val="nil"/>
              <w:bottom w:val="single" w:color="auto" w:sz="4" w:space="0"/>
              <w:right w:val="single" w:color="auto" w:sz="4" w:space="0"/>
            </w:tcBorders>
            <w:vAlign w:val="center"/>
          </w:tcPr>
          <w:p w14:paraId="5D586A23">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bookmarkEnd w:id="442"/>
      <w:bookmarkEnd w:id="443"/>
      <w:bookmarkEnd w:id="444"/>
      <w:bookmarkEnd w:id="445"/>
    </w:tbl>
    <w:p w14:paraId="647E88CB">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p>
    <w:p w14:paraId="4A79CA9C">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p>
    <w:p w14:paraId="18B8BEE1">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一、一般规定</w:t>
      </w:r>
    </w:p>
    <w:p w14:paraId="04B0F16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必须持证上岗，并应精力充沛，头脑清醒。</w:t>
      </w:r>
    </w:p>
    <w:p w14:paraId="1077D3F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严格交接班制度，班中不得擅离工作岗位，更不准</w:t>
      </w:r>
      <w:r>
        <w:rPr>
          <w:rFonts w:hint="eastAsia" w:ascii="仿宋" w:hAnsi="仿宋" w:eastAsia="仿宋" w:cs="仿宋"/>
          <w:color w:val="auto"/>
          <w:sz w:val="28"/>
          <w:szCs w:val="28"/>
          <w:lang w:eastAsia="zh-CN"/>
        </w:rPr>
        <w:t>私自</w:t>
      </w:r>
      <w:r>
        <w:rPr>
          <w:rFonts w:hint="eastAsia" w:ascii="仿宋" w:hAnsi="仿宋" w:eastAsia="仿宋" w:cs="仿宋"/>
          <w:color w:val="auto"/>
          <w:sz w:val="28"/>
          <w:szCs w:val="28"/>
        </w:rPr>
        <w:t>找人代替。</w:t>
      </w:r>
    </w:p>
    <w:p w14:paraId="7C5F671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熟练掌握操作技术，精力集中，严格按规定要求发送信号，并做到清楚准确，严禁其他人员代替发送信号。</w:t>
      </w:r>
    </w:p>
    <w:p w14:paraId="36D66AE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爱护信号控制设备，保证信号按钮灵活、可靠。</w:t>
      </w:r>
    </w:p>
    <w:p w14:paraId="6609768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坚守工作岗位，不准脱岗、睡岗，不准做与本职无关的事情，不准与他人闲谈，打闹，一切无关人员严禁进入打点室。</w:t>
      </w:r>
    </w:p>
    <w:p w14:paraId="54DE969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严格执行操作规程，工作过程中，应主动与把钩工密切配合，当把钩工向信号工发出发送信号指令后，要监视乘人和装罐等情况，在确认一切正常后方可发送信号。</w:t>
      </w:r>
    </w:p>
    <w:p w14:paraId="261174C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提升时，接到把钩工发出走钩信号后，再认真检查车位、推车机、摇台、阻车器、安全门，确认安全无误后方可向绞车司机发出走钩信号。</w:t>
      </w:r>
    </w:p>
    <w:p w14:paraId="26FF57D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提升特殊物料时，必须执行好有关措施</w:t>
      </w:r>
      <w:r>
        <w:rPr>
          <w:rFonts w:hint="eastAsia" w:ascii="仿宋" w:hAnsi="仿宋" w:eastAsia="仿宋" w:cs="仿宋"/>
          <w:color w:val="auto"/>
          <w:sz w:val="28"/>
          <w:szCs w:val="28"/>
          <w:lang w:eastAsia="zh-CN"/>
        </w:rPr>
        <w:t>规定</w:t>
      </w:r>
      <w:r>
        <w:rPr>
          <w:rFonts w:hint="eastAsia" w:ascii="仿宋" w:hAnsi="仿宋" w:eastAsia="仿宋" w:cs="仿宋"/>
          <w:color w:val="auto"/>
          <w:sz w:val="28"/>
          <w:szCs w:val="28"/>
        </w:rPr>
        <w:t>。</w:t>
      </w:r>
    </w:p>
    <w:p w14:paraId="04CD16F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坚守岗位，严肃劳动纪律，严格执行井口有关管理制度，工作尽职尽责。</w:t>
      </w:r>
    </w:p>
    <w:p w14:paraId="0236AC5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维护好井口秩序，严格执行井口检身制度和人员清点制度，不准非工作人员在井口</w:t>
      </w:r>
      <w:r>
        <w:rPr>
          <w:rFonts w:hint="eastAsia" w:ascii="仿宋" w:hAnsi="仿宋" w:eastAsia="仿宋" w:cs="仿宋"/>
          <w:color w:val="auto"/>
          <w:sz w:val="28"/>
          <w:szCs w:val="28"/>
          <w:lang w:eastAsia="zh-CN"/>
        </w:rPr>
        <w:t>作业区域</w:t>
      </w:r>
      <w:r>
        <w:rPr>
          <w:rFonts w:hint="eastAsia" w:ascii="仿宋" w:hAnsi="仿宋" w:eastAsia="仿宋" w:cs="仿宋"/>
          <w:color w:val="auto"/>
          <w:sz w:val="28"/>
          <w:szCs w:val="28"/>
        </w:rPr>
        <w:t>内逗留。</w:t>
      </w:r>
    </w:p>
    <w:p w14:paraId="58C7D3E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入井人员随身携带的工具、材料等，必须做到小件装包，大件装矿车，以防井口坠物事故发生，发现违反规定现象，必须立即制止。</w:t>
      </w:r>
    </w:p>
    <w:p w14:paraId="742938D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每层罐笼乘坐人数不得超过规定数量</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严禁同一层罐笼内人员与物料混合提升。</w:t>
      </w:r>
    </w:p>
    <w:p w14:paraId="5AFE065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升降人员时，进车侧推车机必须停止工作，一切车辆停止往井筒方向运动，第一道阻车器前严禁存放任何车辆。</w:t>
      </w:r>
    </w:p>
    <w:p w14:paraId="1655E00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提升物料时，按规定要求填车，填好罐后，要认真检查车位、推车机、摇台、阻车器等是否正常，无误后方可向信号工发出清楚的走钩信号。</w:t>
      </w:r>
    </w:p>
    <w:p w14:paraId="072CA03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发现井口工作现场存在安全隐患，必须及时汇报，立即处理。</w:t>
      </w:r>
    </w:p>
    <w:p w14:paraId="4375608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认真排查本岗位的风险和隐患，并按照防控措施积极落实，消除岗位</w:t>
      </w:r>
      <w:r>
        <w:rPr>
          <w:rFonts w:hint="eastAsia" w:ascii="仿宋" w:hAnsi="仿宋" w:eastAsia="仿宋" w:cs="仿宋"/>
          <w:color w:val="auto"/>
          <w:sz w:val="28"/>
          <w:szCs w:val="28"/>
          <w:lang w:eastAsia="zh-CN"/>
        </w:rPr>
        <w:t>危险</w:t>
      </w:r>
      <w:r>
        <w:rPr>
          <w:rFonts w:hint="eastAsia" w:ascii="仿宋" w:hAnsi="仿宋" w:eastAsia="仿宋" w:cs="仿宋"/>
          <w:color w:val="auto"/>
          <w:sz w:val="28"/>
          <w:szCs w:val="28"/>
        </w:rPr>
        <w:t>隐患。</w:t>
      </w:r>
    </w:p>
    <w:p w14:paraId="7AF4A3EB">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二、薄弱人物排查治理办法</w:t>
      </w:r>
    </w:p>
    <w:p w14:paraId="4942296F">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薄弱人物</w:t>
      </w:r>
      <w:r>
        <w:rPr>
          <w:rFonts w:hint="eastAsia" w:ascii="仿宋" w:hAnsi="仿宋" w:eastAsia="仿宋" w:cs="仿宋"/>
          <w:b/>
          <w:bCs/>
          <w:color w:val="auto"/>
          <w:sz w:val="28"/>
          <w:szCs w:val="28"/>
        </w:rPr>
        <w:t>范畴</w:t>
      </w:r>
    </w:p>
    <w:p w14:paraId="3F14DF62">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嗜好饮酒的“迷糊人”：是指爱好喝酒、酗酒甚至容易醉酒的人。</w:t>
      </w:r>
    </w:p>
    <w:p w14:paraId="230ADE6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婚期前后的“甜蜜人”：是指正在筹备或者刚刚完成婚姻大事的人。</w:t>
      </w:r>
    </w:p>
    <w:p w14:paraId="51A3873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家有丧事的“失落人”：是指家庭有亲人离世导致情绪失落波动。</w:t>
      </w:r>
    </w:p>
    <w:p w14:paraId="412C965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经常违章的“大胆人”：是指自律能力差，对违章屡教不改的人。</w:t>
      </w:r>
    </w:p>
    <w:p w14:paraId="22FAA61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挨批受罚的“情绪人”：是指受到批评处罚情绪低落的人。</w:t>
      </w:r>
    </w:p>
    <w:p w14:paraId="75A863B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重新上岗的“三长人”：是指长伤、长病、长旷的返岗人员。</w:t>
      </w:r>
    </w:p>
    <w:p w14:paraId="1892972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极度疲劳的“硬撑人”：是指班后从事体力劳动极度疲惫的人。</w:t>
      </w:r>
    </w:p>
    <w:p w14:paraId="2164507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临近退休的“老年人”：是指年龄偏大（50岁以上）的老工人。</w:t>
      </w:r>
    </w:p>
    <w:p w14:paraId="06ED72F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随时发病的“体弱人”：是指被医院诊断患有高血压、心脏病、脑血栓、</w:t>
      </w:r>
      <w:r>
        <w:rPr>
          <w:rFonts w:hint="eastAsia" w:ascii="仿宋" w:hAnsi="仿宋" w:eastAsia="仿宋" w:cs="仿宋"/>
          <w:color w:val="auto"/>
          <w:sz w:val="28"/>
          <w:szCs w:val="28"/>
          <w:lang w:val="en-US" w:eastAsia="zh-CN"/>
        </w:rPr>
        <w:t>抑郁症</w:t>
      </w:r>
      <w:r>
        <w:rPr>
          <w:rFonts w:hint="eastAsia" w:ascii="仿宋" w:hAnsi="仿宋" w:eastAsia="仿宋" w:cs="仿宋"/>
          <w:color w:val="auto"/>
          <w:sz w:val="28"/>
          <w:szCs w:val="28"/>
          <w:lang w:eastAsia="zh-CN"/>
        </w:rPr>
        <w:t>等病情的人。</w:t>
      </w:r>
    </w:p>
    <w:p w14:paraId="1A3C17A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家境特殊的“纠结人”：是指频发家庭矛盾影响工作情绪的人。</w:t>
      </w:r>
    </w:p>
    <w:p w14:paraId="7BF059A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岗位调整的“转行人”：是指转换了工作岗位、改变了工作性质的人。</w:t>
      </w:r>
    </w:p>
    <w:p w14:paraId="248E71A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初来乍到的“新工人”：是指刚入矿或者从外单位调入的人。</w:t>
      </w:r>
    </w:p>
    <w:p w14:paraId="2B7266F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班前教育的“落空人”：是指未参加班前会的人。</w:t>
      </w:r>
    </w:p>
    <w:p w14:paraId="4B12892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心力交瘁的“上访人”：是指由于社会矛盾得不到及时解决有上访倾向的人。</w:t>
      </w:r>
    </w:p>
    <w:p w14:paraId="1906C31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八小时以外的“网络人”：是指工作之余，喜欢上网的年轻员工，班前休息不好，上班精力不集中。</w:t>
      </w:r>
    </w:p>
    <w:p w14:paraId="55F892A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性格粗暴的“鲁莽人”：是指性格简单粗暴的员工，工作急躁毛躁浮躁。</w:t>
      </w:r>
    </w:p>
    <w:p w14:paraId="27C01F3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反应迟钝的“麻木人”：是指工作麻痹大意、马虎凑付不在乎、反应迟钝的员工。</w:t>
      </w:r>
    </w:p>
    <w:p w14:paraId="4193A5B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不安心工作的“跳槽人”：是指不安心本职工作，意欲调动工作的人。</w:t>
      </w:r>
    </w:p>
    <w:p w14:paraId="2BB3E55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不服从管理的“顶牛人”：是指与管理人员或员工有矛盾，不服从管理的员工。</w:t>
      </w:r>
    </w:p>
    <w:p w14:paraId="56FDCD2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20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肩负第二职业的“经济人”：是指挣钱不要命，工作之余另有第二职业的人。</w:t>
      </w:r>
    </w:p>
    <w:p w14:paraId="21B60756">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（二）实施建档管理</w:t>
      </w:r>
    </w:p>
    <w:p w14:paraId="44600E7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岁以上老员工、患有疾病人员、其他人员等。当事人状况发生转变脱离了薄弱人物范畴的，及时予以“销号”。</w:t>
      </w:r>
    </w:p>
    <w:p w14:paraId="5B9754E8">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（三）具体排查方式</w:t>
      </w:r>
    </w:p>
    <w:p w14:paraId="55FF9A1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月度定性排查：深入掌握员工的思想、身体、爱好、家庭等情况，动态保持排查的敏感性，善于捕捉不良苗头，对薄弱人物进行分类定性，列出详细名单，根据分类定性情况，制定出具体防范措施。</w:t>
      </w:r>
    </w:p>
    <w:p w14:paraId="10F2CD5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每天班前排查：各单位召开班前会之前，首先由值班人员进行排查，对确定为薄弱人物的员工或者疑似薄弱人物的员工采取针对性措施，原则上“宁信其可能勿信其不可能”。</w:t>
      </w:r>
    </w:p>
    <w:p w14:paraId="6CE832E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color w:val="auto"/>
          <w:sz w:val="28"/>
          <w:szCs w:val="28"/>
          <w:lang w:val="en-US" w:eastAsia="zh-CN"/>
        </w:rPr>
        <w:t>洪亮</w:t>
      </w:r>
      <w:r>
        <w:rPr>
          <w:rFonts w:hint="eastAsia" w:ascii="仿宋" w:hAnsi="仿宋" w:eastAsia="仿宋" w:cs="仿宋"/>
          <w:color w:val="auto"/>
          <w:sz w:val="28"/>
          <w:szCs w:val="28"/>
          <w:lang w:eastAsia="zh-CN"/>
        </w:rPr>
        <w:t>、气息是否流畅，询“问”员工身体心理健康状况，“测”量员工血压等状况。值班人员根据排查情况，落实各项管理措施，填写专项记录。</w:t>
      </w:r>
    </w:p>
    <w:p w14:paraId="4307AD3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28E052F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10EA0A8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现场排查：通过管理人员、班组长和安监员现场巡查，特别是结对子人员，值班安全员，对言谈举止出现异常者给予特别关注，必须立即采取应急措施，严重者及时护送至医院进行诊治。</w:t>
      </w:r>
    </w:p>
    <w:p w14:paraId="34311EC6">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四</w:t>
      </w:r>
      <w:r>
        <w:rPr>
          <w:rFonts w:hint="eastAsia" w:ascii="仿宋" w:hAnsi="仿宋" w:eastAsia="仿宋" w:cs="仿宋"/>
          <w:b/>
          <w:bCs/>
          <w:color w:val="auto"/>
          <w:sz w:val="28"/>
          <w:szCs w:val="28"/>
        </w:rPr>
        <w:t>）薄弱人员管控措施</w:t>
      </w:r>
    </w:p>
    <w:p w14:paraId="7A01999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对于岗前饮酒者，坚决禁止上岗作业。轻者责令其回家休息，重者在区队原地休息或者安排人员护送回家。</w:t>
      </w:r>
    </w:p>
    <w:p w14:paraId="5EE9387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对于有喜事或丧事的人员，要通过面谈掌握当事人的心理状态，无异议后方可下井。</w:t>
      </w:r>
    </w:p>
    <w:p w14:paraId="0A90F73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对于经常违章的人员，要加强日常的教育，在班前会上注重提问，安排岗位要合理，原则上做到“疑人不用”。</w:t>
      </w:r>
    </w:p>
    <w:p w14:paraId="50DD59C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对于受到批评和处罚的员工，要加强心理疏导，让当事人放下思想包袱，解除心里抱怨，避免带着情绪上岗。</w:t>
      </w:r>
    </w:p>
    <w:p w14:paraId="4E9981B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对于“三长”人员，必须加强岗前教育培训，考试合格后方可上岗。上岗过程中，要作为重点的巡查盯靠对象，</w:t>
      </w:r>
      <w:r>
        <w:rPr>
          <w:rFonts w:hint="eastAsia" w:ascii="仿宋" w:hAnsi="仿宋" w:eastAsia="仿宋" w:cs="仿宋"/>
          <w:color w:val="auto"/>
          <w:sz w:val="28"/>
          <w:szCs w:val="28"/>
          <w:lang w:val="en-US" w:eastAsia="zh-CN"/>
        </w:rPr>
        <w:t>实施跟踪观察</w:t>
      </w:r>
      <w:r>
        <w:rPr>
          <w:rFonts w:hint="eastAsia" w:ascii="仿宋" w:hAnsi="仿宋" w:eastAsia="仿宋" w:cs="仿宋"/>
          <w:color w:val="auto"/>
          <w:sz w:val="28"/>
          <w:szCs w:val="28"/>
          <w:lang w:eastAsia="zh-CN"/>
        </w:rPr>
        <w:t>。</w:t>
      </w:r>
    </w:p>
    <w:p w14:paraId="0B7501C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对于有高血压、心脏病等病史的人，一旦发现异常情况，应立即安排其原地休息，必要的时候，到医院检查就医,并适时参加矿上统一组织的劳鉴工作。</w:t>
      </w:r>
    </w:p>
    <w:p w14:paraId="094C9A5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对于家庭矛盾突出的员工，应通过谈心或者家访的方式，及时为员工解决家庭矛盾，解开症结，保证员工轻装上岗。</w:t>
      </w:r>
    </w:p>
    <w:p w14:paraId="4CDFA89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对于临近退休的老工人，在安排岗位上首要考虑安全因素，原则上不安排攀高、抬重、高温等急难险重类型的作业。</w:t>
      </w:r>
    </w:p>
    <w:p w14:paraId="154E1E3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对于转岗员工当成新工人尽心管理，严格履行以师带徒合同，在老工人的带领下作业。</w:t>
      </w:r>
    </w:p>
    <w:p w14:paraId="3844DED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对于刚入伍或者新调入的员工，第一时间建立“员工信息档案”，详细掌握员工的综合状况，加强日常培训，经常开展交流谈心，由经验丰富的老工人与其签订师徒合同。</w:t>
      </w:r>
    </w:p>
    <w:p w14:paraId="5AE8736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凡是没有参加班前会学习教育的人员，一律严禁上岗作业。</w:t>
      </w:r>
    </w:p>
    <w:p w14:paraId="050213C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对于喜欢上网的年轻员工，要加强引导，多沟通勤交流，促使他们培养健康向上的生活工作情趣。</w:t>
      </w:r>
    </w:p>
    <w:p w14:paraId="00B9C742">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对于有上访倾向的人，要及时了解情况，掌握思想状态，活血化瘀，必要时可申请法律援助，解决实际困难。</w:t>
      </w:r>
    </w:p>
    <w:p w14:paraId="1A41ABC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对于反应迟钝、工作急躁毛躁浮躁的员工，要加强教育，使其克服缺点，结对子人员，必须安排一名沉稳人员带领，尽量避免让其承担单项工程和零星工程。</w:t>
      </w:r>
    </w:p>
    <w:p w14:paraId="2912FE7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对于不服从管理的员工，单位管理人员要及时做好一人一事的思想工作，解决存在的矛盾，使其心悦诚服、心情舒畅的投入工作。</w:t>
      </w:r>
    </w:p>
    <w:p w14:paraId="2551937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对于不安心工作或肩负第二职业的员工，单位主要领导要格外进行关注，进行一对一的帮教，使其回心转意，爱岗敬业，干好本职工作，时刻注意安全。</w:t>
      </w:r>
    </w:p>
    <w:p w14:paraId="5E0EAED9">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三、安全风险辨识与管控措施</w:t>
      </w:r>
    </w:p>
    <w:p w14:paraId="19B89D8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1.风险描述：井口把钩工不严格执行检身制度，入井人员携带违禁物品或尖锐的物品未进行包裹入罐下井存在危险隐患。</w:t>
      </w:r>
    </w:p>
    <w:p w14:paraId="0C027AB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管控措施：严格要求井口把钩工认真执行入井检身制度，对入井人员严格检查，严把入井安全关口。</w:t>
      </w:r>
    </w:p>
    <w:p w14:paraId="7260F8DE">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罐笼填车后，把钩工未出罐笼，信号工误操作关门时伤人。</w:t>
      </w:r>
    </w:p>
    <w:p w14:paraId="04BE4C25">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管控措施：加强信号工安全操作管理，提高责任心，每次操作前必须确认把钩工出罐笼后，方可进行相关操作。</w:t>
      </w:r>
    </w:p>
    <w:p w14:paraId="7495A50C">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风险描述：阻车器失效无法有效阻止车辆，造成车辆撞击人员，或车辆滑动坠井。</w:t>
      </w:r>
    </w:p>
    <w:p w14:paraId="6D43995B">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加强阻车器的日常检查，强调每班接班后必须对井口阻车装置进行全面细致的检查和试验。</w:t>
      </w:r>
    </w:p>
    <w:p w14:paraId="4D623ED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.风险描述：电气设备性能不良、损坏、过载、短路等，防灭火管理不到位可能造成火灾。</w:t>
      </w:r>
    </w:p>
    <w:p w14:paraId="60A8291E">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14:paraId="57994991">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井口推车装置损坏、运转不灵活或操作过急，发生车辆掉道造成人员受伤。</w:t>
      </w:r>
    </w:p>
    <w:p w14:paraId="2E01D35D">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管控措施：每班接班后必须对井口推车装置，进行全面细致的检查和试验，确保动作灵敏安全可靠。</w:t>
      </w:r>
    </w:p>
    <w:p w14:paraId="07EE03BF">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b/>
          <w:color w:val="auto"/>
          <w:sz w:val="28"/>
          <w:szCs w:val="28"/>
        </w:rPr>
      </w:pP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信号操作工精力不集中，罐笼到达停车位置后，未能及时发出停车信号，易造成过卷伤人事故。</w:t>
      </w:r>
    </w:p>
    <w:p w14:paraId="713A85A7">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管控措施：加大信号工安全管理力度，强调操作时，必须精力集中，谨慎操作。</w:t>
      </w:r>
    </w:p>
    <w:p w14:paraId="780695A9">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轨道质量不达标，在推车时发生车辆掉道伤人。</w:t>
      </w:r>
    </w:p>
    <w:p w14:paraId="22FDEFD1">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管控措施：安排专职轨道维修人员，每天对运行线路的轨道进行检查，发现问题及时处理。</w:t>
      </w:r>
    </w:p>
    <w:p w14:paraId="484F25A0">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井口把钩工填车时，未仔细检查车辆的完好情况和车辆物料装载的情况，提升过程中发生掉道、装载物料掉落伤人或坠井。</w:t>
      </w:r>
    </w:p>
    <w:p w14:paraId="533A6E99">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管控措施：严格要求把钩工必须认真检查入井车辆和物料的装载、封车情况，并严格执行物料装封车管理规定。</w:t>
      </w:r>
    </w:p>
    <w:p w14:paraId="1E2B72F1">
      <w:pPr>
        <w:keepNext w:val="0"/>
        <w:keepLines w:val="0"/>
        <w:pageBreakBefore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9.</w:t>
      </w:r>
      <w:r>
        <w:rPr>
          <w:rFonts w:hint="eastAsia" w:ascii="仿宋" w:hAnsi="仿宋" w:eastAsia="仿宋" w:cs="仿宋"/>
          <w:color w:val="auto"/>
          <w:sz w:val="28"/>
          <w:szCs w:val="28"/>
        </w:rPr>
        <w:t>风险描述：人员出入罐时，未注意罐笼位置以及行走路线，造成人员绊倒、摔伤。</w:t>
      </w:r>
    </w:p>
    <w:p w14:paraId="6B2D261D">
      <w:pPr>
        <w:keepNext w:val="0"/>
        <w:keepLines w:val="0"/>
        <w:pageBreakBefore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管控措施：人员出入罐时，要首先观察罐笼位置及行走路线，确认安全后，方可行走。</w:t>
      </w:r>
    </w:p>
    <w:p w14:paraId="7FF7BEB3">
      <w:pPr>
        <w:keepNext w:val="0"/>
        <w:keepLines w:val="0"/>
        <w:pageBreakBefore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10.</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人员入罐时，发生拥挤、抢罐造成人员挤伤、碰伤、摔伤。</w:t>
      </w:r>
    </w:p>
    <w:p w14:paraId="3D6B552C">
      <w:pPr>
        <w:keepNext w:val="0"/>
        <w:keepLines w:val="0"/>
        <w:pageBreakBefore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管控措施：把钩工必须维持好井口乘罐人员秩序。乘罐人员必须自觉遵守乘罐秩序，服从把钩工的指挥依次排队入罐。</w:t>
      </w:r>
    </w:p>
    <w:p w14:paraId="03759E0F">
      <w:pPr>
        <w:keepNext w:val="0"/>
        <w:keepLines w:val="0"/>
        <w:pageBreakBefore w:val="0"/>
        <w:numPr>
          <w:ilvl w:val="0"/>
          <w:numId w:val="0"/>
        </w:numPr>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（二）专用部分</w:t>
      </w:r>
    </w:p>
    <w:p w14:paraId="4AE3172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14:paraId="43DE1492">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①风险描述：照明灯失效，光线暗，容易误操作，存在设备损坏的风险。</w:t>
      </w:r>
    </w:p>
    <w:p w14:paraId="3B8825D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管控措施：操作前对照明进行检查，照明效果良好，发现问题，应及时汇报处理。</w:t>
      </w:r>
    </w:p>
    <w:p w14:paraId="0DC07DC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②风险描述：电话不畅通，发生电气设备及人员伤亡事故不能及时汇报，存在事故扩大的风险。</w:t>
      </w:r>
    </w:p>
    <w:p w14:paraId="08F9C21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管控措施：操作前对电话进行检查，发现电话不畅通或损坏的，及时告知维护人员，确保电话畅通完好。</w:t>
      </w:r>
    </w:p>
    <w:p w14:paraId="073DB82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③风险描述：操作柜或遥控器不完好，造成推车机、绞车无法正常运行，存在设备损坏的风险。</w:t>
      </w:r>
    </w:p>
    <w:p w14:paraId="0A4D797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管控措施：操作前检查操作柜、操作柜按钮、转换开关完好，显示屏显示正常，发现问题应及时汇报处理，否则严禁操作。</w:t>
      </w:r>
    </w:p>
    <w:p w14:paraId="7A60043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④风险描述：操作前，安全门未关闭，存在人员、车辆坠井的风险。</w:t>
      </w:r>
    </w:p>
    <w:p w14:paraId="3C096C3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管控措施：操作前检查安全门在关闭状态。</w:t>
      </w:r>
    </w:p>
    <w:p w14:paraId="1E4DA03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⑤风险描述：操作前，阻车器关闭不到位或未关闭，存在车辆坠井的风险。</w:t>
      </w:r>
    </w:p>
    <w:p w14:paraId="1EB27ED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管控措施：操作前检查阻车器在关闭状态。</w:t>
      </w:r>
    </w:p>
    <w:p w14:paraId="45A230B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⑥错发、误发信号，存在设备损坏和人员受伤的风险。</w:t>
      </w:r>
    </w:p>
    <w:p w14:paraId="39AF9FE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管控措施：信号的发出必须准确无误，若不慎错发信号，必须立即发送停止信号，然后再重新发送信号。</w:t>
      </w:r>
    </w:p>
    <w:p w14:paraId="5606E34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⑦信号发出前，下井人员秩序混乱，超员下井，携带工具材料下井，入井车辆存放位置不当，存在人员受伤的风险。</w:t>
      </w:r>
    </w:p>
    <w:p w14:paraId="542F061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管控措施：维持好入井人员秩序，按照乘罐人数核对入井人员，及时制止携带工具材料等不安全行为，车辆按规定存放。</w:t>
      </w:r>
    </w:p>
    <w:p w14:paraId="4EB0232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2.操作后</w:t>
      </w:r>
    </w:p>
    <w:p w14:paraId="73514B3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①风险描述：未按提升方向发信号，提升容器方向错误，造成提升容器过放，存在设备损坏、人员伤亡的风险。</w:t>
      </w:r>
    </w:p>
    <w:p w14:paraId="7FD9F4C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管控措施：信号发出后，仔细核对提升方向，发现异常，应立即打停电，然后重新发点。</w:t>
      </w:r>
    </w:p>
    <w:p w14:paraId="01172C9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②风险描述：操作后，安全门未关闭，存在人员、车辆坠井的风险。</w:t>
      </w:r>
    </w:p>
    <w:p w14:paraId="0E00A8B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管控措施：操作后检查安全门在关闭状态，防止人员、车辆坠井。</w:t>
      </w:r>
    </w:p>
    <w:p w14:paraId="0EA83DC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③风险描述：操作后，摇台未打开或行程不到位，罐笼碰触摇台，存在设备损坏的风险。</w:t>
      </w:r>
    </w:p>
    <w:p w14:paraId="6BE44E9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管控措施：操作后检查摇台已打开，发现摇台未打开或打不到位应立即打停点，并及时汇报处理。</w:t>
      </w:r>
    </w:p>
    <w:p w14:paraId="519CEEF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④风险描述：操作后，阻车器未关闭，存在车辆坠井的风险。</w:t>
      </w:r>
    </w:p>
    <w:p w14:paraId="122D6E1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管控措施：操作后检查阻车器已关闭，发现阻车器未关闭，应立即打停点，并及时汇报处理。</w:t>
      </w:r>
    </w:p>
    <w:p w14:paraId="1351907B">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14:paraId="1D7A4220">
      <w:pPr>
        <w:keepNext w:val="0"/>
        <w:keepLines w:val="0"/>
        <w:pageBreakBefore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14:paraId="10089D11">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eastAsia="zh-CN"/>
        </w:rPr>
        <w:t>照明</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照明良好充足</w:t>
      </w:r>
      <w:r>
        <w:rPr>
          <w:rFonts w:hint="eastAsia" w:ascii="仿宋" w:hAnsi="仿宋" w:eastAsia="仿宋" w:cs="仿宋"/>
          <w:color w:val="auto"/>
          <w:sz w:val="28"/>
          <w:szCs w:val="28"/>
        </w:rPr>
        <w:t>。</w:t>
      </w:r>
    </w:p>
    <w:p w14:paraId="306FD47F">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eastAsia="zh-CN"/>
        </w:rPr>
        <w:t>电话</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电话通畅</w:t>
      </w:r>
      <w:r>
        <w:rPr>
          <w:rFonts w:hint="eastAsia" w:ascii="仿宋" w:hAnsi="仿宋" w:eastAsia="仿宋" w:cs="仿宋"/>
          <w:color w:val="auto"/>
          <w:sz w:val="28"/>
          <w:szCs w:val="28"/>
        </w:rPr>
        <w:t>。</w:t>
      </w:r>
    </w:p>
    <w:p w14:paraId="1AEE2CAA">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eastAsia="zh-CN"/>
        </w:rPr>
        <w:t>操作柜</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操作柜完好，设备齐全可靠</w:t>
      </w:r>
      <w:r>
        <w:rPr>
          <w:rFonts w:hint="eastAsia" w:ascii="仿宋" w:hAnsi="仿宋" w:eastAsia="仿宋" w:cs="仿宋"/>
          <w:color w:val="auto"/>
          <w:sz w:val="28"/>
          <w:szCs w:val="28"/>
        </w:rPr>
        <w:t>。</w:t>
      </w:r>
    </w:p>
    <w:p w14:paraId="253A73E7">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eastAsia="zh-CN"/>
        </w:rPr>
        <w:t>安全门</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安全门运行灵活，能够正常关闭、打开</w:t>
      </w:r>
      <w:r>
        <w:rPr>
          <w:rFonts w:hint="eastAsia" w:ascii="仿宋" w:hAnsi="仿宋" w:eastAsia="仿宋" w:cs="仿宋"/>
          <w:color w:val="auto"/>
          <w:sz w:val="28"/>
          <w:szCs w:val="28"/>
        </w:rPr>
        <w:t>。</w:t>
      </w:r>
    </w:p>
    <w:p w14:paraId="28482455">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b w:val="0"/>
          <w:bCs/>
          <w:color w:val="auto"/>
          <w:sz w:val="28"/>
          <w:szCs w:val="28"/>
        </w:rPr>
        <w:t>摇台、阻车器</w:t>
      </w:r>
      <w:r>
        <w:rPr>
          <w:rFonts w:hint="eastAsia" w:ascii="仿宋" w:hAnsi="仿宋" w:eastAsia="仿宋" w:cs="仿宋"/>
          <w:color w:val="auto"/>
          <w:sz w:val="28"/>
          <w:szCs w:val="28"/>
        </w:rPr>
        <w:t>：</w:t>
      </w:r>
      <w:r>
        <w:rPr>
          <w:rFonts w:hint="eastAsia" w:ascii="仿宋" w:hAnsi="仿宋" w:eastAsia="仿宋" w:cs="仿宋"/>
          <w:b w:val="0"/>
          <w:bCs/>
          <w:color w:val="auto"/>
          <w:sz w:val="28"/>
          <w:szCs w:val="28"/>
        </w:rPr>
        <w:t>摇台、阻车器</w:t>
      </w:r>
      <w:r>
        <w:rPr>
          <w:rFonts w:hint="eastAsia" w:ascii="仿宋" w:hAnsi="仿宋" w:eastAsia="仿宋" w:cs="仿宋"/>
          <w:b w:val="0"/>
          <w:bCs/>
          <w:color w:val="auto"/>
          <w:sz w:val="28"/>
          <w:szCs w:val="28"/>
          <w:lang w:eastAsia="zh-CN"/>
        </w:rPr>
        <w:t>正常运行，灵敏可靠</w:t>
      </w:r>
      <w:r>
        <w:rPr>
          <w:rFonts w:hint="eastAsia" w:ascii="仿宋" w:hAnsi="仿宋" w:eastAsia="仿宋" w:cs="仿宋"/>
          <w:color w:val="auto"/>
          <w:sz w:val="28"/>
          <w:szCs w:val="28"/>
        </w:rPr>
        <w:t>。</w:t>
      </w:r>
    </w:p>
    <w:p w14:paraId="5E95D4EC">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6.信号：</w:t>
      </w:r>
      <w:r>
        <w:rPr>
          <w:rFonts w:hint="eastAsia" w:ascii="仿宋" w:hAnsi="仿宋" w:eastAsia="仿宋" w:cs="仿宋"/>
          <w:color w:val="auto"/>
          <w:sz w:val="28"/>
          <w:szCs w:val="28"/>
        </w:rPr>
        <w:t>信号清晰声光兼备</w:t>
      </w:r>
      <w:r>
        <w:rPr>
          <w:rFonts w:hint="eastAsia" w:ascii="仿宋" w:hAnsi="仿宋" w:eastAsia="仿宋" w:cs="仿宋"/>
          <w:color w:val="auto"/>
          <w:sz w:val="28"/>
          <w:szCs w:val="28"/>
          <w:lang w:eastAsia="zh-CN"/>
        </w:rPr>
        <w:t>。</w:t>
      </w:r>
    </w:p>
    <w:p w14:paraId="284CCDCC">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7.人员：</w:t>
      </w:r>
      <w:r>
        <w:rPr>
          <w:rFonts w:hint="eastAsia" w:ascii="仿宋" w:hAnsi="仿宋" w:eastAsia="仿宋" w:cs="仿宋"/>
          <w:color w:val="auto"/>
          <w:sz w:val="28"/>
          <w:szCs w:val="28"/>
        </w:rPr>
        <w:t>运行范围内无人员及障碍物</w:t>
      </w:r>
      <w:r>
        <w:rPr>
          <w:rFonts w:hint="eastAsia" w:ascii="仿宋" w:hAnsi="仿宋" w:eastAsia="仿宋" w:cs="仿宋"/>
          <w:color w:val="auto"/>
          <w:sz w:val="28"/>
          <w:szCs w:val="28"/>
          <w:lang w:eastAsia="zh-CN"/>
        </w:rPr>
        <w:t>。</w:t>
      </w:r>
    </w:p>
    <w:p w14:paraId="24DFECE4">
      <w:pPr>
        <w:keepNext w:val="0"/>
        <w:keepLines w:val="0"/>
        <w:pageBreakBefore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14:paraId="6E8B3C46">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1.电话、照明：电话畅通、照明明亮、完好。</w:t>
      </w:r>
    </w:p>
    <w:p w14:paraId="3355F16E">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2.操作台、信号、语音箱、警示牌板：操作台、语音箱完好，信号清晰声光兼备，警示牌板齐全完好。</w:t>
      </w:r>
    </w:p>
    <w:p w14:paraId="1F02D471">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3.阻车器：阻车器完好。</w:t>
      </w:r>
    </w:p>
    <w:p w14:paraId="1457D877">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4.推车机：推车机动作可靠。</w:t>
      </w:r>
    </w:p>
    <w:p w14:paraId="37112F48">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.工作范围内轨道、道岔：工作范围内轨道、道岔齐全完好</w:t>
      </w:r>
      <w:r>
        <w:rPr>
          <w:rFonts w:hint="eastAsia" w:ascii="仿宋" w:hAnsi="仿宋" w:eastAsia="仿宋" w:cs="仿宋"/>
          <w:color w:val="auto"/>
          <w:sz w:val="28"/>
          <w:szCs w:val="28"/>
          <w:lang w:eastAsia="zh-CN"/>
        </w:rPr>
        <w:t>。</w:t>
      </w:r>
    </w:p>
    <w:p w14:paraId="4F3A30CD">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eastAsia="zh-CN"/>
        </w:rPr>
        <w:t>五</w:t>
      </w:r>
      <w:r>
        <w:rPr>
          <w:rFonts w:hint="eastAsia" w:ascii="仿宋" w:hAnsi="仿宋" w:eastAsia="仿宋" w:cs="仿宋"/>
          <w:b/>
          <w:color w:val="auto"/>
          <w:sz w:val="28"/>
          <w:szCs w:val="28"/>
        </w:rPr>
        <w:t>、操作程序及安全规定</w:t>
      </w:r>
    </w:p>
    <w:p w14:paraId="2715BA24">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立井</w:t>
      </w:r>
      <w:r>
        <w:rPr>
          <w:rFonts w:hint="eastAsia" w:ascii="仿宋" w:hAnsi="仿宋" w:eastAsia="仿宋" w:cs="仿宋"/>
          <w:b/>
          <w:bCs/>
          <w:color w:val="auto"/>
          <w:sz w:val="28"/>
          <w:szCs w:val="28"/>
        </w:rPr>
        <w:t>信号把钩工接班后应作下列检查：</w:t>
      </w:r>
    </w:p>
    <w:p w14:paraId="363511E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接班后应首先与</w:t>
      </w:r>
      <w:r>
        <w:rPr>
          <w:rFonts w:hint="eastAsia" w:ascii="仿宋" w:hAnsi="仿宋" w:eastAsia="仿宋" w:cs="仿宋"/>
          <w:color w:val="auto"/>
          <w:sz w:val="28"/>
          <w:szCs w:val="28"/>
          <w:lang w:eastAsia="zh-CN"/>
        </w:rPr>
        <w:t>立井提升机</w:t>
      </w:r>
      <w:r>
        <w:rPr>
          <w:rFonts w:hint="eastAsia" w:ascii="仿宋" w:hAnsi="仿宋" w:eastAsia="仿宋" w:cs="仿宋"/>
          <w:color w:val="auto"/>
          <w:sz w:val="28"/>
          <w:szCs w:val="28"/>
        </w:rPr>
        <w:t>司机及其他信号把钩工联系好，仔细检查试验有关信号设备、设施是否正常，待一切安全可靠后方可正式操作。</w:t>
      </w:r>
    </w:p>
    <w:p w14:paraId="6A830D18">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（二）操作前应检查：</w:t>
      </w:r>
    </w:p>
    <w:p w14:paraId="3859990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1.照明：照明良好</w:t>
      </w:r>
    </w:p>
    <w:p w14:paraId="04E26D0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2.电话：电话畅通。</w:t>
      </w:r>
    </w:p>
    <w:p w14:paraId="6F6915D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w:t>
      </w:r>
      <w:r>
        <w:rPr>
          <w:rFonts w:hint="eastAsia" w:ascii="仿宋" w:hAnsi="仿宋" w:eastAsia="仿宋" w:cs="仿宋"/>
          <w:color w:val="auto"/>
          <w:sz w:val="28"/>
          <w:szCs w:val="28"/>
          <w:lang w:eastAsia="zh-CN"/>
        </w:rPr>
        <w:t>台</w:t>
      </w:r>
      <w:r>
        <w:rPr>
          <w:rFonts w:hint="eastAsia" w:ascii="仿宋" w:hAnsi="仿宋" w:eastAsia="仿宋" w:cs="仿宋"/>
          <w:color w:val="auto"/>
          <w:sz w:val="28"/>
          <w:szCs w:val="28"/>
        </w:rPr>
        <w:t>：操作</w:t>
      </w:r>
      <w:r>
        <w:rPr>
          <w:rFonts w:hint="eastAsia" w:ascii="仿宋" w:hAnsi="仿宋" w:eastAsia="仿宋" w:cs="仿宋"/>
          <w:color w:val="auto"/>
          <w:sz w:val="28"/>
          <w:szCs w:val="28"/>
          <w:lang w:eastAsia="zh-CN"/>
        </w:rPr>
        <w:t>台</w:t>
      </w:r>
      <w:r>
        <w:rPr>
          <w:rFonts w:hint="eastAsia" w:ascii="仿宋" w:hAnsi="仿宋" w:eastAsia="仿宋" w:cs="仿宋"/>
          <w:color w:val="auto"/>
          <w:sz w:val="28"/>
          <w:szCs w:val="28"/>
        </w:rPr>
        <w:t>按钮灵活，开关位置正确。</w:t>
      </w:r>
    </w:p>
    <w:p w14:paraId="180D448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4.安全门：安全门已关闭。</w:t>
      </w:r>
    </w:p>
    <w:p w14:paraId="3EAAD1C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5.摇台、阻车器：摇台已抬起，阻车器处于关闭状态。</w:t>
      </w:r>
    </w:p>
    <w:p w14:paraId="744E417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6.信号：信号清晰准确。</w:t>
      </w:r>
    </w:p>
    <w:p w14:paraId="69F0F0D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7.人员（车辆）：进车侧无闲杂人员。</w:t>
      </w:r>
    </w:p>
    <w:p w14:paraId="4F6122BF">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 xml:space="preserve">（三）操作过程的注意事项： </w:t>
      </w:r>
    </w:p>
    <w:p w14:paraId="7A7C4C0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1.看显示:随时观察信号、保护显示，发现异常立即发出停车信号。</w:t>
      </w:r>
    </w:p>
    <w:p w14:paraId="224FF3D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2.看设施:随时观察提升容器、连接装置、安全门、阻车器、摇台、推车机、钢丝绳，出现异常立即发出停车信号</w:t>
      </w:r>
      <w:r>
        <w:rPr>
          <w:rFonts w:hint="eastAsia" w:ascii="仿宋" w:hAnsi="仿宋" w:eastAsia="仿宋" w:cs="仿宋"/>
          <w:color w:val="auto"/>
          <w:sz w:val="28"/>
          <w:szCs w:val="28"/>
          <w:lang w:eastAsia="zh-CN"/>
        </w:rPr>
        <w:t>。</w:t>
      </w:r>
    </w:p>
    <w:p w14:paraId="16D6D98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3.看车辆:注意观察车辆位置及停放情况，出现异常及时处理。</w:t>
      </w:r>
    </w:p>
    <w:p w14:paraId="782A231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4.看人员:严禁其他人员靠近井口；保证乘罐人数不超定员，严禁乘罐人员私自打开罐门上下，严禁人员肢体或携带工具伸出罐外。附近有人或障碍物时，严禁操作操车设备。</w:t>
      </w:r>
    </w:p>
    <w:p w14:paraId="3EA980C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5.听异响:井筒、设备出现异响立即发出停车信号。</w:t>
      </w:r>
    </w:p>
    <w:p w14:paraId="2971D66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6.听信号</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严格按信号指令操作，信号不明严禁发出开车信号。</w:t>
      </w:r>
    </w:p>
    <w:p w14:paraId="477BC6A2">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7.嗅异味:闻到异常气味立即发出停车信号。</w:t>
      </w:r>
    </w:p>
    <w:p w14:paraId="06BDF03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8.普通物料:严禁在同一层罐笼内人员和物料混合提升。</w:t>
      </w:r>
    </w:p>
    <w:p w14:paraId="5DC26FA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9.特殊物料：除护送人员外，装有爆炸型、易燃性或腐蚀性物品的罐笼内不得乘坐其他人员。 禁止无措施运送“四超”车辆。</w:t>
      </w:r>
    </w:p>
    <w:p w14:paraId="01CA08E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10.位置：严禁离开工作岗位。</w:t>
      </w:r>
    </w:p>
    <w:p w14:paraId="6D529E16">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（四）信号发出后确认：</w:t>
      </w:r>
    </w:p>
    <w:p w14:paraId="28B1594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1.提升方向：根据信号指示确认提升方向。</w:t>
      </w:r>
    </w:p>
    <w:p w14:paraId="55211DE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2.安全门：安全门已关闭。</w:t>
      </w:r>
    </w:p>
    <w:p w14:paraId="39D39B5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3.摇台：摇台已升起。</w:t>
      </w:r>
    </w:p>
    <w:p w14:paraId="709F877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阻车器：阻车器已关闭。</w:t>
      </w:r>
    </w:p>
    <w:p w14:paraId="0F496C14">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highlight w:val="none"/>
        </w:rPr>
        <w:t>典型事故案例</w:t>
      </w:r>
      <w:r>
        <w:rPr>
          <w:rFonts w:hint="eastAsia" w:ascii="仿宋" w:hAnsi="仿宋" w:eastAsia="仿宋" w:cs="仿宋"/>
          <w:b/>
          <w:bCs/>
          <w:color w:val="auto"/>
          <w:sz w:val="28"/>
          <w:szCs w:val="28"/>
          <w:highlight w:val="none"/>
          <w:lang w:eastAsia="zh-CN"/>
        </w:rPr>
        <w:t>：</w:t>
      </w:r>
    </w:p>
    <w:p w14:paraId="1FD0F5C5">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center"/>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副井下井口件车卡罐事故分析报告</w:t>
      </w:r>
    </w:p>
    <w:p w14:paraId="283AF4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事故经过：</w:t>
      </w:r>
    </w:p>
    <w:p w14:paraId="63CEF2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2014年5月8日中班20：50分左右，副井上井口将北罐填入2个开关车并下放，到达副井下井口后，下井口把钩工先将北罐下层罐笼内的开关车推出并平罐，再将上层罐笼准备填入件车，将开关车顶出罐笼时，当件车进入罐笼，罐笼突然出现下降，造成开关车底盘出罐时卡入东井口摇台。后经现场处理，于10:15分恢复正常。</w:t>
      </w:r>
    </w:p>
    <w:p w14:paraId="3DC9D8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事故原因：</w:t>
      </w:r>
    </w:p>
    <w:p w14:paraId="0A52B6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副井下井口信号工对件车的重量估计不足，罐笼位置调整不到位，是造成本次卡罐事故的主要原因。</w:t>
      </w:r>
    </w:p>
    <w:p w14:paraId="0E213C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副井下井口西侧把钩工工作时出现“四躁”现象，图省事、怕麻烦，直接利用件车将开关车推出，是造成本次卡罐事故的一个原因。</w:t>
      </w:r>
    </w:p>
    <w:p w14:paraId="671FDA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班组安全管理不到位，安全意识不强，重生产、轻安全，是造成本次卡罐事故的一个原因。</w:t>
      </w:r>
    </w:p>
    <w:p w14:paraId="341DB9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工区对员工的安全教育管理不到位，致使个别员工存有“三惯”“四躁”心理，对现场抓的不严不细，是本次事故的又一个原因。</w:t>
      </w:r>
    </w:p>
    <w:p w14:paraId="1F4391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防范措施：</w:t>
      </w:r>
    </w:p>
    <w:p w14:paraId="26C5DA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此次事故发生后，运输工区加强井口信号工、把钩工的安全教育，吸取本次事故的教训，举一反三，杜绝类似事故的发生，确保井口提升的安全生产。</w:t>
      </w:r>
    </w:p>
    <w:p w14:paraId="2034F0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在工区班前会上对本次事故进行传达，加强员工责任心，并要求信号工熟悉各种物料的重量，并根据井口物料配重表严格执行罐笼的配重；对不熟知的物料重量，在填罐时必须先将罐笼内的物料推出后，方可填入；并在填罐时调整好罐笼位置，确保填罐一次到位，杜绝类似事故再次发生。</w:t>
      </w:r>
    </w:p>
    <w:p w14:paraId="4BEC1B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加强员工的安全思想教育，让员工牢固树立安全第一的思想，坚决克服“四躁”现象，杜绝类似事故再次发生。</w:t>
      </w:r>
    </w:p>
    <w:p w14:paraId="7BCEA522">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eastAsia="zh-CN"/>
        </w:rPr>
        <w:t>七</w:t>
      </w:r>
      <w:r>
        <w:rPr>
          <w:rFonts w:hint="eastAsia" w:ascii="仿宋" w:hAnsi="仿宋" w:eastAsia="仿宋" w:cs="仿宋"/>
          <w:b/>
          <w:color w:val="auto"/>
          <w:sz w:val="28"/>
          <w:szCs w:val="28"/>
        </w:rPr>
        <w:t>、常见三违</w:t>
      </w:r>
    </w:p>
    <w:p w14:paraId="53B98869">
      <w:pPr>
        <w:keepNext w:val="0"/>
        <w:keepLines w:val="0"/>
        <w:pageBreakBefore w:val="0"/>
        <w:kinsoku/>
        <w:wordWrap/>
        <w:overflowPunct/>
        <w:topLinePunct w:val="0"/>
        <w:autoSpaceDE/>
        <w:autoSpaceDN/>
        <w:bidi w:val="0"/>
        <w:adjustRightInd/>
        <w:snapToGrid/>
        <w:spacing w:line="500" w:lineRule="exact"/>
        <w:ind w:left="-359" w:leftChars="-171" w:right="-178" w:rightChars="-85" w:firstLine="840" w:firstLineChars="3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（一）</w:t>
      </w:r>
      <w:r>
        <w:rPr>
          <w:rFonts w:hint="eastAsia" w:ascii="仿宋" w:hAnsi="仿宋" w:eastAsia="仿宋" w:cs="仿宋"/>
          <w:color w:val="auto"/>
          <w:sz w:val="28"/>
          <w:szCs w:val="28"/>
          <w:u w:val="none"/>
        </w:rPr>
        <w:t>安排未通过规程、措施学习考试、签字或考试不及格的职工上岗作业</w:t>
      </w:r>
      <w:r>
        <w:rPr>
          <w:rFonts w:hint="eastAsia" w:ascii="仿宋" w:hAnsi="仿宋" w:eastAsia="仿宋" w:cs="仿宋"/>
          <w:color w:val="auto"/>
          <w:sz w:val="28"/>
          <w:szCs w:val="28"/>
          <w:u w:val="none"/>
          <w:lang w:eastAsia="zh-CN"/>
        </w:rPr>
        <w:t>；</w:t>
      </w:r>
    </w:p>
    <w:p w14:paraId="4B7BAD9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（二）</w:t>
      </w:r>
      <w:r>
        <w:rPr>
          <w:rFonts w:hint="eastAsia" w:ascii="仿宋" w:hAnsi="仿宋" w:eastAsia="仿宋" w:cs="仿宋"/>
          <w:color w:val="auto"/>
          <w:sz w:val="28"/>
          <w:szCs w:val="28"/>
          <w:u w:val="none"/>
        </w:rPr>
        <w:t>对抵制或举报制止违章的人员进行打击报复</w:t>
      </w:r>
      <w:r>
        <w:rPr>
          <w:rFonts w:hint="eastAsia" w:ascii="仿宋" w:hAnsi="仿宋" w:eastAsia="仿宋" w:cs="仿宋"/>
          <w:color w:val="auto"/>
          <w:sz w:val="28"/>
          <w:szCs w:val="28"/>
          <w:u w:val="none"/>
          <w:lang w:eastAsia="zh-CN"/>
        </w:rPr>
        <w:t>；</w:t>
      </w:r>
    </w:p>
    <w:p w14:paraId="06B779D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（三）</w:t>
      </w:r>
      <w:r>
        <w:rPr>
          <w:rFonts w:hint="eastAsia" w:ascii="仿宋" w:hAnsi="仿宋" w:eastAsia="仿宋" w:cs="仿宋"/>
          <w:color w:val="auto"/>
          <w:sz w:val="28"/>
          <w:szCs w:val="28"/>
          <w:u w:val="none"/>
        </w:rPr>
        <w:t>井下睡岗、躺岗、脱岗</w:t>
      </w:r>
      <w:r>
        <w:rPr>
          <w:rFonts w:hint="eastAsia" w:ascii="仿宋" w:hAnsi="仿宋" w:eastAsia="仿宋" w:cs="仿宋"/>
          <w:color w:val="auto"/>
          <w:sz w:val="28"/>
          <w:szCs w:val="28"/>
          <w:u w:val="none"/>
          <w:lang w:eastAsia="zh-CN"/>
        </w:rPr>
        <w:t>；</w:t>
      </w:r>
    </w:p>
    <w:p w14:paraId="3DC1EB80">
      <w:pPr>
        <w:pStyle w:val="16"/>
        <w:keepNext w:val="0"/>
        <w:keepLines w:val="0"/>
        <w:pageBreakBefore w:val="0"/>
        <w:kinsoku/>
        <w:wordWrap/>
        <w:overflowPunct/>
        <w:topLinePunct w:val="0"/>
        <w:autoSpaceDE/>
        <w:autoSpaceDN/>
        <w:bidi w:val="0"/>
        <w:adjustRightInd/>
        <w:snapToGrid/>
        <w:spacing w:before="0" w:beforeAutospacing="0" w:after="0" w:afterAutospacing="0"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（四）</w:t>
      </w:r>
      <w:r>
        <w:rPr>
          <w:rFonts w:hint="eastAsia" w:ascii="仿宋" w:hAnsi="仿宋" w:eastAsia="仿宋" w:cs="仿宋"/>
          <w:color w:val="auto"/>
          <w:sz w:val="28"/>
          <w:szCs w:val="28"/>
          <w:u w:val="none"/>
        </w:rPr>
        <w:t>私自携带烟火下井</w:t>
      </w:r>
      <w:r>
        <w:rPr>
          <w:rFonts w:hint="eastAsia" w:ascii="仿宋" w:hAnsi="仿宋" w:eastAsia="仿宋" w:cs="仿宋"/>
          <w:color w:val="auto"/>
          <w:sz w:val="28"/>
          <w:szCs w:val="28"/>
          <w:u w:val="none"/>
          <w:lang w:eastAsia="zh-CN"/>
        </w:rPr>
        <w:t>；</w:t>
      </w:r>
    </w:p>
    <w:p w14:paraId="122EA34B">
      <w:pPr>
        <w:pStyle w:val="16"/>
        <w:keepNext w:val="0"/>
        <w:keepLines w:val="0"/>
        <w:pageBreakBefore w:val="0"/>
        <w:kinsoku/>
        <w:wordWrap/>
        <w:overflowPunct/>
        <w:topLinePunct w:val="0"/>
        <w:autoSpaceDE/>
        <w:autoSpaceDN/>
        <w:bidi w:val="0"/>
        <w:adjustRightInd/>
        <w:snapToGrid/>
        <w:spacing w:before="0" w:beforeAutospacing="0" w:after="0" w:afterAutospacing="0"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（五）</w:t>
      </w:r>
      <w:r>
        <w:rPr>
          <w:rFonts w:hint="eastAsia" w:ascii="仿宋" w:hAnsi="仿宋" w:eastAsia="仿宋" w:cs="仿宋"/>
          <w:color w:val="auto"/>
          <w:sz w:val="28"/>
          <w:szCs w:val="28"/>
          <w:u w:val="none"/>
        </w:rPr>
        <w:t>人员酒后上岗</w:t>
      </w:r>
      <w:r>
        <w:rPr>
          <w:rFonts w:hint="eastAsia" w:ascii="仿宋" w:hAnsi="仿宋" w:eastAsia="仿宋" w:cs="仿宋"/>
          <w:color w:val="auto"/>
          <w:sz w:val="28"/>
          <w:szCs w:val="28"/>
          <w:u w:val="none"/>
          <w:lang w:eastAsia="zh-CN"/>
        </w:rPr>
        <w:t>；</w:t>
      </w:r>
    </w:p>
    <w:p w14:paraId="4E452D0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u w:val="none"/>
          <w:lang w:eastAsia="zh-CN"/>
        </w:rPr>
      </w:pPr>
      <w:r>
        <w:rPr>
          <w:rFonts w:hint="eastAsia" w:ascii="仿宋" w:hAnsi="仿宋" w:eastAsia="仿宋" w:cs="仿宋"/>
          <w:bCs/>
          <w:color w:val="auto"/>
          <w:sz w:val="28"/>
          <w:szCs w:val="28"/>
          <w:u w:val="none"/>
          <w:lang w:val="en-US" w:eastAsia="zh-CN"/>
        </w:rPr>
        <w:t>（六）</w:t>
      </w:r>
      <w:r>
        <w:rPr>
          <w:rFonts w:hint="eastAsia" w:ascii="仿宋" w:hAnsi="仿宋" w:eastAsia="仿宋" w:cs="仿宋"/>
          <w:color w:val="auto"/>
          <w:sz w:val="28"/>
          <w:szCs w:val="28"/>
          <w:u w:val="none"/>
        </w:rPr>
        <w:t>井下员工打架斗殴</w:t>
      </w:r>
      <w:r>
        <w:rPr>
          <w:rFonts w:hint="eastAsia" w:ascii="仿宋" w:hAnsi="仿宋" w:eastAsia="仿宋" w:cs="仿宋"/>
          <w:color w:val="auto"/>
          <w:sz w:val="28"/>
          <w:szCs w:val="28"/>
          <w:u w:val="none"/>
          <w:lang w:eastAsia="zh-CN"/>
        </w:rPr>
        <w:t>；</w:t>
      </w:r>
    </w:p>
    <w:p w14:paraId="23A830A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（七）</w:t>
      </w:r>
      <w:r>
        <w:rPr>
          <w:rFonts w:hint="eastAsia" w:ascii="仿宋" w:hAnsi="仿宋" w:eastAsia="仿宋" w:cs="仿宋"/>
          <w:color w:val="auto"/>
          <w:sz w:val="28"/>
          <w:szCs w:val="28"/>
          <w:u w:val="none"/>
        </w:rPr>
        <w:t>井下随便拆卸、</w:t>
      </w:r>
      <w:r>
        <w:rPr>
          <w:rFonts w:hint="eastAsia" w:ascii="仿宋" w:hAnsi="仿宋" w:eastAsia="仿宋" w:cs="仿宋"/>
          <w:bCs/>
          <w:color w:val="auto"/>
          <w:sz w:val="28"/>
          <w:szCs w:val="28"/>
          <w:u w:val="none"/>
        </w:rPr>
        <w:t>敲打、撞击矿灯</w:t>
      </w:r>
      <w:r>
        <w:rPr>
          <w:rFonts w:hint="eastAsia" w:ascii="仿宋" w:hAnsi="仿宋" w:eastAsia="仿宋" w:cs="仿宋"/>
          <w:bCs/>
          <w:color w:val="auto"/>
          <w:sz w:val="28"/>
          <w:szCs w:val="28"/>
          <w:u w:val="none"/>
          <w:lang w:eastAsia="zh-CN"/>
        </w:rPr>
        <w:t>；</w:t>
      </w:r>
    </w:p>
    <w:p w14:paraId="34F9CAA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（八）</w:t>
      </w:r>
      <w:r>
        <w:rPr>
          <w:rFonts w:hint="eastAsia" w:ascii="仿宋" w:hAnsi="仿宋" w:eastAsia="仿宋" w:cs="仿宋"/>
          <w:color w:val="auto"/>
          <w:sz w:val="28"/>
          <w:szCs w:val="28"/>
          <w:u w:val="none"/>
        </w:rPr>
        <w:t>井下不按规定佩带</w:t>
      </w:r>
      <w:r>
        <w:rPr>
          <w:rFonts w:hint="eastAsia" w:ascii="仿宋" w:hAnsi="仿宋" w:eastAsia="仿宋" w:cs="仿宋"/>
          <w:bCs/>
          <w:color w:val="auto"/>
          <w:sz w:val="28"/>
          <w:szCs w:val="28"/>
          <w:u w:val="none"/>
        </w:rPr>
        <w:t>矿灯、</w:t>
      </w:r>
      <w:r>
        <w:rPr>
          <w:rFonts w:hint="eastAsia" w:ascii="仿宋" w:hAnsi="仿宋" w:eastAsia="仿宋" w:cs="仿宋"/>
          <w:color w:val="auto"/>
          <w:sz w:val="28"/>
          <w:szCs w:val="28"/>
          <w:u w:val="none"/>
        </w:rPr>
        <w:t>自救器或安全帽</w:t>
      </w:r>
      <w:r>
        <w:rPr>
          <w:rFonts w:hint="eastAsia" w:ascii="仿宋" w:hAnsi="仿宋" w:eastAsia="仿宋" w:cs="仿宋"/>
          <w:color w:val="auto"/>
          <w:sz w:val="28"/>
          <w:szCs w:val="28"/>
          <w:u w:val="none"/>
          <w:lang w:eastAsia="zh-CN"/>
        </w:rPr>
        <w:t>；</w:t>
      </w:r>
    </w:p>
    <w:p w14:paraId="71C95B4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（九）</w:t>
      </w:r>
      <w:r>
        <w:rPr>
          <w:rFonts w:hint="eastAsia" w:ascii="仿宋" w:hAnsi="仿宋" w:eastAsia="仿宋" w:cs="仿宋"/>
          <w:color w:val="auto"/>
          <w:sz w:val="28"/>
          <w:szCs w:val="28"/>
          <w:u w:val="none"/>
        </w:rPr>
        <w:t>不按规定操作信号</w:t>
      </w:r>
      <w:r>
        <w:rPr>
          <w:rFonts w:hint="eastAsia" w:ascii="仿宋" w:hAnsi="仿宋" w:eastAsia="仿宋" w:cs="仿宋"/>
          <w:color w:val="auto"/>
          <w:sz w:val="28"/>
          <w:szCs w:val="28"/>
          <w:u w:val="none"/>
          <w:lang w:eastAsia="zh-CN"/>
        </w:rPr>
        <w:t>；</w:t>
      </w:r>
    </w:p>
    <w:p w14:paraId="272CFE4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w:t>
      </w:r>
      <w:r>
        <w:rPr>
          <w:rFonts w:hint="eastAsia" w:ascii="仿宋" w:hAnsi="仿宋" w:eastAsia="仿宋" w:cs="仿宋"/>
          <w:color w:val="auto"/>
          <w:sz w:val="28"/>
          <w:szCs w:val="28"/>
          <w:u w:val="none"/>
        </w:rPr>
        <w:t>上下井侯罐抢上抢下不服从管理</w:t>
      </w:r>
      <w:r>
        <w:rPr>
          <w:rFonts w:hint="eastAsia" w:ascii="仿宋" w:hAnsi="仿宋" w:eastAsia="仿宋" w:cs="仿宋"/>
          <w:color w:val="auto"/>
          <w:sz w:val="28"/>
          <w:szCs w:val="28"/>
          <w:u w:val="none"/>
          <w:lang w:eastAsia="zh-CN"/>
        </w:rPr>
        <w:t>；</w:t>
      </w:r>
    </w:p>
    <w:p w14:paraId="344B675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（十一）</w:t>
      </w:r>
      <w:r>
        <w:rPr>
          <w:rFonts w:hint="eastAsia" w:ascii="仿宋" w:hAnsi="仿宋" w:eastAsia="仿宋" w:cs="仿宋"/>
          <w:color w:val="auto"/>
          <w:sz w:val="28"/>
          <w:szCs w:val="28"/>
          <w:u w:val="none"/>
        </w:rPr>
        <w:t>地面严禁烟火区域或井口20米范围内吸烟、点火</w:t>
      </w:r>
      <w:r>
        <w:rPr>
          <w:rFonts w:hint="eastAsia" w:ascii="仿宋" w:hAnsi="仿宋" w:eastAsia="仿宋" w:cs="仿宋"/>
          <w:color w:val="auto"/>
          <w:sz w:val="28"/>
          <w:szCs w:val="28"/>
          <w:u w:val="none"/>
          <w:lang w:eastAsia="zh-CN"/>
        </w:rPr>
        <w:t>；</w:t>
      </w:r>
    </w:p>
    <w:p w14:paraId="6EF25F4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（十二）</w:t>
      </w:r>
      <w:r>
        <w:rPr>
          <w:rFonts w:hint="eastAsia" w:ascii="仿宋" w:hAnsi="仿宋" w:eastAsia="仿宋" w:cs="仿宋"/>
          <w:color w:val="auto"/>
          <w:sz w:val="28"/>
          <w:szCs w:val="28"/>
          <w:u w:val="none"/>
        </w:rPr>
        <w:t>因操作不当损坏安全设施</w:t>
      </w:r>
      <w:r>
        <w:rPr>
          <w:rFonts w:hint="eastAsia" w:ascii="仿宋" w:hAnsi="仿宋" w:eastAsia="仿宋" w:cs="仿宋"/>
          <w:color w:val="auto"/>
          <w:sz w:val="28"/>
          <w:szCs w:val="28"/>
          <w:u w:val="none"/>
          <w:lang w:eastAsia="zh-CN"/>
        </w:rPr>
        <w:t>；</w:t>
      </w:r>
    </w:p>
    <w:p w14:paraId="5200CE9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（十三）</w:t>
      </w:r>
      <w:r>
        <w:rPr>
          <w:rFonts w:hint="eastAsia" w:ascii="仿宋" w:hAnsi="仿宋" w:eastAsia="仿宋" w:cs="仿宋"/>
          <w:color w:val="auto"/>
          <w:sz w:val="28"/>
          <w:szCs w:val="28"/>
          <w:u w:val="none"/>
        </w:rPr>
        <w:t>下井穿化纤衣服</w:t>
      </w:r>
      <w:r>
        <w:rPr>
          <w:rFonts w:hint="eastAsia" w:ascii="仿宋" w:hAnsi="仿宋" w:eastAsia="仿宋" w:cs="仿宋"/>
          <w:color w:val="auto"/>
          <w:sz w:val="28"/>
          <w:szCs w:val="28"/>
          <w:u w:val="none"/>
          <w:lang w:eastAsia="zh-CN"/>
        </w:rPr>
        <w:t>；</w:t>
      </w:r>
    </w:p>
    <w:p w14:paraId="28084F7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（十四）</w:t>
      </w:r>
      <w:r>
        <w:rPr>
          <w:rFonts w:hint="eastAsia" w:ascii="仿宋" w:hAnsi="仿宋" w:eastAsia="仿宋" w:cs="仿宋"/>
          <w:color w:val="auto"/>
          <w:sz w:val="28"/>
          <w:szCs w:val="28"/>
          <w:u w:val="none"/>
        </w:rPr>
        <w:t>入井人员不穿带有反光标识的工作服</w:t>
      </w:r>
      <w:r>
        <w:rPr>
          <w:rFonts w:hint="eastAsia" w:ascii="仿宋" w:hAnsi="仿宋" w:eastAsia="仿宋" w:cs="仿宋"/>
          <w:color w:val="auto"/>
          <w:sz w:val="28"/>
          <w:szCs w:val="28"/>
          <w:u w:val="none"/>
          <w:lang w:eastAsia="zh-CN"/>
        </w:rPr>
        <w:t>。</w:t>
      </w:r>
    </w:p>
    <w:p w14:paraId="1740DE8F">
      <w:pPr>
        <w:rPr>
          <w:rFonts w:hint="eastAsia" w:ascii="仿宋" w:hAnsi="仿宋" w:eastAsia="仿宋" w:cs="仿宋"/>
          <w:b/>
          <w:color w:val="auto"/>
          <w:kern w:val="0"/>
          <w:sz w:val="36"/>
          <w:szCs w:val="36"/>
          <w:lang w:eastAsia="zh-CN"/>
        </w:rPr>
      </w:pPr>
      <w:bookmarkStart w:id="446" w:name="_Toc17220"/>
      <w:bookmarkStart w:id="447" w:name="_Toc22820"/>
      <w:r>
        <w:rPr>
          <w:rFonts w:hint="eastAsia" w:ascii="仿宋" w:hAnsi="仿宋" w:eastAsia="仿宋" w:cs="仿宋"/>
          <w:b/>
          <w:color w:val="auto"/>
          <w:kern w:val="0"/>
          <w:sz w:val="36"/>
          <w:szCs w:val="36"/>
          <w:lang w:eastAsia="zh-CN"/>
        </w:rPr>
        <w:br w:type="page"/>
      </w:r>
    </w:p>
    <w:p w14:paraId="5D1929C4">
      <w:pPr>
        <w:spacing w:before="100" w:beforeAutospacing="1" w:after="100" w:afterAutospacing="1" w:line="380" w:lineRule="exact"/>
        <w:ind w:left="19" w:leftChars="9"/>
        <w:jc w:val="center"/>
        <w:outlineLvl w:val="1"/>
        <w:rPr>
          <w:rFonts w:hint="eastAsia" w:ascii="仿宋" w:hAnsi="仿宋" w:eastAsia="仿宋" w:cs="仿宋"/>
          <w:b/>
          <w:color w:val="auto"/>
          <w:sz w:val="36"/>
          <w:szCs w:val="36"/>
        </w:rPr>
      </w:pPr>
      <w:bookmarkStart w:id="448" w:name="_Toc6090"/>
      <w:r>
        <w:rPr>
          <w:rFonts w:hint="eastAsia" w:ascii="仿宋" w:hAnsi="仿宋" w:eastAsia="仿宋" w:cs="仿宋"/>
          <w:b/>
          <w:color w:val="auto"/>
          <w:kern w:val="0"/>
          <w:sz w:val="36"/>
          <w:szCs w:val="36"/>
          <w:lang w:eastAsia="zh-CN"/>
        </w:rPr>
        <w:t>提升机</w:t>
      </w:r>
      <w:r>
        <w:rPr>
          <w:rFonts w:hint="eastAsia" w:ascii="仿宋" w:hAnsi="仿宋" w:eastAsia="仿宋" w:cs="仿宋"/>
          <w:b/>
          <w:color w:val="auto"/>
          <w:kern w:val="0"/>
          <w:sz w:val="36"/>
          <w:szCs w:val="36"/>
        </w:rPr>
        <w:t>司机</w:t>
      </w:r>
      <w:bookmarkEnd w:id="446"/>
      <w:bookmarkEnd w:id="447"/>
      <w:bookmarkEnd w:id="448"/>
    </w:p>
    <w:tbl>
      <w:tblPr>
        <w:tblStyle w:val="12"/>
        <w:tblW w:w="9006" w:type="dxa"/>
        <w:jc w:val="center"/>
        <w:tblLayout w:type="fixed"/>
        <w:tblCellMar>
          <w:top w:w="0" w:type="dxa"/>
          <w:left w:w="108" w:type="dxa"/>
          <w:bottom w:w="0" w:type="dxa"/>
          <w:right w:w="108" w:type="dxa"/>
        </w:tblCellMar>
      </w:tblPr>
      <w:tblGrid>
        <w:gridCol w:w="835"/>
        <w:gridCol w:w="3642"/>
        <w:gridCol w:w="754"/>
        <w:gridCol w:w="3775"/>
      </w:tblGrid>
      <w:tr w14:paraId="0C7C7FB1">
        <w:tblPrEx>
          <w:tblCellMar>
            <w:top w:w="0" w:type="dxa"/>
            <w:left w:w="108" w:type="dxa"/>
            <w:bottom w:w="0" w:type="dxa"/>
            <w:right w:w="108" w:type="dxa"/>
          </w:tblCellMar>
        </w:tblPrEx>
        <w:trPr>
          <w:trHeight w:val="471" w:hRule="atLeast"/>
          <w:jc w:val="center"/>
        </w:trPr>
        <w:tc>
          <w:tcPr>
            <w:tcW w:w="9006" w:type="dxa"/>
            <w:gridSpan w:val="4"/>
            <w:tcBorders>
              <w:top w:val="single" w:color="auto" w:sz="4" w:space="0"/>
              <w:left w:val="single" w:color="auto" w:sz="4" w:space="0"/>
              <w:bottom w:val="single" w:color="auto" w:sz="4" w:space="0"/>
              <w:right w:val="single" w:color="auto" w:sz="4" w:space="0"/>
            </w:tcBorders>
            <w:vAlign w:val="center"/>
          </w:tcPr>
          <w:p w14:paraId="5A3A05A9">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提升机</w:t>
            </w:r>
            <w:r>
              <w:rPr>
                <w:rFonts w:hint="eastAsia" w:ascii="仿宋" w:hAnsi="仿宋" w:eastAsia="仿宋" w:cs="仿宋"/>
                <w:color w:val="auto"/>
                <w:kern w:val="0"/>
                <w:sz w:val="21"/>
                <w:szCs w:val="21"/>
              </w:rPr>
              <w:t>司机岗位风险告知卡</w:t>
            </w:r>
          </w:p>
        </w:tc>
      </w:tr>
      <w:tr w14:paraId="63CEE4EB">
        <w:tblPrEx>
          <w:tblCellMar>
            <w:top w:w="0" w:type="dxa"/>
            <w:left w:w="108" w:type="dxa"/>
            <w:bottom w:w="0" w:type="dxa"/>
            <w:right w:w="108" w:type="dxa"/>
          </w:tblCellMar>
        </w:tblPrEx>
        <w:trPr>
          <w:trHeight w:val="997" w:hRule="atLeast"/>
          <w:jc w:val="center"/>
        </w:trPr>
        <w:tc>
          <w:tcPr>
            <w:tcW w:w="835" w:type="dxa"/>
            <w:tcBorders>
              <w:top w:val="nil"/>
              <w:left w:val="single" w:color="auto" w:sz="4" w:space="0"/>
              <w:bottom w:val="single" w:color="auto" w:sz="4" w:space="0"/>
              <w:right w:val="single" w:color="auto" w:sz="4" w:space="0"/>
            </w:tcBorders>
            <w:vAlign w:val="center"/>
          </w:tcPr>
          <w:p w14:paraId="1F21EF79">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风险类型</w:t>
            </w:r>
          </w:p>
        </w:tc>
        <w:tc>
          <w:tcPr>
            <w:tcW w:w="3642" w:type="dxa"/>
            <w:tcBorders>
              <w:top w:val="nil"/>
              <w:left w:val="nil"/>
              <w:bottom w:val="single" w:color="auto" w:sz="4" w:space="0"/>
              <w:right w:val="single" w:color="auto" w:sz="4" w:space="0"/>
            </w:tcBorders>
            <w:vAlign w:val="center"/>
          </w:tcPr>
          <w:p w14:paraId="475D061C">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冒顶（片帮）、瓦斯、运输、物体打击、职业病危害</w:t>
            </w:r>
          </w:p>
        </w:tc>
        <w:tc>
          <w:tcPr>
            <w:tcW w:w="754" w:type="dxa"/>
            <w:tcBorders>
              <w:top w:val="nil"/>
              <w:left w:val="nil"/>
              <w:bottom w:val="single" w:color="auto" w:sz="4" w:space="0"/>
              <w:right w:val="single" w:color="auto" w:sz="4" w:space="0"/>
            </w:tcBorders>
            <w:vAlign w:val="center"/>
          </w:tcPr>
          <w:p w14:paraId="7CAFBF4E">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事故报告</w:t>
            </w:r>
          </w:p>
        </w:tc>
        <w:tc>
          <w:tcPr>
            <w:tcW w:w="3775" w:type="dxa"/>
            <w:tcBorders>
              <w:top w:val="nil"/>
              <w:left w:val="nil"/>
              <w:bottom w:val="single" w:color="auto" w:sz="4" w:space="0"/>
              <w:right w:val="single" w:color="auto" w:sz="4" w:space="0"/>
            </w:tcBorders>
            <w:vAlign w:val="center"/>
          </w:tcPr>
          <w:p w14:paraId="5D1E2D74">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4DFD163F">
        <w:tblPrEx>
          <w:tblCellMar>
            <w:top w:w="0" w:type="dxa"/>
            <w:left w:w="108" w:type="dxa"/>
            <w:bottom w:w="0" w:type="dxa"/>
            <w:right w:w="108" w:type="dxa"/>
          </w:tblCellMar>
        </w:tblPrEx>
        <w:trPr>
          <w:trHeight w:val="489"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14:paraId="718591C8">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529" w:type="dxa"/>
            <w:gridSpan w:val="2"/>
            <w:tcBorders>
              <w:top w:val="single" w:color="auto" w:sz="4" w:space="0"/>
              <w:left w:val="nil"/>
              <w:bottom w:val="single" w:color="auto" w:sz="4" w:space="0"/>
              <w:right w:val="single" w:color="auto" w:sz="4" w:space="0"/>
            </w:tcBorders>
            <w:vAlign w:val="center"/>
          </w:tcPr>
          <w:p w14:paraId="17BFC35B">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0FA41E15">
        <w:tblPrEx>
          <w:tblCellMar>
            <w:top w:w="0" w:type="dxa"/>
            <w:left w:w="108" w:type="dxa"/>
            <w:bottom w:w="0" w:type="dxa"/>
            <w:right w:w="108" w:type="dxa"/>
          </w:tblCellMar>
        </w:tblPrEx>
        <w:trPr>
          <w:trHeight w:val="1131"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14:paraId="53788763">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14:paraId="3AC9CCC9">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1.经培训合格后，持证上岗；佩戴好安全帽、口罩、耳塞，执行好“三紧两不要；检查好顶帮支护情况，确保顶帮支护合格后方可上岗作业</w:t>
            </w:r>
            <w:r>
              <w:rPr>
                <w:rFonts w:hint="eastAsia" w:ascii="仿宋" w:hAnsi="仿宋" w:eastAsia="仿宋" w:cs="仿宋"/>
                <w:color w:val="auto"/>
                <w:kern w:val="0"/>
                <w:sz w:val="21"/>
                <w:szCs w:val="21"/>
                <w:lang w:eastAsia="zh-CN"/>
              </w:rPr>
              <w:t>。</w:t>
            </w:r>
          </w:p>
        </w:tc>
      </w:tr>
      <w:tr w14:paraId="337FFEB8">
        <w:tblPrEx>
          <w:tblCellMar>
            <w:top w:w="0" w:type="dxa"/>
            <w:left w:w="108" w:type="dxa"/>
            <w:bottom w:w="0" w:type="dxa"/>
            <w:right w:w="108" w:type="dxa"/>
          </w:tblCellMar>
        </w:tblPrEx>
        <w:trPr>
          <w:trHeight w:val="1204"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14:paraId="3BDC5064">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2.开关、照明、信号或按钮不完好；固定不牢固；钢丝绳断丝超限或不符合规定</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14:paraId="79E2399E">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2.开车前必须检查好开关、照明、信号、按钮；各部件完好，固定牢固；检查钢丝绳，确认完好，断丝不超限</w:t>
            </w:r>
            <w:r>
              <w:rPr>
                <w:rFonts w:hint="eastAsia" w:ascii="仿宋" w:hAnsi="仿宋" w:eastAsia="仿宋" w:cs="仿宋"/>
                <w:color w:val="auto"/>
                <w:kern w:val="0"/>
                <w:sz w:val="21"/>
                <w:szCs w:val="21"/>
                <w:lang w:eastAsia="zh-CN"/>
              </w:rPr>
              <w:t>。</w:t>
            </w:r>
          </w:p>
        </w:tc>
      </w:tr>
      <w:tr w14:paraId="370C0BF7">
        <w:tblPrEx>
          <w:tblCellMar>
            <w:top w:w="0" w:type="dxa"/>
            <w:left w:w="108" w:type="dxa"/>
            <w:bottom w:w="0" w:type="dxa"/>
            <w:right w:w="108" w:type="dxa"/>
          </w:tblCellMar>
        </w:tblPrEx>
        <w:trPr>
          <w:trHeight w:val="850"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14:paraId="488904B6">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3.靠近运转部位，造成人身伤害；制动闸、调速手柄不能正常使用</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14:paraId="77D6FAC5">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3.运行前确认</w:t>
            </w:r>
            <w:r>
              <w:rPr>
                <w:rFonts w:hint="eastAsia" w:ascii="仿宋" w:hAnsi="仿宋" w:eastAsia="仿宋" w:cs="仿宋"/>
                <w:color w:val="auto"/>
                <w:kern w:val="0"/>
                <w:sz w:val="21"/>
                <w:szCs w:val="21"/>
                <w:lang w:eastAsia="zh-CN"/>
              </w:rPr>
              <w:t>提升机</w:t>
            </w:r>
            <w:r>
              <w:rPr>
                <w:rFonts w:hint="eastAsia" w:ascii="仿宋" w:hAnsi="仿宋" w:eastAsia="仿宋" w:cs="仿宋"/>
                <w:color w:val="auto"/>
                <w:kern w:val="0"/>
                <w:sz w:val="21"/>
                <w:szCs w:val="21"/>
              </w:rPr>
              <w:t>附近无人；检查各部位，确保完好、正常</w:t>
            </w:r>
            <w:r>
              <w:rPr>
                <w:rFonts w:hint="eastAsia" w:ascii="仿宋" w:hAnsi="仿宋" w:eastAsia="仿宋" w:cs="仿宋"/>
                <w:color w:val="auto"/>
                <w:kern w:val="0"/>
                <w:sz w:val="21"/>
                <w:szCs w:val="21"/>
                <w:lang w:eastAsia="zh-CN"/>
              </w:rPr>
              <w:t>。</w:t>
            </w:r>
          </w:p>
        </w:tc>
      </w:tr>
      <w:tr w14:paraId="17F2BF67">
        <w:tblPrEx>
          <w:tblCellMar>
            <w:top w:w="0" w:type="dxa"/>
            <w:left w:w="108" w:type="dxa"/>
            <w:bottom w:w="0" w:type="dxa"/>
            <w:right w:w="108" w:type="dxa"/>
          </w:tblCellMar>
        </w:tblPrEx>
        <w:trPr>
          <w:trHeight w:val="1104"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14:paraId="1F9CF7C2">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4.排绳、容绳不超规定；运行过程中发生异常或出现异响</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14:paraId="145E4CDB">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w:t>
            </w:r>
            <w:r>
              <w:rPr>
                <w:rFonts w:hint="eastAsia" w:ascii="仿宋" w:hAnsi="仿宋" w:eastAsia="仿宋" w:cs="仿宋"/>
                <w:color w:val="auto"/>
                <w:kern w:val="0"/>
                <w:sz w:val="21"/>
                <w:szCs w:val="21"/>
                <w:lang w:eastAsia="zh-CN"/>
              </w:rPr>
              <w:t>提升机钢丝绳排绳完好，容绳量符合《煤矿安全规程》</w:t>
            </w:r>
            <w:r>
              <w:rPr>
                <w:rFonts w:hint="eastAsia" w:ascii="仿宋" w:hAnsi="仿宋" w:eastAsia="仿宋" w:cs="仿宋"/>
                <w:color w:val="auto"/>
                <w:kern w:val="0"/>
                <w:sz w:val="21"/>
                <w:szCs w:val="21"/>
              </w:rPr>
              <w:t>否则不得使用；发生异响或出现异常时立即停车处理</w:t>
            </w:r>
            <w:r>
              <w:rPr>
                <w:rFonts w:hint="eastAsia" w:ascii="仿宋" w:hAnsi="仿宋" w:eastAsia="仿宋" w:cs="仿宋"/>
                <w:color w:val="auto"/>
                <w:kern w:val="0"/>
                <w:sz w:val="21"/>
                <w:szCs w:val="21"/>
                <w:lang w:eastAsia="zh-CN"/>
              </w:rPr>
              <w:t>。</w:t>
            </w:r>
          </w:p>
        </w:tc>
      </w:tr>
      <w:tr w14:paraId="126D8764">
        <w:tblPrEx>
          <w:tblCellMar>
            <w:top w:w="0" w:type="dxa"/>
            <w:left w:w="108" w:type="dxa"/>
            <w:bottom w:w="0" w:type="dxa"/>
            <w:right w:w="108" w:type="dxa"/>
          </w:tblCellMar>
        </w:tblPrEx>
        <w:trPr>
          <w:trHeight w:val="654"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14:paraId="4B62413F">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5.信号器不完好，信号不清，无法发出警示；未停电闭锁</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14:paraId="1E38B46A">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5.检查信号是否完好，信号不清不得提升；停车后立即停电闭锁</w:t>
            </w:r>
            <w:r>
              <w:rPr>
                <w:rFonts w:hint="eastAsia" w:ascii="仿宋" w:hAnsi="仿宋" w:eastAsia="仿宋" w:cs="仿宋"/>
                <w:color w:val="auto"/>
                <w:kern w:val="0"/>
                <w:sz w:val="21"/>
                <w:szCs w:val="21"/>
                <w:lang w:eastAsia="zh-CN"/>
              </w:rPr>
              <w:t>。</w:t>
            </w:r>
          </w:p>
        </w:tc>
      </w:tr>
      <w:tr w14:paraId="15CCE8DB">
        <w:tblPrEx>
          <w:tblCellMar>
            <w:top w:w="0" w:type="dxa"/>
            <w:left w:w="108" w:type="dxa"/>
            <w:bottom w:w="0" w:type="dxa"/>
            <w:right w:w="108" w:type="dxa"/>
          </w:tblCellMar>
        </w:tblPrEx>
        <w:trPr>
          <w:trHeight w:val="1127" w:hRule="atLeast"/>
          <w:jc w:val="center"/>
        </w:trPr>
        <w:tc>
          <w:tcPr>
            <w:tcW w:w="835" w:type="dxa"/>
            <w:tcBorders>
              <w:top w:val="nil"/>
              <w:left w:val="single" w:color="auto" w:sz="4" w:space="0"/>
              <w:bottom w:val="single" w:color="auto" w:sz="4" w:space="0"/>
              <w:right w:val="single" w:color="auto" w:sz="4" w:space="0"/>
            </w:tcBorders>
            <w:vAlign w:val="center"/>
          </w:tcPr>
          <w:p w14:paraId="6E8FB109">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6C710862">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71" w:type="dxa"/>
            <w:gridSpan w:val="3"/>
            <w:tcBorders>
              <w:top w:val="single" w:color="auto" w:sz="4" w:space="0"/>
              <w:left w:val="nil"/>
              <w:bottom w:val="single" w:color="auto" w:sz="4" w:space="0"/>
              <w:right w:val="single" w:color="auto" w:sz="4" w:space="0"/>
            </w:tcBorders>
            <w:vAlign w:val="center"/>
          </w:tcPr>
          <w:p w14:paraId="2A20691A">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2213DB2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1B0E9B5D">
        <w:tblPrEx>
          <w:tblCellMar>
            <w:top w:w="0" w:type="dxa"/>
            <w:left w:w="108" w:type="dxa"/>
            <w:bottom w:w="0" w:type="dxa"/>
            <w:right w:w="108" w:type="dxa"/>
          </w:tblCellMar>
        </w:tblPrEx>
        <w:trPr>
          <w:trHeight w:val="1588" w:hRule="atLeast"/>
          <w:jc w:val="center"/>
        </w:trPr>
        <w:tc>
          <w:tcPr>
            <w:tcW w:w="835" w:type="dxa"/>
            <w:tcBorders>
              <w:top w:val="nil"/>
              <w:left w:val="single" w:color="auto" w:sz="4" w:space="0"/>
              <w:bottom w:val="single" w:color="auto" w:sz="4" w:space="0"/>
              <w:right w:val="single" w:color="auto" w:sz="4" w:space="0"/>
            </w:tcBorders>
            <w:vAlign w:val="center"/>
          </w:tcPr>
          <w:p w14:paraId="259677FB">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应急处置措施</w:t>
            </w:r>
          </w:p>
        </w:tc>
        <w:tc>
          <w:tcPr>
            <w:tcW w:w="8171" w:type="dxa"/>
            <w:gridSpan w:val="3"/>
            <w:tcBorders>
              <w:top w:val="single" w:color="auto" w:sz="4" w:space="0"/>
              <w:left w:val="nil"/>
              <w:bottom w:val="single" w:color="auto" w:sz="4" w:space="0"/>
              <w:right w:val="single" w:color="auto" w:sz="4" w:space="0"/>
            </w:tcBorders>
            <w:vAlign w:val="center"/>
          </w:tcPr>
          <w:p w14:paraId="0E55C1DA">
            <w:pPr>
              <w:keepNext w:val="0"/>
              <w:keepLines w:val="0"/>
              <w:pageBreakBefore w:val="0"/>
              <w:widowControl/>
              <w:numPr>
                <w:ilvl w:val="0"/>
                <w:numId w:val="0"/>
              </w:numPr>
              <w:kinsoku/>
              <w:wordWrap/>
              <w:overflowPunct/>
              <w:topLinePunct w:val="0"/>
              <w:autoSpaceDE/>
              <w:bidi w:val="0"/>
              <w:adjustRightInd/>
              <w:snapToGrid/>
              <w:spacing w:after="240"/>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出现紧急情况时，立即停车闭锁，找出故障点并将故障排除检查完毕方可开车</w:t>
            </w:r>
            <w:r>
              <w:rPr>
                <w:rFonts w:hint="eastAsia" w:ascii="仿宋" w:hAnsi="仿宋" w:eastAsia="仿宋" w:cs="仿宋"/>
                <w:color w:val="auto"/>
                <w:kern w:val="0"/>
                <w:sz w:val="21"/>
                <w:szCs w:val="21"/>
                <w:lang w:eastAsia="zh-CN"/>
              </w:rPr>
              <w:t>。</w:t>
            </w:r>
          </w:p>
          <w:p w14:paraId="4DF6D9EE">
            <w:pPr>
              <w:keepNext w:val="0"/>
              <w:keepLines w:val="0"/>
              <w:pageBreakBefore w:val="0"/>
              <w:widowControl/>
              <w:numPr>
                <w:ilvl w:val="0"/>
                <w:numId w:val="0"/>
              </w:numPr>
              <w:kinsoku/>
              <w:wordWrap/>
              <w:overflowPunct/>
              <w:topLinePunct w:val="0"/>
              <w:autoSpaceDE/>
              <w:bidi w:val="0"/>
              <w:adjustRightInd/>
              <w:snapToGrid/>
              <w:spacing w:after="240"/>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2A8E2CB4">
      <w:pPr>
        <w:keepNext w:val="0"/>
        <w:keepLines w:val="0"/>
        <w:pageBreakBefore w:val="0"/>
        <w:kinsoku/>
        <w:wordWrap/>
        <w:overflowPunct/>
        <w:topLinePunct w:val="0"/>
        <w:autoSpaceDE/>
        <w:bidi w:val="0"/>
        <w:adjustRightInd/>
        <w:snapToGrid/>
        <w:spacing w:line="480" w:lineRule="exact"/>
        <w:jc w:val="center"/>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lang w:eastAsia="zh-CN"/>
        </w:rPr>
        <w:t>提升机</w:t>
      </w:r>
      <w:r>
        <w:rPr>
          <w:rFonts w:hint="eastAsia" w:ascii="仿宋" w:hAnsi="仿宋" w:eastAsia="仿宋" w:cs="仿宋"/>
          <w:b/>
          <w:color w:val="auto"/>
          <w:sz w:val="21"/>
          <w:szCs w:val="21"/>
        </w:rPr>
        <w:t>司机安全提示卡</w:t>
      </w:r>
    </w:p>
    <w:tbl>
      <w:tblPr>
        <w:tblStyle w:val="12"/>
        <w:tblpPr w:leftFromText="180" w:rightFromText="180" w:vertAnchor="text" w:horzAnchor="margin" w:tblpXSpec="center" w:tblpY="159"/>
        <w:tblW w:w="9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13"/>
        <w:gridCol w:w="4459"/>
      </w:tblGrid>
      <w:tr w14:paraId="6B3AD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exact"/>
          <w:jc w:val="center"/>
        </w:trPr>
        <w:tc>
          <w:tcPr>
            <w:tcW w:w="4613" w:type="dxa"/>
            <w:vAlign w:val="center"/>
          </w:tcPr>
          <w:p w14:paraId="36DA92ED">
            <w:pPr>
              <w:keepNext w:val="0"/>
              <w:keepLines w:val="0"/>
              <w:pageBreakBefore w:val="0"/>
              <w:kinsoku/>
              <w:wordWrap/>
              <w:overflowPunct/>
              <w:topLinePunct w:val="0"/>
              <w:autoSpaceDE/>
              <w:bidi w:val="0"/>
              <w:adjustRightInd/>
              <w:snapToGrid/>
              <w:spacing w:line="480" w:lineRule="exact"/>
              <w:jc w:val="center"/>
              <w:textAlignment w:val="auto"/>
              <w:outlineLvl w:val="9"/>
              <w:rPr>
                <w:rFonts w:hint="eastAsia" w:ascii="仿宋" w:hAnsi="仿宋" w:eastAsia="仿宋" w:cs="仿宋"/>
                <w:b/>
                <w:bCs w:val="0"/>
                <w:color w:val="auto"/>
                <w:sz w:val="24"/>
              </w:rPr>
            </w:pPr>
            <w:r>
              <w:rPr>
                <w:rFonts w:hint="eastAsia" w:ascii="仿宋" w:hAnsi="仿宋" w:eastAsia="仿宋" w:cs="仿宋"/>
                <w:b/>
                <w:bCs w:val="0"/>
                <w:color w:val="auto"/>
                <w:sz w:val="24"/>
              </w:rPr>
              <w:t>开车前检查</w:t>
            </w:r>
          </w:p>
        </w:tc>
        <w:tc>
          <w:tcPr>
            <w:tcW w:w="4459" w:type="dxa"/>
            <w:vAlign w:val="center"/>
          </w:tcPr>
          <w:p w14:paraId="3FCA4506">
            <w:pPr>
              <w:keepNext w:val="0"/>
              <w:keepLines w:val="0"/>
              <w:pageBreakBefore w:val="0"/>
              <w:kinsoku/>
              <w:wordWrap/>
              <w:overflowPunct/>
              <w:topLinePunct w:val="0"/>
              <w:autoSpaceDE/>
              <w:bidi w:val="0"/>
              <w:adjustRightInd/>
              <w:snapToGrid/>
              <w:spacing w:line="480" w:lineRule="exact"/>
              <w:jc w:val="center"/>
              <w:textAlignment w:val="auto"/>
              <w:outlineLvl w:val="9"/>
              <w:rPr>
                <w:rFonts w:hint="eastAsia" w:ascii="仿宋" w:hAnsi="仿宋" w:eastAsia="仿宋" w:cs="仿宋"/>
                <w:b/>
                <w:bCs w:val="0"/>
                <w:color w:val="auto"/>
                <w:sz w:val="24"/>
              </w:rPr>
            </w:pPr>
            <w:r>
              <w:rPr>
                <w:rFonts w:hint="eastAsia" w:ascii="仿宋" w:hAnsi="仿宋" w:eastAsia="仿宋" w:cs="仿宋"/>
                <w:b/>
                <w:bCs w:val="0"/>
                <w:color w:val="auto"/>
                <w:sz w:val="24"/>
              </w:rPr>
              <w:t>停车后确认</w:t>
            </w:r>
          </w:p>
        </w:tc>
      </w:tr>
      <w:tr w14:paraId="54174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613" w:type="dxa"/>
            <w:vAlign w:val="center"/>
          </w:tcPr>
          <w:p w14:paraId="135B0EE9">
            <w:pPr>
              <w:keepNext w:val="0"/>
              <w:keepLines w:val="0"/>
              <w:pageBreakBefore w:val="0"/>
              <w:kinsoku/>
              <w:wordWrap/>
              <w:overflowPunct/>
              <w:topLinePunct w:val="0"/>
              <w:autoSpaceDE/>
              <w:bidi w:val="0"/>
              <w:adjustRightInd/>
              <w:snapToGrid/>
              <w:spacing w:line="240" w:lineRule="auto"/>
              <w:ind w:firstLine="205" w:firstLineChars="98"/>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1.顶帮</w:t>
            </w:r>
          </w:p>
        </w:tc>
        <w:tc>
          <w:tcPr>
            <w:tcW w:w="4459" w:type="dxa"/>
            <w:vAlign w:val="center"/>
          </w:tcPr>
          <w:p w14:paraId="31B3DE3A">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lang w:eastAsia="zh-CN"/>
              </w:rPr>
            </w:pPr>
            <w:r>
              <w:rPr>
                <w:rFonts w:hint="eastAsia" w:ascii="仿宋" w:hAnsi="仿宋" w:eastAsia="仿宋" w:cs="仿宋"/>
                <w:b w:val="0"/>
                <w:bCs/>
                <w:color w:val="auto"/>
                <w:sz w:val="21"/>
                <w:szCs w:val="21"/>
              </w:rPr>
              <w:t>★1.</w:t>
            </w:r>
            <w:r>
              <w:rPr>
                <w:rFonts w:hint="eastAsia" w:ascii="仿宋" w:hAnsi="仿宋" w:eastAsia="仿宋" w:cs="仿宋"/>
                <w:b w:val="0"/>
                <w:bCs/>
                <w:color w:val="auto"/>
                <w:sz w:val="21"/>
                <w:szCs w:val="21"/>
                <w:lang w:eastAsia="zh-CN"/>
              </w:rPr>
              <w:t>操控台</w:t>
            </w:r>
          </w:p>
        </w:tc>
      </w:tr>
      <w:tr w14:paraId="148D8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613" w:type="dxa"/>
            <w:vAlign w:val="center"/>
          </w:tcPr>
          <w:p w14:paraId="5B820A14">
            <w:pPr>
              <w:keepNext w:val="0"/>
              <w:keepLines w:val="0"/>
              <w:pageBreakBefore w:val="0"/>
              <w:kinsoku/>
              <w:wordWrap/>
              <w:overflowPunct/>
              <w:topLinePunct w:val="0"/>
              <w:autoSpaceDE/>
              <w:bidi w:val="0"/>
              <w:adjustRightInd/>
              <w:snapToGrid/>
              <w:spacing w:line="240" w:lineRule="auto"/>
              <w:ind w:firstLine="210" w:firstLineChars="100"/>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2.照明</w:t>
            </w:r>
          </w:p>
        </w:tc>
        <w:tc>
          <w:tcPr>
            <w:tcW w:w="4459" w:type="dxa"/>
            <w:vAlign w:val="center"/>
          </w:tcPr>
          <w:p w14:paraId="07EA3337">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★2.停电闭锁</w:t>
            </w:r>
          </w:p>
        </w:tc>
      </w:tr>
      <w:tr w14:paraId="110AD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613" w:type="dxa"/>
            <w:vAlign w:val="center"/>
          </w:tcPr>
          <w:p w14:paraId="5BE442A3">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★3.人员、障碍物</w:t>
            </w:r>
          </w:p>
        </w:tc>
        <w:tc>
          <w:tcPr>
            <w:tcW w:w="4459" w:type="dxa"/>
            <w:vAlign w:val="center"/>
          </w:tcPr>
          <w:p w14:paraId="45FE934D">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p>
        </w:tc>
      </w:tr>
      <w:tr w14:paraId="76A225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613" w:type="dxa"/>
            <w:vAlign w:val="center"/>
          </w:tcPr>
          <w:p w14:paraId="6A7E5E21">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★4.站位</w:t>
            </w:r>
          </w:p>
        </w:tc>
        <w:tc>
          <w:tcPr>
            <w:tcW w:w="4459" w:type="dxa"/>
            <w:vAlign w:val="center"/>
          </w:tcPr>
          <w:p w14:paraId="772C823D">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p>
        </w:tc>
      </w:tr>
      <w:tr w14:paraId="7B1F3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9072" w:type="dxa"/>
            <w:gridSpan w:val="2"/>
            <w:vAlign w:val="top"/>
          </w:tcPr>
          <w:p w14:paraId="1A1B3348">
            <w:pPr>
              <w:keepNext w:val="0"/>
              <w:keepLines w:val="0"/>
              <w:pageBreakBefore w:val="0"/>
              <w:kinsoku/>
              <w:wordWrap/>
              <w:overflowPunct/>
              <w:topLinePunct w:val="0"/>
              <w:autoSpaceDE/>
              <w:bidi w:val="0"/>
              <w:adjustRightInd/>
              <w:snapToGrid/>
              <w:spacing w:line="240" w:lineRule="auto"/>
              <w:ind w:firstLine="411" w:firstLineChars="196"/>
              <w:textAlignment w:val="auto"/>
              <w:outlineLvl w:val="9"/>
              <w:rPr>
                <w:rFonts w:hint="eastAsia" w:ascii="仿宋" w:hAnsi="仿宋" w:eastAsia="仿宋" w:cs="仿宋"/>
                <w:b w:val="0"/>
                <w:bCs/>
                <w:color w:val="auto"/>
                <w:w w:val="95"/>
                <w:sz w:val="21"/>
                <w:szCs w:val="21"/>
              </w:rPr>
            </w:pPr>
            <w:r>
              <w:rPr>
                <w:rFonts w:hint="eastAsia" w:ascii="仿宋" w:hAnsi="仿宋" w:eastAsia="仿宋" w:cs="仿宋"/>
                <w:b w:val="0"/>
                <w:bCs/>
                <w:color w:val="auto"/>
                <w:sz w:val="21"/>
                <w:szCs w:val="21"/>
              </w:rPr>
              <w:t>注：第一次按开车前内容逐项检查并确认，存在问题整改后再确认；中间再次开车只检查带“★”部分；提升任务全部结束后按停车后确认内容逐项检查并确认。</w:t>
            </w:r>
          </w:p>
        </w:tc>
      </w:tr>
    </w:tbl>
    <w:p w14:paraId="0CCABED8">
      <w:pPr>
        <w:keepNext w:val="0"/>
        <w:keepLines w:val="0"/>
        <w:pageBreakBefore w:val="0"/>
        <w:kinsoku/>
        <w:wordWrap/>
        <w:overflowPunct/>
        <w:topLinePunct w:val="0"/>
        <w:autoSpaceDE/>
        <w:bidi w:val="0"/>
        <w:adjustRightInd/>
        <w:snapToGrid/>
        <w:spacing w:line="480" w:lineRule="exact"/>
        <w:jc w:val="center"/>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lang w:eastAsia="zh-CN"/>
        </w:rPr>
        <w:t>提升机</w:t>
      </w:r>
      <w:r>
        <w:rPr>
          <w:rFonts w:hint="eastAsia" w:ascii="仿宋" w:hAnsi="仿宋" w:eastAsia="仿宋" w:cs="仿宋"/>
          <w:b w:val="0"/>
          <w:bCs/>
          <w:color w:val="auto"/>
          <w:sz w:val="21"/>
          <w:szCs w:val="21"/>
        </w:rPr>
        <w:t>单元检查表</w:t>
      </w:r>
    </w:p>
    <w:tbl>
      <w:tblPr>
        <w:tblStyle w:val="12"/>
        <w:tblpPr w:leftFromText="180" w:rightFromText="180" w:vertAnchor="text" w:horzAnchor="margin" w:tblpXSpec="center" w:tblpY="202"/>
        <w:tblW w:w="93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67"/>
      </w:tblGrid>
      <w:tr w14:paraId="339600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9367" w:type="dxa"/>
            <w:vAlign w:val="center"/>
          </w:tcPr>
          <w:p w14:paraId="16D011EE">
            <w:pPr>
              <w:keepNext w:val="0"/>
              <w:keepLines w:val="0"/>
              <w:pageBreakBefore w:val="0"/>
              <w:kinsoku/>
              <w:wordWrap/>
              <w:overflowPunct/>
              <w:topLinePunct w:val="0"/>
              <w:autoSpaceDE/>
              <w:autoSpaceDN w:val="0"/>
              <w:bidi w:val="0"/>
              <w:adjustRightInd/>
              <w:snapToGrid/>
              <w:spacing w:line="240" w:lineRule="auto"/>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1.记录、信号、</w:t>
            </w:r>
            <w:r>
              <w:rPr>
                <w:rFonts w:hint="eastAsia" w:ascii="仿宋" w:hAnsi="仿宋" w:eastAsia="仿宋" w:cs="仿宋"/>
                <w:color w:val="auto"/>
                <w:sz w:val="21"/>
                <w:szCs w:val="21"/>
                <w:lang w:eastAsia="zh-CN"/>
              </w:rPr>
              <w:t>操控台</w:t>
            </w:r>
          </w:p>
        </w:tc>
      </w:tr>
      <w:tr w14:paraId="6E8B56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9367" w:type="dxa"/>
            <w:vAlign w:val="center"/>
          </w:tcPr>
          <w:p w14:paraId="23662187">
            <w:pPr>
              <w:keepNext w:val="0"/>
              <w:keepLines w:val="0"/>
              <w:pageBreakBefore w:val="0"/>
              <w:kinsoku/>
              <w:wordWrap/>
              <w:overflowPunct/>
              <w:topLinePunct w:val="0"/>
              <w:autoSpaceDE/>
              <w:autoSpaceDN w:val="0"/>
              <w:bidi w:val="0"/>
              <w:adjustRightInd/>
              <w:snapToGrid/>
              <w:spacing w:line="240" w:lineRule="auto"/>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2.</w:t>
            </w:r>
            <w:r>
              <w:rPr>
                <w:rFonts w:hint="eastAsia" w:ascii="仿宋" w:hAnsi="仿宋" w:eastAsia="仿宋" w:cs="仿宋"/>
                <w:color w:val="auto"/>
                <w:sz w:val="21"/>
                <w:szCs w:val="21"/>
                <w:lang w:eastAsia="zh-CN"/>
              </w:rPr>
              <w:t>安全保护</w:t>
            </w:r>
          </w:p>
        </w:tc>
      </w:tr>
      <w:tr w14:paraId="3A599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9367" w:type="dxa"/>
            <w:vAlign w:val="center"/>
          </w:tcPr>
          <w:p w14:paraId="41195B8D">
            <w:pPr>
              <w:keepNext w:val="0"/>
              <w:keepLines w:val="0"/>
              <w:pageBreakBefore w:val="0"/>
              <w:kinsoku/>
              <w:wordWrap/>
              <w:overflowPunct/>
              <w:topLinePunct w:val="0"/>
              <w:autoSpaceDE/>
              <w:autoSpaceDN w:val="0"/>
              <w:bidi w:val="0"/>
              <w:adjustRightInd/>
              <w:snapToGri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3.电机</w:t>
            </w:r>
          </w:p>
        </w:tc>
      </w:tr>
      <w:tr w14:paraId="3D045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trPr>
        <w:tc>
          <w:tcPr>
            <w:tcW w:w="9367" w:type="dxa"/>
            <w:vAlign w:val="center"/>
          </w:tcPr>
          <w:p w14:paraId="4D5BC736">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4.</w:t>
            </w:r>
            <w:r>
              <w:rPr>
                <w:rFonts w:hint="eastAsia" w:ascii="仿宋" w:hAnsi="仿宋" w:eastAsia="仿宋" w:cs="仿宋"/>
                <w:color w:val="auto"/>
                <w:sz w:val="21"/>
                <w:szCs w:val="21"/>
                <w:lang w:eastAsia="zh-CN"/>
              </w:rPr>
              <w:t>液压站</w:t>
            </w:r>
          </w:p>
        </w:tc>
      </w:tr>
      <w:tr w14:paraId="42043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exact"/>
        </w:trPr>
        <w:tc>
          <w:tcPr>
            <w:tcW w:w="9367" w:type="dxa"/>
            <w:vAlign w:val="center"/>
          </w:tcPr>
          <w:p w14:paraId="79F429BF">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5.钢丝绳</w:t>
            </w:r>
          </w:p>
        </w:tc>
      </w:tr>
      <w:tr w14:paraId="7136A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9367" w:type="dxa"/>
            <w:vAlign w:val="center"/>
          </w:tcPr>
          <w:p w14:paraId="5F4CF5E2">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b w:val="0"/>
                <w:bCs/>
                <w:color w:val="auto"/>
                <w:sz w:val="21"/>
                <w:szCs w:val="21"/>
              </w:rPr>
              <w:t>接班后检查一次，单元检查表检查前，先进行停电闭锁确认。</w:t>
            </w:r>
          </w:p>
        </w:tc>
      </w:tr>
    </w:tbl>
    <w:p w14:paraId="73581F7A">
      <w:pPr>
        <w:keepNext w:val="0"/>
        <w:keepLines w:val="0"/>
        <w:pageBreakBefore w:val="0"/>
        <w:kinsoku/>
        <w:wordWrap/>
        <w:overflowPunct/>
        <w:topLinePunct w:val="0"/>
        <w:autoSpaceDE/>
        <w:bidi w:val="0"/>
        <w:adjustRightInd/>
        <w:snapToGrid/>
        <w:textAlignment w:val="auto"/>
        <w:outlineLvl w:val="9"/>
        <w:rPr>
          <w:rFonts w:hint="eastAsia" w:ascii="仿宋" w:hAnsi="仿宋" w:eastAsia="仿宋" w:cs="仿宋"/>
          <w:color w:val="auto"/>
          <w:sz w:val="21"/>
          <w:szCs w:val="21"/>
        </w:rPr>
      </w:pPr>
    </w:p>
    <w:tbl>
      <w:tblPr>
        <w:tblStyle w:val="12"/>
        <w:tblW w:w="9274" w:type="dxa"/>
        <w:jc w:val="center"/>
        <w:tblLayout w:type="fixed"/>
        <w:tblCellMar>
          <w:top w:w="0" w:type="dxa"/>
          <w:left w:w="108" w:type="dxa"/>
          <w:bottom w:w="0" w:type="dxa"/>
          <w:right w:w="108" w:type="dxa"/>
        </w:tblCellMar>
      </w:tblPr>
      <w:tblGrid>
        <w:gridCol w:w="798"/>
        <w:gridCol w:w="1916"/>
        <w:gridCol w:w="6560"/>
      </w:tblGrid>
      <w:tr w14:paraId="762EF338">
        <w:tblPrEx>
          <w:tblCellMar>
            <w:top w:w="0" w:type="dxa"/>
            <w:left w:w="108" w:type="dxa"/>
            <w:bottom w:w="0" w:type="dxa"/>
            <w:right w:w="108" w:type="dxa"/>
          </w:tblCellMar>
        </w:tblPrEx>
        <w:trPr>
          <w:trHeight w:val="482" w:hRule="atLeast"/>
          <w:jc w:val="center"/>
        </w:trPr>
        <w:tc>
          <w:tcPr>
            <w:tcW w:w="9274" w:type="dxa"/>
            <w:gridSpan w:val="3"/>
            <w:tcBorders>
              <w:top w:val="single" w:color="auto" w:sz="4" w:space="0"/>
              <w:left w:val="single" w:color="auto" w:sz="4" w:space="0"/>
              <w:bottom w:val="single" w:color="auto" w:sz="4" w:space="0"/>
              <w:right w:val="single" w:color="auto" w:sz="4" w:space="0"/>
            </w:tcBorders>
            <w:vAlign w:val="center"/>
          </w:tcPr>
          <w:p w14:paraId="3FE2B96E">
            <w:pPr>
              <w:keepNext w:val="0"/>
              <w:keepLines w:val="0"/>
              <w:pageBreakBefore w:val="0"/>
              <w:widowControl/>
              <w:kinsoku/>
              <w:wordWrap/>
              <w:overflowPunct/>
              <w:topLinePunct w:val="0"/>
              <w:autoSpaceDE/>
              <w:bidi w:val="0"/>
              <w:adjustRightInd/>
              <w:snapToGrid/>
              <w:jc w:val="both"/>
              <w:textAlignment w:val="auto"/>
              <w:outlineLvl w:val="9"/>
              <w:rPr>
                <w:rFonts w:hint="eastAsia" w:ascii="仿宋" w:hAnsi="仿宋" w:eastAsia="仿宋" w:cs="仿宋"/>
                <w:b/>
                <w:bCs/>
                <w:color w:val="auto"/>
                <w:kern w:val="0"/>
                <w:sz w:val="21"/>
                <w:szCs w:val="21"/>
              </w:rPr>
            </w:pPr>
          </w:p>
          <w:p w14:paraId="5ABBAA59">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eastAsia="zh-CN"/>
              </w:rPr>
              <w:t>提升机司机操作过程注意事项</w:t>
            </w:r>
          </w:p>
        </w:tc>
      </w:tr>
      <w:tr w14:paraId="736EE4D5">
        <w:tblPrEx>
          <w:tblCellMar>
            <w:top w:w="0" w:type="dxa"/>
            <w:left w:w="108" w:type="dxa"/>
            <w:bottom w:w="0" w:type="dxa"/>
            <w:right w:w="108" w:type="dxa"/>
          </w:tblCellMar>
        </w:tblPrEx>
        <w:trPr>
          <w:trHeight w:val="482" w:hRule="atLeast"/>
          <w:jc w:val="center"/>
        </w:trPr>
        <w:tc>
          <w:tcPr>
            <w:tcW w:w="798" w:type="dxa"/>
            <w:tcBorders>
              <w:top w:val="single" w:color="auto" w:sz="4" w:space="0"/>
              <w:left w:val="single" w:color="auto" w:sz="4" w:space="0"/>
              <w:bottom w:val="single" w:color="auto" w:sz="4" w:space="0"/>
              <w:right w:val="single" w:color="auto" w:sz="4" w:space="0"/>
            </w:tcBorders>
            <w:vAlign w:val="center"/>
          </w:tcPr>
          <w:p w14:paraId="2F75B5DE">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916" w:type="dxa"/>
            <w:tcBorders>
              <w:top w:val="single" w:color="auto" w:sz="4" w:space="0"/>
              <w:left w:val="nil"/>
              <w:bottom w:val="single" w:color="auto" w:sz="4" w:space="0"/>
              <w:right w:val="single" w:color="auto" w:sz="4" w:space="0"/>
            </w:tcBorders>
            <w:vAlign w:val="center"/>
          </w:tcPr>
          <w:p w14:paraId="7D85A7A7">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560" w:type="dxa"/>
            <w:tcBorders>
              <w:top w:val="single" w:color="auto" w:sz="4" w:space="0"/>
              <w:left w:val="nil"/>
              <w:bottom w:val="single" w:color="auto" w:sz="4" w:space="0"/>
              <w:right w:val="single" w:color="auto" w:sz="4" w:space="0"/>
            </w:tcBorders>
            <w:vAlign w:val="center"/>
          </w:tcPr>
          <w:p w14:paraId="4865675F">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14:paraId="0B52B234">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3287CB31">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916" w:type="dxa"/>
            <w:tcBorders>
              <w:top w:val="nil"/>
              <w:left w:val="nil"/>
              <w:bottom w:val="single" w:color="auto" w:sz="4" w:space="0"/>
              <w:right w:val="single" w:color="auto" w:sz="4" w:space="0"/>
            </w:tcBorders>
            <w:vAlign w:val="center"/>
          </w:tcPr>
          <w:p w14:paraId="1D6C079B">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看钢丝绳</w:t>
            </w:r>
          </w:p>
        </w:tc>
        <w:tc>
          <w:tcPr>
            <w:tcW w:w="6560" w:type="dxa"/>
            <w:tcBorders>
              <w:top w:val="nil"/>
              <w:left w:val="nil"/>
              <w:bottom w:val="single" w:color="auto" w:sz="4" w:space="0"/>
              <w:right w:val="single" w:color="auto" w:sz="4" w:space="0"/>
            </w:tcBorders>
            <w:vAlign w:val="center"/>
          </w:tcPr>
          <w:p w14:paraId="65ACD607">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随时观察钢丝绳有无异常跳动、松弛及排列情况，出现异常立即停车。</w:t>
            </w:r>
          </w:p>
        </w:tc>
      </w:tr>
      <w:tr w14:paraId="065127FA">
        <w:tblPrEx>
          <w:tblCellMar>
            <w:top w:w="0" w:type="dxa"/>
            <w:left w:w="108" w:type="dxa"/>
            <w:bottom w:w="0" w:type="dxa"/>
            <w:right w:w="108" w:type="dxa"/>
          </w:tblCellMar>
        </w:tblPrEx>
        <w:trPr>
          <w:trHeight w:val="482" w:hRule="atLeast"/>
          <w:jc w:val="center"/>
        </w:trPr>
        <w:tc>
          <w:tcPr>
            <w:tcW w:w="798" w:type="dxa"/>
            <w:vMerge w:val="restart"/>
            <w:tcBorders>
              <w:top w:val="nil"/>
              <w:left w:val="single" w:color="auto" w:sz="4" w:space="0"/>
              <w:bottom w:val="single" w:color="000000" w:sz="4" w:space="0"/>
              <w:right w:val="single" w:color="auto" w:sz="4" w:space="0"/>
            </w:tcBorders>
            <w:vAlign w:val="center"/>
          </w:tcPr>
          <w:p w14:paraId="790FF938">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916" w:type="dxa"/>
            <w:tcBorders>
              <w:top w:val="nil"/>
              <w:left w:val="nil"/>
              <w:bottom w:val="single" w:color="auto" w:sz="4" w:space="0"/>
              <w:right w:val="single" w:color="auto" w:sz="4" w:space="0"/>
            </w:tcBorders>
            <w:vAlign w:val="center"/>
          </w:tcPr>
          <w:p w14:paraId="34880AA0">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560" w:type="dxa"/>
            <w:tcBorders>
              <w:top w:val="nil"/>
              <w:left w:val="nil"/>
              <w:bottom w:val="single" w:color="auto" w:sz="4" w:space="0"/>
              <w:right w:val="single" w:color="auto" w:sz="4" w:space="0"/>
            </w:tcBorders>
            <w:vAlign w:val="center"/>
          </w:tcPr>
          <w:p w14:paraId="73D24EAB">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严格按信号指令操作。</w:t>
            </w:r>
          </w:p>
        </w:tc>
      </w:tr>
      <w:tr w14:paraId="3A8ACFD5">
        <w:tblPrEx>
          <w:tblCellMar>
            <w:top w:w="0" w:type="dxa"/>
            <w:left w:w="108" w:type="dxa"/>
            <w:bottom w:w="0" w:type="dxa"/>
            <w:right w:w="108" w:type="dxa"/>
          </w:tblCellMar>
        </w:tblPrEx>
        <w:trPr>
          <w:trHeight w:val="482" w:hRule="atLeast"/>
          <w:jc w:val="center"/>
        </w:trPr>
        <w:tc>
          <w:tcPr>
            <w:tcW w:w="798" w:type="dxa"/>
            <w:vMerge w:val="continue"/>
            <w:tcBorders>
              <w:top w:val="nil"/>
              <w:left w:val="single" w:color="auto" w:sz="4" w:space="0"/>
              <w:bottom w:val="single" w:color="000000" w:sz="4" w:space="0"/>
              <w:right w:val="single" w:color="auto" w:sz="4" w:space="0"/>
            </w:tcBorders>
            <w:vAlign w:val="center"/>
          </w:tcPr>
          <w:p w14:paraId="1C287EFD">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p>
        </w:tc>
        <w:tc>
          <w:tcPr>
            <w:tcW w:w="1916" w:type="dxa"/>
            <w:tcBorders>
              <w:top w:val="nil"/>
              <w:left w:val="nil"/>
              <w:bottom w:val="single" w:color="auto" w:sz="4" w:space="0"/>
              <w:right w:val="single" w:color="auto" w:sz="4" w:space="0"/>
            </w:tcBorders>
            <w:vAlign w:val="center"/>
          </w:tcPr>
          <w:p w14:paraId="4F917055">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560" w:type="dxa"/>
            <w:tcBorders>
              <w:top w:val="nil"/>
              <w:left w:val="nil"/>
              <w:bottom w:val="single" w:color="auto" w:sz="4" w:space="0"/>
              <w:right w:val="single" w:color="auto" w:sz="4" w:space="0"/>
            </w:tcBorders>
            <w:vAlign w:val="center"/>
          </w:tcPr>
          <w:p w14:paraId="6316FA7F">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设备出现严重异响或非正常震动立即停车。</w:t>
            </w:r>
          </w:p>
        </w:tc>
      </w:tr>
      <w:tr w14:paraId="5D9E1D78">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4F379170">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916" w:type="dxa"/>
            <w:tcBorders>
              <w:top w:val="nil"/>
              <w:left w:val="nil"/>
              <w:bottom w:val="single" w:color="auto" w:sz="4" w:space="0"/>
              <w:right w:val="single" w:color="auto" w:sz="4" w:space="0"/>
            </w:tcBorders>
            <w:vAlign w:val="center"/>
          </w:tcPr>
          <w:p w14:paraId="79E9843A">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6560" w:type="dxa"/>
            <w:tcBorders>
              <w:top w:val="nil"/>
              <w:left w:val="nil"/>
              <w:bottom w:val="single" w:color="auto" w:sz="4" w:space="0"/>
              <w:right w:val="single" w:color="auto" w:sz="4" w:space="0"/>
            </w:tcBorders>
            <w:vAlign w:val="center"/>
          </w:tcPr>
          <w:p w14:paraId="1ADE1C12">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闻到异常气味立即停车。</w:t>
            </w:r>
          </w:p>
        </w:tc>
      </w:tr>
      <w:tr w14:paraId="30A3E51A">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14:paraId="5A73FE30">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916" w:type="dxa"/>
            <w:tcBorders>
              <w:top w:val="nil"/>
              <w:left w:val="nil"/>
              <w:bottom w:val="single" w:color="auto" w:sz="4" w:space="0"/>
              <w:right w:val="single" w:color="auto" w:sz="4" w:space="0"/>
            </w:tcBorders>
            <w:vAlign w:val="center"/>
          </w:tcPr>
          <w:p w14:paraId="6657AE0B">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握手柄</w:t>
            </w:r>
          </w:p>
        </w:tc>
        <w:tc>
          <w:tcPr>
            <w:tcW w:w="6560" w:type="dxa"/>
            <w:tcBorders>
              <w:top w:val="nil"/>
              <w:left w:val="nil"/>
              <w:bottom w:val="single" w:color="auto" w:sz="4" w:space="0"/>
              <w:right w:val="single" w:color="auto" w:sz="4" w:space="0"/>
            </w:tcBorders>
            <w:vAlign w:val="center"/>
          </w:tcPr>
          <w:p w14:paraId="2C8605A0">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右手不准离开</w:t>
            </w:r>
            <w:r>
              <w:rPr>
                <w:rFonts w:hint="eastAsia" w:ascii="仿宋" w:hAnsi="仿宋" w:eastAsia="仿宋" w:cs="仿宋"/>
                <w:color w:val="auto"/>
                <w:kern w:val="0"/>
                <w:sz w:val="21"/>
                <w:szCs w:val="21"/>
                <w:lang w:eastAsia="zh-CN"/>
              </w:rPr>
              <w:t>调速</w:t>
            </w:r>
            <w:r>
              <w:rPr>
                <w:rFonts w:hint="eastAsia" w:ascii="仿宋" w:hAnsi="仿宋" w:eastAsia="仿宋" w:cs="仿宋"/>
                <w:color w:val="auto"/>
                <w:kern w:val="0"/>
                <w:sz w:val="21"/>
                <w:szCs w:val="21"/>
              </w:rPr>
              <w:t>手柄，</w:t>
            </w:r>
            <w:r>
              <w:rPr>
                <w:rFonts w:hint="eastAsia" w:ascii="仿宋" w:hAnsi="仿宋" w:eastAsia="仿宋" w:cs="仿宋"/>
                <w:color w:val="auto"/>
                <w:kern w:val="0"/>
                <w:sz w:val="21"/>
                <w:szCs w:val="21"/>
                <w:lang w:eastAsia="zh-CN"/>
              </w:rPr>
              <w:t>左手不离制动手柄。</w:t>
            </w:r>
          </w:p>
        </w:tc>
      </w:tr>
      <w:tr w14:paraId="6A87F8F7">
        <w:tblPrEx>
          <w:tblCellMar>
            <w:top w:w="0" w:type="dxa"/>
            <w:left w:w="108" w:type="dxa"/>
            <w:bottom w:w="0" w:type="dxa"/>
            <w:right w:w="108" w:type="dxa"/>
          </w:tblCellMar>
        </w:tblPrEx>
        <w:trPr>
          <w:trHeight w:val="610" w:hRule="atLeast"/>
          <w:jc w:val="center"/>
        </w:trPr>
        <w:tc>
          <w:tcPr>
            <w:tcW w:w="798" w:type="dxa"/>
            <w:tcBorders>
              <w:top w:val="nil"/>
              <w:left w:val="single" w:color="auto" w:sz="4" w:space="0"/>
              <w:bottom w:val="single" w:color="auto" w:sz="4" w:space="0"/>
              <w:right w:val="single" w:color="auto" w:sz="4" w:space="0"/>
            </w:tcBorders>
            <w:vAlign w:val="center"/>
          </w:tcPr>
          <w:p w14:paraId="71ACC681">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916" w:type="dxa"/>
            <w:tcBorders>
              <w:top w:val="nil"/>
              <w:left w:val="nil"/>
              <w:bottom w:val="single" w:color="auto" w:sz="4" w:space="0"/>
              <w:right w:val="single" w:color="auto" w:sz="4" w:space="0"/>
            </w:tcBorders>
            <w:vAlign w:val="center"/>
          </w:tcPr>
          <w:p w14:paraId="716E649E">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四超车辆</w:t>
            </w:r>
          </w:p>
        </w:tc>
        <w:tc>
          <w:tcPr>
            <w:tcW w:w="6560" w:type="dxa"/>
            <w:tcBorders>
              <w:top w:val="nil"/>
              <w:left w:val="nil"/>
              <w:bottom w:val="single" w:color="auto" w:sz="4" w:space="0"/>
              <w:right w:val="single" w:color="auto" w:sz="4" w:space="0"/>
            </w:tcBorders>
            <w:vAlign w:val="center"/>
          </w:tcPr>
          <w:p w14:paraId="5594AD12">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tr w14:paraId="198CA377">
        <w:tblPrEx>
          <w:tblCellMar>
            <w:top w:w="0" w:type="dxa"/>
            <w:left w:w="108" w:type="dxa"/>
            <w:bottom w:w="0" w:type="dxa"/>
            <w:right w:w="108" w:type="dxa"/>
          </w:tblCellMar>
        </w:tblPrEx>
        <w:trPr>
          <w:trHeight w:val="458" w:hRule="atLeast"/>
          <w:jc w:val="center"/>
        </w:trPr>
        <w:tc>
          <w:tcPr>
            <w:tcW w:w="798" w:type="dxa"/>
            <w:tcBorders>
              <w:top w:val="nil"/>
              <w:left w:val="single" w:color="auto" w:sz="4" w:space="0"/>
              <w:bottom w:val="single" w:color="auto" w:sz="4" w:space="0"/>
              <w:right w:val="single" w:color="auto" w:sz="4" w:space="0"/>
            </w:tcBorders>
            <w:vAlign w:val="center"/>
          </w:tcPr>
          <w:p w14:paraId="0CF68E6A">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916" w:type="dxa"/>
            <w:tcBorders>
              <w:top w:val="nil"/>
              <w:left w:val="nil"/>
              <w:bottom w:val="single" w:color="auto" w:sz="4" w:space="0"/>
              <w:right w:val="single" w:color="auto" w:sz="4" w:space="0"/>
            </w:tcBorders>
            <w:vAlign w:val="center"/>
          </w:tcPr>
          <w:p w14:paraId="19225325">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560" w:type="dxa"/>
            <w:tcBorders>
              <w:top w:val="nil"/>
              <w:left w:val="nil"/>
              <w:bottom w:val="single" w:color="auto" w:sz="4" w:space="0"/>
              <w:right w:val="single" w:color="auto" w:sz="4" w:space="0"/>
            </w:tcBorders>
            <w:vAlign w:val="center"/>
          </w:tcPr>
          <w:p w14:paraId="29494206">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禁止用</w:t>
            </w:r>
            <w:r>
              <w:rPr>
                <w:rFonts w:hint="eastAsia" w:ascii="仿宋" w:hAnsi="仿宋" w:eastAsia="仿宋" w:cs="仿宋"/>
                <w:color w:val="auto"/>
                <w:kern w:val="0"/>
                <w:sz w:val="21"/>
                <w:szCs w:val="21"/>
                <w:lang w:eastAsia="zh-CN"/>
              </w:rPr>
              <w:t>提升机</w:t>
            </w:r>
            <w:r>
              <w:rPr>
                <w:rFonts w:hint="eastAsia" w:ascii="仿宋" w:hAnsi="仿宋" w:eastAsia="仿宋" w:cs="仿宋"/>
                <w:color w:val="auto"/>
                <w:kern w:val="0"/>
                <w:sz w:val="21"/>
                <w:szCs w:val="21"/>
              </w:rPr>
              <w:t>硬拉复位。</w:t>
            </w:r>
          </w:p>
        </w:tc>
      </w:tr>
      <w:tr w14:paraId="1D4C77DC">
        <w:tblPrEx>
          <w:tblCellMar>
            <w:top w:w="0" w:type="dxa"/>
            <w:left w:w="108" w:type="dxa"/>
            <w:bottom w:w="0" w:type="dxa"/>
            <w:right w:w="108" w:type="dxa"/>
          </w:tblCellMar>
        </w:tblPrEx>
        <w:trPr>
          <w:trHeight w:val="579" w:hRule="atLeast"/>
          <w:jc w:val="center"/>
        </w:trPr>
        <w:tc>
          <w:tcPr>
            <w:tcW w:w="798" w:type="dxa"/>
            <w:tcBorders>
              <w:top w:val="nil"/>
              <w:left w:val="single" w:color="auto" w:sz="4" w:space="0"/>
              <w:bottom w:val="single" w:color="auto" w:sz="4" w:space="0"/>
              <w:right w:val="single" w:color="auto" w:sz="4" w:space="0"/>
            </w:tcBorders>
            <w:vAlign w:val="center"/>
          </w:tcPr>
          <w:p w14:paraId="7798FC70">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7</w:t>
            </w:r>
          </w:p>
        </w:tc>
        <w:tc>
          <w:tcPr>
            <w:tcW w:w="1916" w:type="dxa"/>
            <w:tcBorders>
              <w:top w:val="nil"/>
              <w:left w:val="nil"/>
              <w:bottom w:val="single" w:color="auto" w:sz="4" w:space="0"/>
              <w:right w:val="single" w:color="auto" w:sz="4" w:space="0"/>
            </w:tcBorders>
            <w:vAlign w:val="center"/>
          </w:tcPr>
          <w:p w14:paraId="2E669813">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6560" w:type="dxa"/>
            <w:tcBorders>
              <w:top w:val="nil"/>
              <w:left w:val="nil"/>
              <w:bottom w:val="single" w:color="auto" w:sz="4" w:space="0"/>
              <w:right w:val="single" w:color="auto" w:sz="4" w:space="0"/>
            </w:tcBorders>
            <w:vAlign w:val="center"/>
          </w:tcPr>
          <w:p w14:paraId="7300A5FC">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严禁无关人员进入提升机房，提升机司机</w:t>
            </w:r>
            <w:r>
              <w:rPr>
                <w:rFonts w:hint="eastAsia" w:ascii="仿宋" w:hAnsi="仿宋" w:eastAsia="仿宋" w:cs="仿宋"/>
                <w:color w:val="auto"/>
                <w:kern w:val="0"/>
                <w:sz w:val="21"/>
                <w:szCs w:val="21"/>
              </w:rPr>
              <w:t>不得擅自离岗。</w:t>
            </w:r>
          </w:p>
        </w:tc>
      </w:tr>
    </w:tbl>
    <w:p w14:paraId="31421513">
      <w:pPr>
        <w:keepNext w:val="0"/>
        <w:keepLines w:val="0"/>
        <w:pageBreakBefore w:val="0"/>
        <w:kinsoku/>
        <w:wordWrap/>
        <w:overflowPunct/>
        <w:topLinePunct w:val="0"/>
        <w:autoSpaceDE/>
        <w:bidi w:val="0"/>
        <w:adjustRightInd/>
        <w:snapToGrid/>
        <w:spacing w:line="600" w:lineRule="exact"/>
        <w:ind w:firstLine="560" w:firstLineChars="200"/>
        <w:textAlignment w:val="auto"/>
        <w:outlineLvl w:val="9"/>
        <w:rPr>
          <w:rFonts w:hint="eastAsia" w:ascii="仿宋" w:hAnsi="仿宋" w:eastAsia="仿宋" w:cs="仿宋"/>
          <w:color w:val="auto"/>
          <w:sz w:val="28"/>
          <w:szCs w:val="28"/>
        </w:rPr>
      </w:pPr>
    </w:p>
    <w:p w14:paraId="0E4D3F2A">
      <w:pPr>
        <w:keepNext w:val="0"/>
        <w:keepLines w:val="0"/>
        <w:pageBreakBefore w:val="0"/>
        <w:kinsoku/>
        <w:wordWrap/>
        <w:overflowPunct/>
        <w:topLinePunct w:val="0"/>
        <w:autoSpaceDE/>
        <w:bidi w:val="0"/>
        <w:adjustRightInd/>
        <w:snapToGrid/>
        <w:spacing w:line="600" w:lineRule="exact"/>
        <w:ind w:firstLine="560" w:firstLineChars="200"/>
        <w:textAlignment w:val="auto"/>
        <w:outlineLvl w:val="9"/>
        <w:rPr>
          <w:rFonts w:hint="eastAsia" w:ascii="仿宋" w:hAnsi="仿宋" w:eastAsia="仿宋" w:cs="仿宋"/>
          <w:color w:val="auto"/>
          <w:sz w:val="28"/>
          <w:szCs w:val="28"/>
        </w:rPr>
      </w:pPr>
    </w:p>
    <w:p w14:paraId="48531340">
      <w:pPr>
        <w:keepNext w:val="0"/>
        <w:keepLines w:val="0"/>
        <w:pageBreakBefore w:val="0"/>
        <w:kinsoku/>
        <w:wordWrap/>
        <w:overflowPunct/>
        <w:topLinePunct w:val="0"/>
        <w:autoSpaceDE/>
        <w:bidi w:val="0"/>
        <w:adjustRightInd/>
        <w:snapToGrid/>
        <w:spacing w:line="600" w:lineRule="exact"/>
        <w:textAlignment w:val="auto"/>
        <w:outlineLvl w:val="9"/>
        <w:rPr>
          <w:rFonts w:hint="eastAsia" w:ascii="仿宋" w:hAnsi="仿宋" w:eastAsia="仿宋" w:cs="仿宋"/>
          <w:color w:val="auto"/>
          <w:sz w:val="28"/>
          <w:szCs w:val="28"/>
        </w:rPr>
      </w:pPr>
    </w:p>
    <w:p w14:paraId="5D332000">
      <w:pPr>
        <w:pStyle w:val="2"/>
        <w:keepNext w:val="0"/>
        <w:keepLines w:val="0"/>
        <w:pageBreakBefore w:val="0"/>
        <w:kinsoku/>
        <w:wordWrap/>
        <w:overflowPunct/>
        <w:topLinePunct w:val="0"/>
        <w:autoSpaceDE/>
        <w:bidi w:val="0"/>
        <w:adjustRightInd/>
        <w:snapToGrid/>
        <w:textAlignment w:val="auto"/>
        <w:outlineLvl w:val="9"/>
        <w:rPr>
          <w:rFonts w:hint="eastAsia"/>
          <w:color w:val="auto"/>
        </w:rPr>
      </w:pPr>
    </w:p>
    <w:p w14:paraId="613AC17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14:paraId="58CAA1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（一）入井、乘罐注意事项</w:t>
      </w:r>
      <w:r>
        <w:rPr>
          <w:rFonts w:hint="eastAsia" w:ascii="仿宋" w:hAnsi="仿宋" w:eastAsia="仿宋" w:cs="仿宋"/>
          <w:color w:val="auto"/>
          <w:sz w:val="28"/>
          <w:szCs w:val="28"/>
          <w:lang w:eastAsia="zh-CN"/>
        </w:rPr>
        <w:t>：</w:t>
      </w:r>
    </w:p>
    <w:p w14:paraId="27405B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14:paraId="03BA41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14:paraId="5FDAE3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14:paraId="0AB110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14:paraId="7BFC2B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（二）井下行走、乘坐架空乘人装置注意事项</w:t>
      </w:r>
      <w:r>
        <w:rPr>
          <w:rFonts w:hint="eastAsia" w:ascii="仿宋" w:hAnsi="仿宋" w:eastAsia="仿宋" w:cs="仿宋"/>
          <w:color w:val="auto"/>
          <w:sz w:val="28"/>
          <w:szCs w:val="28"/>
          <w:lang w:eastAsia="zh-CN"/>
        </w:rPr>
        <w:t>：</w:t>
      </w:r>
    </w:p>
    <w:p w14:paraId="33B272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14:paraId="4A9F69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14:paraId="0A7E7B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14:paraId="34FE20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14:paraId="7D5C673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14:paraId="191001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14:paraId="0A35C1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14:paraId="36B9A2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14:paraId="2626FBB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6911BE9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37D83E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165F28A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54BB46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325522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3C848F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594A28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6DA3BD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13D575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47FFE0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093885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238615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4FB50E0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6A3A8E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17B79BB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55DD0E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21504A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0DC7E8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23C2F8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056E85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345076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14F8519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5301E73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078FB21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1A43694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D4552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2F50CD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1E2566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283F7BF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37BFF0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0867B8D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03837C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10EEBE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057725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053D61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425F417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5BD871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65A5BBD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0F6FA7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3E9A13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5358E0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24A513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29213E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3D1F04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0B8D77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6AC92D3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0E24FA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6A95F4D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14:paraId="265C50B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14:paraId="60AD09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1.风险描述：矿井存在水灾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风险。</w:t>
      </w:r>
    </w:p>
    <w:p w14:paraId="5C7DCC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事故时，根据调度室应急语音广播通知要求，按避灾路线升井</w:t>
      </w:r>
      <w:r>
        <w:rPr>
          <w:rFonts w:hint="eastAsia" w:ascii="仿宋" w:hAnsi="仿宋" w:eastAsia="仿宋" w:cs="仿宋"/>
          <w:color w:val="auto"/>
          <w:sz w:val="28"/>
          <w:szCs w:val="28"/>
          <w:lang w:eastAsia="zh-CN"/>
        </w:rPr>
        <w:t>。</w:t>
      </w:r>
    </w:p>
    <w:p w14:paraId="35B3E0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避火灾路线：煤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0C96685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避水灾路线：煤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六采轨道石门→-450运输大巷（途径自救器补给站）→集中轨道上山→-313水平巷道→主井通道→主井下井口→地面。</w:t>
      </w:r>
    </w:p>
    <w:p w14:paraId="5703EB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2.风险描述：矿井存在停电、停风风险。</w:t>
      </w:r>
    </w:p>
    <w:p w14:paraId="79A4FF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管控措施：矿井发生停电、停风事故且短时间无法恢复时，井下工作人员撤至进风巷内，根据调度室应急语音广播通知要求，按避灾路线撤至副井底，根据实际情况等待救援或沿主副井梯子间升井。</w:t>
      </w:r>
    </w:p>
    <w:p w14:paraId="3FE71D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b w:val="0"/>
          <w:bCs w:val="0"/>
          <w:color w:val="auto"/>
          <w:sz w:val="28"/>
          <w:szCs w:val="28"/>
          <w:lang w:val="en-US" w:eastAsia="zh-CN"/>
        </w:rPr>
        <w:t>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673630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3.风险描述：矿井存在瓦斯、煤尘爆炸风险。</w:t>
      </w:r>
    </w:p>
    <w:p w14:paraId="03B8AD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eastAsia="zh-CN"/>
        </w:rPr>
        <w:t>。</w:t>
      </w:r>
    </w:p>
    <w:p w14:paraId="698E23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避瓦斯、煤尘爆炸</w:t>
      </w:r>
      <w:r>
        <w:rPr>
          <w:rFonts w:hint="eastAsia" w:ascii="仿宋" w:hAnsi="仿宋" w:eastAsia="仿宋" w:cs="仿宋"/>
          <w:b w:val="0"/>
          <w:bCs w:val="0"/>
          <w:color w:val="auto"/>
          <w:sz w:val="28"/>
          <w:szCs w:val="28"/>
          <w:lang w:val="en-US" w:eastAsia="zh-CN"/>
        </w:rPr>
        <w:t>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0204796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14:paraId="0BC4BF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1.开车前：</w:t>
      </w:r>
    </w:p>
    <w:p w14:paraId="27EE50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（1）风险描述：局部喷层开裂、破碎，存在掉矸伤人、冒顶的风险。</w:t>
      </w:r>
    </w:p>
    <w:p w14:paraId="78CAFCC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管控措施：进入</w:t>
      </w:r>
      <w:r>
        <w:rPr>
          <w:rFonts w:hint="eastAsia" w:ascii="仿宋" w:hAnsi="仿宋" w:eastAsia="仿宋" w:cs="仿宋"/>
          <w:color w:val="auto"/>
          <w:sz w:val="28"/>
          <w:szCs w:val="28"/>
          <w:lang w:eastAsia="zh-CN"/>
        </w:rPr>
        <w:t>提升机房</w:t>
      </w:r>
      <w:r>
        <w:rPr>
          <w:rFonts w:hint="eastAsia" w:ascii="仿宋" w:hAnsi="仿宋" w:eastAsia="仿宋" w:cs="仿宋"/>
          <w:color w:val="auto"/>
          <w:sz w:val="28"/>
          <w:szCs w:val="28"/>
        </w:rPr>
        <w:t>，首先使用专用长把工具对</w:t>
      </w:r>
      <w:r>
        <w:rPr>
          <w:rFonts w:hint="eastAsia" w:ascii="仿宋" w:hAnsi="仿宋" w:eastAsia="仿宋" w:cs="仿宋"/>
          <w:color w:val="auto"/>
          <w:sz w:val="28"/>
          <w:szCs w:val="28"/>
          <w:lang w:eastAsia="zh-CN"/>
        </w:rPr>
        <w:t>提升机房</w:t>
      </w:r>
      <w:r>
        <w:rPr>
          <w:rFonts w:hint="eastAsia" w:ascii="仿宋" w:hAnsi="仿宋" w:eastAsia="仿宋" w:cs="仿宋"/>
          <w:color w:val="auto"/>
          <w:sz w:val="28"/>
          <w:szCs w:val="28"/>
        </w:rPr>
        <w:t>顶板及帮部进行敲帮问顶，找掉危岩活矸。敲帮问顶应从完好支护的地点开始，由外向里、自上而下、先顶部后两帮依次进行，敲帮问顶范围内严禁其他人员进入。</w:t>
      </w:r>
    </w:p>
    <w:p w14:paraId="2D38E7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（2）风险描述：工作地点无照明或照明灯损坏，作业人员可能存在碰伤风险。</w:t>
      </w:r>
    </w:p>
    <w:p w14:paraId="47DE749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管控措施：作业地点保证充足照明；发现照明灯损坏时，及时联系</w:t>
      </w:r>
      <w:r>
        <w:rPr>
          <w:rFonts w:hint="eastAsia" w:ascii="仿宋" w:hAnsi="仿宋" w:eastAsia="仿宋" w:cs="仿宋"/>
          <w:color w:val="auto"/>
          <w:sz w:val="28"/>
          <w:szCs w:val="28"/>
          <w:lang w:eastAsia="zh-CN"/>
        </w:rPr>
        <w:t>维修工</w:t>
      </w:r>
      <w:r>
        <w:rPr>
          <w:rFonts w:hint="eastAsia" w:ascii="仿宋" w:hAnsi="仿宋" w:eastAsia="仿宋" w:cs="仿宋"/>
          <w:color w:val="auto"/>
          <w:sz w:val="28"/>
          <w:szCs w:val="28"/>
        </w:rPr>
        <w:t>更换。</w:t>
      </w:r>
    </w:p>
    <w:p w14:paraId="18DB919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提升巷道内有影响运输的人员和障碍物，可能发生运输事故风险。</w:t>
      </w:r>
    </w:p>
    <w:p w14:paraId="5753AD5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提升巷道不得有影响运输的人员和障碍物；开车前，发出警示信号，提醒过往行人。</w:t>
      </w:r>
    </w:p>
    <w:p w14:paraId="1BB8F62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11FEDF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（1）风险描述：未根据信号指令开车，可能发生运输事故风险。</w:t>
      </w:r>
    </w:p>
    <w:p w14:paraId="12A52F5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管控措施：信号把钩工按规定收发信号；对运输过程进行监督，发现收发信号失误的，立即中止作业，；安检员对运输过程进行监督，发现不规范作业的，按违章处理。</w:t>
      </w:r>
    </w:p>
    <w:p w14:paraId="0733A01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（2）风险描述：站位不当，可能造成人身伤害或跑车风险。</w:t>
      </w:r>
    </w:p>
    <w:p w14:paraId="0F2182C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提升机运行期间</w:t>
      </w:r>
      <w:r>
        <w:rPr>
          <w:rFonts w:hint="eastAsia" w:ascii="仿宋" w:hAnsi="仿宋" w:eastAsia="仿宋" w:cs="仿宋"/>
          <w:color w:val="auto"/>
          <w:sz w:val="28"/>
          <w:szCs w:val="28"/>
        </w:rPr>
        <w:t>严禁</w:t>
      </w:r>
      <w:r>
        <w:rPr>
          <w:rFonts w:hint="eastAsia" w:ascii="仿宋" w:hAnsi="仿宋" w:eastAsia="仿宋" w:cs="仿宋"/>
          <w:color w:val="auto"/>
          <w:sz w:val="28"/>
          <w:szCs w:val="28"/>
          <w:lang w:eastAsia="zh-CN"/>
        </w:rPr>
        <w:t>任何人员</w:t>
      </w:r>
      <w:r>
        <w:rPr>
          <w:rFonts w:hint="eastAsia" w:ascii="仿宋" w:hAnsi="仿宋" w:eastAsia="仿宋" w:cs="仿宋"/>
          <w:color w:val="auto"/>
          <w:sz w:val="28"/>
          <w:szCs w:val="28"/>
        </w:rPr>
        <w:t>站在</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滚筒前方（出绳侧），严禁靠近设备转动部位，防止衣物卷入造成伤害。</w:t>
      </w:r>
    </w:p>
    <w:p w14:paraId="66F8C8D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运行过程中出现异响、异味、不明信号等异常情况，未及时处理可能发生运输事故风险。</w:t>
      </w:r>
    </w:p>
    <w:p w14:paraId="52F020C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行中发现下列情况必须立即停车，妥善处理后方可继续运行：有异常响声、异味、异状；钢丝绳有异常跳动，负载增大或突然松弛；有严重咬绳、爬绳现象；电机异常；收到不明信号；突然断电或有其他险情。</w:t>
      </w:r>
    </w:p>
    <w:p w14:paraId="4134219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（4）风险描述：未严格执行“行车不行人，行人不行车”制度，可能发生运输事故风险。</w:t>
      </w:r>
    </w:p>
    <w:p w14:paraId="5C771FA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left"/>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班组长应严格管理、监督职工的作业行为，发现违反规定作业的人员进行处罚并教育；安检员、机电科管理人员应做好监督管理工作，发现违规行为应立即制止，并作出相应处罚。</w:t>
      </w:r>
    </w:p>
    <w:p w14:paraId="09E835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（5）风险描述：处理掉道车辆不当，可能发生运输事故风险。</w:t>
      </w:r>
    </w:p>
    <w:p w14:paraId="6D4B4F4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管控措施：严格按照规定处理掉道车辆，严禁强行硬拉复轨；安检员现场监督，发现处理方法不当进行制止纠正。</w:t>
      </w:r>
    </w:p>
    <w:p w14:paraId="72E5A9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（6）风险描述：运输“四超”车辆，可能发生运输事故风险。</w:t>
      </w:r>
    </w:p>
    <w:p w14:paraId="53DA134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班组长安排信号把钩工检查“四超”装载情况，制定相应的安全措施；当班班组长应严格管理、监督职工的作业行为，发现违反规定作业的人员进行处罚并教育；安检员、机电科管理人员应做好监督管理工作，发现违规行为应立即制止，并作出相应处罚。</w:t>
      </w:r>
    </w:p>
    <w:p w14:paraId="3DB47AB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3.停机后：</w:t>
      </w:r>
    </w:p>
    <w:p w14:paraId="0E48DDD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w:t>
      </w:r>
      <w:r>
        <w:rPr>
          <w:rFonts w:hint="eastAsia" w:ascii="仿宋" w:hAnsi="仿宋" w:eastAsia="仿宋" w:cs="仿宋"/>
          <w:color w:val="auto"/>
          <w:sz w:val="28"/>
          <w:szCs w:val="28"/>
          <w:lang w:eastAsia="zh-CN"/>
        </w:rPr>
        <w:t>控制手柄未关闭</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调速手柄未在零位，</w:t>
      </w:r>
      <w:r>
        <w:rPr>
          <w:rFonts w:hint="eastAsia" w:ascii="仿宋" w:hAnsi="仿宋" w:eastAsia="仿宋" w:cs="仿宋"/>
          <w:color w:val="auto"/>
          <w:sz w:val="28"/>
          <w:szCs w:val="28"/>
        </w:rPr>
        <w:t>可能存在运输事故风险。</w:t>
      </w:r>
    </w:p>
    <w:p w14:paraId="5932DF5E">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停止运行后，</w:t>
      </w:r>
      <w:r>
        <w:rPr>
          <w:rFonts w:hint="eastAsia" w:ascii="仿宋" w:hAnsi="仿宋" w:eastAsia="仿宋" w:cs="仿宋"/>
          <w:color w:val="auto"/>
          <w:sz w:val="28"/>
          <w:szCs w:val="28"/>
          <w:lang w:eastAsia="zh-CN"/>
        </w:rPr>
        <w:t>控制手柄关闭</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调速手柄在零位</w:t>
      </w:r>
      <w:r>
        <w:rPr>
          <w:rFonts w:hint="eastAsia" w:ascii="仿宋" w:hAnsi="仿宋" w:eastAsia="仿宋" w:cs="仿宋"/>
          <w:color w:val="auto"/>
          <w:sz w:val="28"/>
          <w:szCs w:val="28"/>
        </w:rPr>
        <w:t>。</w:t>
      </w:r>
    </w:p>
    <w:p w14:paraId="75432BF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电源开关未停电闭锁，人员误操作或设备误动作可能发生运输事故风险。</w:t>
      </w:r>
    </w:p>
    <w:p w14:paraId="4DF51EE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管控措施：停机后将</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电源开关停电闭锁；对</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司机进行业务技能培训，熟记停送电流程，提高安全意识；班组长负责班组管理和现场管理，发现问题及时整改；机电管理人员、安全检查员负责对停送电流程的检查监督。</w:t>
      </w:r>
    </w:p>
    <w:p w14:paraId="15276075">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14:paraId="27C0057B">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14:paraId="67B8C74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14:paraId="242B7B5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2.照明：照明灯明亮、完好。</w:t>
      </w:r>
    </w:p>
    <w:p w14:paraId="1752A76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3.人员、障碍物：绳道及提升车辆前后无人员站立、行走，无障碍物。</w:t>
      </w:r>
    </w:p>
    <w:p w14:paraId="4596943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4.站位：站位正确。</w:t>
      </w:r>
    </w:p>
    <w:p w14:paraId="25D8856A">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14:paraId="61DDF30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1.记录、信号、</w:t>
      </w:r>
      <w:r>
        <w:rPr>
          <w:rFonts w:hint="eastAsia" w:ascii="仿宋" w:hAnsi="仿宋" w:eastAsia="仿宋" w:cs="仿宋"/>
          <w:color w:val="auto"/>
          <w:sz w:val="28"/>
          <w:szCs w:val="28"/>
          <w:lang w:eastAsia="zh-CN"/>
        </w:rPr>
        <w:t>操控台</w:t>
      </w:r>
      <w:r>
        <w:rPr>
          <w:rFonts w:hint="eastAsia" w:ascii="仿宋" w:hAnsi="仿宋" w:eastAsia="仿宋" w:cs="仿宋"/>
          <w:color w:val="auto"/>
          <w:sz w:val="28"/>
          <w:szCs w:val="28"/>
        </w:rPr>
        <w:t>：记录正常，</w:t>
      </w:r>
      <w:r>
        <w:rPr>
          <w:rFonts w:hint="eastAsia" w:ascii="仿宋" w:hAnsi="仿宋" w:eastAsia="仿宋" w:cs="仿宋"/>
          <w:color w:val="auto"/>
          <w:sz w:val="28"/>
          <w:szCs w:val="28"/>
          <w:lang w:eastAsia="zh-CN"/>
        </w:rPr>
        <w:t>操控台</w:t>
      </w:r>
      <w:r>
        <w:rPr>
          <w:rFonts w:hint="eastAsia" w:ascii="仿宋" w:hAnsi="仿宋" w:eastAsia="仿宋" w:cs="仿宋"/>
          <w:color w:val="auto"/>
          <w:sz w:val="28"/>
          <w:szCs w:val="28"/>
        </w:rPr>
        <w:t>按钮灵敏可靠，信号声光兼备，声音清晰，准确可靠。</w:t>
      </w:r>
    </w:p>
    <w:p w14:paraId="4E04BFE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eastAsia="zh-CN"/>
        </w:rPr>
        <w:t>安全保护</w:t>
      </w:r>
      <w:r>
        <w:rPr>
          <w:rFonts w:hint="eastAsia" w:ascii="仿宋" w:hAnsi="仿宋" w:eastAsia="仿宋" w:cs="仿宋"/>
          <w:color w:val="auto"/>
          <w:sz w:val="28"/>
          <w:szCs w:val="28"/>
        </w:rPr>
        <w:t xml:space="preserve">: </w:t>
      </w:r>
      <w:r>
        <w:rPr>
          <w:rFonts w:hint="eastAsia" w:ascii="仿宋" w:hAnsi="仿宋" w:eastAsia="仿宋" w:cs="仿宋"/>
          <w:color w:val="auto"/>
          <w:sz w:val="28"/>
          <w:szCs w:val="28"/>
          <w:lang w:eastAsia="zh-CN"/>
        </w:rPr>
        <w:t>安全保护灵敏可靠</w:t>
      </w:r>
      <w:r>
        <w:rPr>
          <w:rFonts w:hint="eastAsia" w:ascii="仿宋" w:hAnsi="仿宋" w:eastAsia="仿宋" w:cs="仿宋"/>
          <w:color w:val="auto"/>
          <w:sz w:val="28"/>
          <w:szCs w:val="28"/>
        </w:rPr>
        <w:t>。</w:t>
      </w:r>
    </w:p>
    <w:p w14:paraId="3C9CA92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3.电机: 电机固定牢靠，外观清洁。</w:t>
      </w:r>
    </w:p>
    <w:p w14:paraId="2386D07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eastAsia="zh-CN"/>
        </w:rPr>
        <w:t>液压站</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液压站无漏油，压力能够达到正常运行的需要</w:t>
      </w:r>
      <w:r>
        <w:rPr>
          <w:rFonts w:hint="eastAsia" w:ascii="仿宋" w:hAnsi="仿宋" w:eastAsia="仿宋" w:cs="仿宋"/>
          <w:color w:val="auto"/>
          <w:sz w:val="28"/>
          <w:szCs w:val="28"/>
        </w:rPr>
        <w:t>。</w:t>
      </w:r>
    </w:p>
    <w:p w14:paraId="1C178D1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5.钢丝绳：钢丝绳无严重锈蚀，断丝不超限，无严重咬绳、爬绳，滚筒排绳、容绳、余绳符合标准。</w:t>
      </w:r>
    </w:p>
    <w:p w14:paraId="629F6675">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14:paraId="0845F2B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1.信号指令</w:t>
      </w:r>
      <w:r>
        <w:rPr>
          <w:rFonts w:hint="eastAsia" w:ascii="仿宋" w:hAnsi="仿宋" w:eastAsia="仿宋" w:cs="仿宋"/>
          <w:color w:val="auto"/>
          <w:sz w:val="28"/>
          <w:szCs w:val="28"/>
        </w:rPr>
        <w:tab/>
      </w:r>
    </w:p>
    <w:p w14:paraId="2E6EB12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严格按信号指令开车，严禁无信号动车；信号不清、有疑问或接到信号因故未能执行时，应联系信号工重发信号。</w:t>
      </w:r>
    </w:p>
    <w:p w14:paraId="006F6C8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2.司机位置</w:t>
      </w:r>
      <w:r>
        <w:rPr>
          <w:rFonts w:hint="eastAsia" w:ascii="仿宋" w:hAnsi="仿宋" w:eastAsia="仿宋" w:cs="仿宋"/>
          <w:color w:val="auto"/>
          <w:sz w:val="28"/>
          <w:szCs w:val="28"/>
        </w:rPr>
        <w:tab/>
      </w:r>
    </w:p>
    <w:p w14:paraId="380499A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提升机在运行期间，必须在操控台</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严禁</w:t>
      </w:r>
      <w:r>
        <w:rPr>
          <w:rFonts w:hint="eastAsia" w:ascii="仿宋" w:hAnsi="仿宋" w:eastAsia="仿宋" w:cs="仿宋"/>
          <w:color w:val="auto"/>
          <w:sz w:val="28"/>
          <w:szCs w:val="28"/>
        </w:rPr>
        <w:t>离岗。</w:t>
      </w:r>
    </w:p>
    <w:p w14:paraId="7D4E26B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3.正常提升</w:t>
      </w:r>
      <w:r>
        <w:rPr>
          <w:rFonts w:hint="eastAsia" w:ascii="仿宋" w:hAnsi="仿宋" w:eastAsia="仿宋" w:cs="仿宋"/>
          <w:color w:val="auto"/>
          <w:sz w:val="28"/>
          <w:szCs w:val="28"/>
        </w:rPr>
        <w:tab/>
      </w:r>
    </w:p>
    <w:p w14:paraId="29CFE35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严格执行“行车不行人，行人不行车”的规定。</w:t>
      </w:r>
    </w:p>
    <w:p w14:paraId="75B296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下放车辆时严禁留有余绳，上提车辆时严禁过卷或停车不到位。</w:t>
      </w:r>
    </w:p>
    <w:p w14:paraId="0DF8A2C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严禁不带电放飞车。</w:t>
      </w:r>
    </w:p>
    <w:p w14:paraId="6903045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4.正常停车</w:t>
      </w:r>
      <w:r>
        <w:rPr>
          <w:rFonts w:hint="eastAsia" w:ascii="仿宋" w:hAnsi="仿宋" w:eastAsia="仿宋" w:cs="仿宋"/>
          <w:color w:val="auto"/>
          <w:sz w:val="28"/>
          <w:szCs w:val="28"/>
        </w:rPr>
        <w:tab/>
      </w:r>
    </w:p>
    <w:p w14:paraId="3EAAA4A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听到停车信号后，应</w:t>
      </w:r>
      <w:r>
        <w:rPr>
          <w:rFonts w:hint="eastAsia" w:ascii="仿宋" w:hAnsi="仿宋" w:eastAsia="仿宋" w:cs="仿宋"/>
          <w:color w:val="auto"/>
          <w:sz w:val="28"/>
          <w:szCs w:val="28"/>
          <w:lang w:eastAsia="zh-CN"/>
        </w:rPr>
        <w:t>关闭</w:t>
      </w:r>
      <w:r>
        <w:rPr>
          <w:rFonts w:hint="eastAsia" w:ascii="仿宋" w:hAnsi="仿宋" w:eastAsia="仿宋" w:cs="仿宋"/>
          <w:color w:val="auto"/>
          <w:sz w:val="28"/>
          <w:szCs w:val="28"/>
        </w:rPr>
        <w:t>制动</w:t>
      </w:r>
      <w:r>
        <w:rPr>
          <w:rFonts w:hint="eastAsia" w:ascii="仿宋" w:hAnsi="仿宋" w:eastAsia="仿宋" w:cs="仿宋"/>
          <w:color w:val="auto"/>
          <w:sz w:val="28"/>
          <w:szCs w:val="28"/>
          <w:lang w:eastAsia="zh-CN"/>
        </w:rPr>
        <w:t>手柄</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控制手柄归零位</w:t>
      </w:r>
      <w:r>
        <w:rPr>
          <w:rFonts w:hint="eastAsia" w:ascii="仿宋" w:hAnsi="仿宋" w:eastAsia="仿宋" w:cs="仿宋"/>
          <w:color w:val="auto"/>
          <w:sz w:val="28"/>
          <w:szCs w:val="28"/>
        </w:rPr>
        <w:t>。</w:t>
      </w:r>
    </w:p>
    <w:p w14:paraId="07D5108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5.四超车辆</w:t>
      </w:r>
      <w:r>
        <w:rPr>
          <w:rFonts w:hint="eastAsia" w:ascii="仿宋" w:hAnsi="仿宋" w:eastAsia="仿宋" w:cs="仿宋"/>
          <w:color w:val="auto"/>
          <w:sz w:val="28"/>
          <w:szCs w:val="28"/>
        </w:rPr>
        <w:tab/>
      </w:r>
    </w:p>
    <w:p w14:paraId="469C87D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运送“四超”车辆时，应严格按专项措施执行。</w:t>
      </w:r>
    </w:p>
    <w:p w14:paraId="73AD74D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6.车辆复轨</w:t>
      </w:r>
      <w:r>
        <w:rPr>
          <w:rFonts w:hint="eastAsia" w:ascii="仿宋" w:hAnsi="仿宋" w:eastAsia="仿宋" w:cs="仿宋"/>
          <w:color w:val="auto"/>
          <w:sz w:val="28"/>
          <w:szCs w:val="28"/>
        </w:rPr>
        <w:tab/>
      </w:r>
    </w:p>
    <w:p w14:paraId="76EDD49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脱轨时应立即停车，及时汇报现场当班负责人，复轨时应服从指挥，禁止用</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硬拉复位。</w:t>
      </w:r>
    </w:p>
    <w:p w14:paraId="470738C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7.异常处置</w:t>
      </w:r>
      <w:r>
        <w:rPr>
          <w:rFonts w:hint="eastAsia" w:ascii="仿宋" w:hAnsi="仿宋" w:eastAsia="仿宋" w:cs="仿宋"/>
          <w:color w:val="auto"/>
          <w:sz w:val="28"/>
          <w:szCs w:val="28"/>
        </w:rPr>
        <w:tab/>
      </w:r>
    </w:p>
    <w:p w14:paraId="32A3BED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运行中发现下列情况是必须立即停车，妥善处理后方可继续运行：</w:t>
      </w:r>
    </w:p>
    <w:p w14:paraId="14BB3DA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有异常响声、异味、异状。</w:t>
      </w:r>
    </w:p>
    <w:p w14:paraId="6C1D209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钢丝绳有异常跳动，负载增大或突然松弛。</w:t>
      </w:r>
    </w:p>
    <w:p w14:paraId="3F46F92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③提升机</w:t>
      </w:r>
      <w:r>
        <w:rPr>
          <w:rFonts w:hint="eastAsia" w:ascii="仿宋" w:hAnsi="仿宋" w:eastAsia="仿宋" w:cs="仿宋"/>
          <w:color w:val="auto"/>
          <w:sz w:val="28"/>
          <w:szCs w:val="28"/>
        </w:rPr>
        <w:t>固定出现异常。</w:t>
      </w:r>
    </w:p>
    <w:p w14:paraId="3A0D445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④</w:t>
      </w:r>
      <w:r>
        <w:rPr>
          <w:rFonts w:hint="eastAsia" w:ascii="仿宋" w:hAnsi="仿宋" w:eastAsia="仿宋" w:cs="仿宋"/>
          <w:color w:val="auto"/>
          <w:sz w:val="28"/>
          <w:szCs w:val="28"/>
        </w:rPr>
        <w:t>有严重咬绳、爬绳现象。</w:t>
      </w:r>
    </w:p>
    <w:p w14:paraId="639BA32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⑤</w:t>
      </w:r>
      <w:r>
        <w:rPr>
          <w:rFonts w:hint="eastAsia" w:ascii="仿宋" w:hAnsi="仿宋" w:eastAsia="仿宋" w:cs="仿宋"/>
          <w:color w:val="auto"/>
          <w:sz w:val="28"/>
          <w:szCs w:val="28"/>
        </w:rPr>
        <w:t>电机异常。</w:t>
      </w:r>
    </w:p>
    <w:p w14:paraId="3B219B1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⑥</w:t>
      </w:r>
      <w:r>
        <w:rPr>
          <w:rFonts w:hint="eastAsia" w:ascii="仿宋" w:hAnsi="仿宋" w:eastAsia="仿宋" w:cs="仿宋"/>
          <w:color w:val="auto"/>
          <w:sz w:val="28"/>
          <w:szCs w:val="28"/>
        </w:rPr>
        <w:t>收到不明信号</w:t>
      </w:r>
      <w:r>
        <w:rPr>
          <w:rFonts w:hint="eastAsia" w:ascii="仿宋" w:hAnsi="仿宋" w:eastAsia="仿宋" w:cs="仿宋"/>
          <w:color w:val="auto"/>
          <w:sz w:val="28"/>
          <w:szCs w:val="28"/>
          <w:lang w:eastAsia="zh-CN"/>
        </w:rPr>
        <w:t>。</w:t>
      </w:r>
    </w:p>
    <w:p w14:paraId="263560C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⑦</w:t>
      </w:r>
      <w:r>
        <w:rPr>
          <w:rFonts w:hint="eastAsia" w:ascii="仿宋" w:hAnsi="仿宋" w:eastAsia="仿宋" w:cs="仿宋"/>
          <w:color w:val="auto"/>
          <w:sz w:val="28"/>
          <w:szCs w:val="28"/>
        </w:rPr>
        <w:t>突然断电或有其他险情。</w:t>
      </w:r>
    </w:p>
    <w:p w14:paraId="005FC50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（三）操作后确认：</w:t>
      </w:r>
    </w:p>
    <w:p w14:paraId="72ED2016">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停电闭锁：</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开关已停电闭锁。</w:t>
      </w:r>
    </w:p>
    <w:p w14:paraId="7B5EFB6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14:paraId="6B6A68A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事故经过</w:t>
      </w:r>
    </w:p>
    <w:p w14:paraId="65AFA69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1996年11月1日14日，梁家煤矿巷修工区中班班长李路臣带领四人到集中轨道返修，16时左右，运输工区从下车场挂好四个车皮行至1204上顺向上30米处，班长李让信号工邹方军打点停钩，当离迎头30米左右时，车停下。车停下后，李等四人正在准备装车，此时，2207下顺信号工史胜林发出走钩信号，绞车启动。当车行至0.5米左右，将正在准备装车的于××挤在巷道左帮，邹迅速发出放车信号，但此时绞车司机朱海军没将绞车下放，后经电话通知绞车司机，并讲矿车挤人，这才放车，于</w:t>
      </w:r>
      <w:r>
        <w:rPr>
          <w:rFonts w:hint="eastAsia" w:ascii="仿宋" w:hAnsi="仿宋" w:eastAsia="仿宋" w:cs="仿宋"/>
          <w:color w:val="auto"/>
          <w:sz w:val="28"/>
          <w:szCs w:val="28"/>
          <w:lang w:eastAsia="zh-CN"/>
        </w:rPr>
        <w:t>尔清</w:t>
      </w:r>
      <w:r>
        <w:rPr>
          <w:rFonts w:hint="eastAsia" w:ascii="仿宋" w:hAnsi="仿宋" w:eastAsia="仿宋" w:cs="仿宋"/>
          <w:color w:val="auto"/>
          <w:sz w:val="28"/>
          <w:szCs w:val="28"/>
        </w:rPr>
        <w:t>经抢救无救死亡。</w:t>
      </w:r>
    </w:p>
    <w:p w14:paraId="5BF1871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（二）</w:t>
      </w:r>
      <w:r>
        <w:rPr>
          <w:rFonts w:hint="eastAsia" w:ascii="仿宋" w:hAnsi="仿宋" w:eastAsia="仿宋" w:cs="仿宋"/>
          <w:b/>
          <w:bCs/>
          <w:color w:val="auto"/>
          <w:sz w:val="28"/>
          <w:szCs w:val="28"/>
        </w:rPr>
        <w:t>事故原因</w:t>
      </w:r>
    </w:p>
    <w:p w14:paraId="5424FCE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当班班长李路臣违章指挥，违章作业，只顾生产，忽视安全，是事故发生的主要原因。</w:t>
      </w:r>
    </w:p>
    <w:p w14:paraId="23297AE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工人于××自主保安意识不强，站立位置不当，导致事故的发生，是事故发生的直接原因。</w:t>
      </w:r>
    </w:p>
    <w:p w14:paraId="5669550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掘进一区信号工史胜林随意打点，违犯矿提升运输管理规定，导致了事故的发生，也是事故发生的直接原因。</w:t>
      </w:r>
    </w:p>
    <w:p w14:paraId="1E8B35AA">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运输工区绞车司机朱海军，听到放车信号不放车，造成事故的扩大，也是发生事故的一个原因。</w:t>
      </w:r>
    </w:p>
    <w:p w14:paraId="49E6812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矿对提升运输管理不完善，安全管理不严，检查不力，是事故发生的一个因素。</w:t>
      </w:r>
    </w:p>
    <w:p w14:paraId="0BE54D8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（三）</w:t>
      </w:r>
      <w:r>
        <w:rPr>
          <w:rFonts w:hint="eastAsia" w:ascii="仿宋" w:hAnsi="仿宋" w:eastAsia="仿宋" w:cs="仿宋"/>
          <w:b/>
          <w:bCs/>
          <w:color w:val="auto"/>
          <w:sz w:val="28"/>
          <w:szCs w:val="28"/>
        </w:rPr>
        <w:t>防范措施</w:t>
      </w:r>
    </w:p>
    <w:p w14:paraId="44926AF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在全矿范围内围绕如何吸取事故教训，开展安全大讨论，从思想上加深干部职工安全工作的认识，真正树立安全第一的思想，自觉做好安全工作。</w:t>
      </w:r>
    </w:p>
    <w:p w14:paraId="657858A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对安全工作的领导，特别是各单位安全第一责任者，要抓好安全工作的落实，认真贯彻落实反安全生产方针，在全矿开展反事故、反三违、反麻痹、反不负责任的活动，做到不安全不生产，安全措施不落实不生产，安全隐患不消除不生产。</w:t>
      </w:r>
    </w:p>
    <w:p w14:paraId="0D1B7C9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加强对提升运输系统的安全管理，特别是上下山的运输提升信号，要做全面彻底的整改，进一步完善信号管理规定，杜绝事故发生。</w:t>
      </w:r>
    </w:p>
    <w:p w14:paraId="12171811">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rPr>
        <w:t>、常见三违</w:t>
      </w:r>
    </w:p>
    <w:p w14:paraId="6AC5D1A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14:paraId="2EE3EFA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无证上岗、证件过期的；</w:t>
      </w:r>
    </w:p>
    <w:p w14:paraId="2F148455">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违反“行车不行人，行人不行车”制度的；</w:t>
      </w:r>
    </w:p>
    <w:p w14:paraId="5C1369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扒车、跳车和坐矿车的；</w:t>
      </w:r>
    </w:p>
    <w:p w14:paraId="39F3B59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p>
    <w:p w14:paraId="282F6E1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岗位工睡岗的；</w:t>
      </w:r>
    </w:p>
    <w:p w14:paraId="2FA5641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设备运行时，人员接触设备的机械转动和传动部位或带电体的；</w:t>
      </w:r>
    </w:p>
    <w:p w14:paraId="3FC47FA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无措施施工或不按措施施工造成严重后果的；</w:t>
      </w:r>
    </w:p>
    <w:p w14:paraId="2B32CD1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14:paraId="566CF5A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w:t>
      </w:r>
      <w:r>
        <w:rPr>
          <w:rFonts w:hint="eastAsia" w:ascii="仿宋" w:hAnsi="仿宋" w:eastAsia="仿宋" w:cs="仿宋"/>
          <w:color w:val="auto"/>
          <w:sz w:val="28"/>
          <w:szCs w:val="28"/>
        </w:rPr>
        <w:t>井下打架斗殴的；</w:t>
      </w:r>
    </w:p>
    <w:p w14:paraId="228B789F">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（十一）</w:t>
      </w:r>
      <w:r>
        <w:rPr>
          <w:rFonts w:hint="eastAsia" w:ascii="仿宋" w:hAnsi="仿宋" w:eastAsia="仿宋" w:cs="仿宋"/>
          <w:color w:val="auto"/>
          <w:sz w:val="28"/>
          <w:szCs w:val="28"/>
        </w:rPr>
        <w:t>对“三违”处罚无理取闹或辱骂安监员、管理人员的；</w:t>
      </w:r>
    </w:p>
    <w:p w14:paraId="0DD0D3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（十二）人为原因操作不当造成各种车辆掉道（</w:t>
      </w:r>
      <w:r>
        <w:rPr>
          <w:rFonts w:hint="eastAsia" w:ascii="仿宋" w:hAnsi="仿宋" w:eastAsia="仿宋" w:cs="仿宋"/>
          <w:color w:val="auto"/>
          <w:sz w:val="28"/>
          <w:szCs w:val="28"/>
          <w:lang w:val="en-US" w:eastAsia="zh-CN"/>
        </w:rPr>
        <w:t>按轻微伤对责任单位相关人员进行处理</w:t>
      </w:r>
      <w:r>
        <w:rPr>
          <w:rFonts w:hint="eastAsia" w:ascii="仿宋" w:hAnsi="仿宋" w:eastAsia="仿宋" w:cs="仿宋"/>
          <w:color w:val="auto"/>
          <w:sz w:val="28"/>
          <w:szCs w:val="28"/>
          <w:lang w:eastAsia="zh-CN"/>
        </w:rPr>
        <w:t>）；</w:t>
      </w:r>
    </w:p>
    <w:p w14:paraId="3A0ED5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（十三）安全设施不完好提出不及时处理；</w:t>
      </w:r>
    </w:p>
    <w:p w14:paraId="11CFA2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（十四）各种安全设施不齐全或不正常使用；</w:t>
      </w:r>
    </w:p>
    <w:p w14:paraId="18DBEE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（十五）停车不用掩车木掩车或打“十”字木垛；</w:t>
      </w:r>
    </w:p>
    <w:p w14:paraId="490D8F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（十六）</w:t>
      </w:r>
      <w:r>
        <w:rPr>
          <w:rFonts w:hint="eastAsia" w:ascii="仿宋" w:hAnsi="仿宋" w:eastAsia="仿宋" w:cs="仿宋"/>
          <w:color w:val="auto"/>
          <w:sz w:val="28"/>
          <w:szCs w:val="28"/>
        </w:rPr>
        <w:t>绞车回头轮锚固装置、材料不符合规定</w:t>
      </w:r>
      <w:r>
        <w:rPr>
          <w:rFonts w:hint="eastAsia" w:ascii="仿宋" w:hAnsi="仿宋" w:eastAsia="仿宋" w:cs="仿宋"/>
          <w:color w:val="auto"/>
          <w:sz w:val="28"/>
          <w:szCs w:val="28"/>
          <w:lang w:eastAsia="zh-CN"/>
        </w:rPr>
        <w:t>；</w:t>
      </w:r>
    </w:p>
    <w:p w14:paraId="414F19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（十七）</w:t>
      </w:r>
      <w:r>
        <w:rPr>
          <w:rFonts w:hint="eastAsia" w:ascii="仿宋" w:hAnsi="仿宋" w:eastAsia="仿宋" w:cs="仿宋"/>
          <w:color w:val="auto"/>
          <w:sz w:val="28"/>
          <w:szCs w:val="28"/>
        </w:rPr>
        <w:t>绞车无信号开车或不打点拉放车</w:t>
      </w:r>
      <w:r>
        <w:rPr>
          <w:rFonts w:hint="eastAsia" w:ascii="仿宋" w:hAnsi="仿宋" w:eastAsia="仿宋" w:cs="仿宋"/>
          <w:color w:val="auto"/>
          <w:sz w:val="28"/>
          <w:szCs w:val="28"/>
          <w:lang w:eastAsia="zh-CN"/>
        </w:rPr>
        <w:t>；</w:t>
      </w:r>
    </w:p>
    <w:p w14:paraId="6B2C4B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（十八）</w:t>
      </w:r>
      <w:r>
        <w:rPr>
          <w:rFonts w:hint="eastAsia" w:ascii="仿宋" w:hAnsi="仿宋" w:eastAsia="仿宋" w:cs="仿宋"/>
          <w:color w:val="auto"/>
          <w:sz w:val="28"/>
          <w:szCs w:val="28"/>
        </w:rPr>
        <w:t>上、下山放车前余绳过长</w:t>
      </w:r>
      <w:r>
        <w:rPr>
          <w:rFonts w:hint="eastAsia" w:ascii="仿宋" w:hAnsi="仿宋" w:eastAsia="仿宋" w:cs="仿宋"/>
          <w:color w:val="auto"/>
          <w:sz w:val="28"/>
          <w:szCs w:val="28"/>
          <w:lang w:eastAsia="zh-CN"/>
        </w:rPr>
        <w:t>；</w:t>
      </w:r>
    </w:p>
    <w:p w14:paraId="448973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（十九）</w:t>
      </w:r>
      <w:r>
        <w:rPr>
          <w:rFonts w:hint="eastAsia" w:ascii="仿宋" w:hAnsi="仿宋" w:eastAsia="仿宋" w:cs="仿宋"/>
          <w:color w:val="auto"/>
          <w:sz w:val="28"/>
          <w:szCs w:val="28"/>
        </w:rPr>
        <w:t>绞车在提升运输期间矿车销子没有插到位的</w:t>
      </w:r>
      <w:r>
        <w:rPr>
          <w:rFonts w:hint="eastAsia" w:ascii="仿宋" w:hAnsi="仿宋" w:eastAsia="仿宋" w:cs="仿宋"/>
          <w:color w:val="auto"/>
          <w:sz w:val="28"/>
          <w:szCs w:val="28"/>
          <w:lang w:eastAsia="zh-CN"/>
        </w:rPr>
        <w:t>；</w:t>
      </w:r>
    </w:p>
    <w:p w14:paraId="3505417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w:t>
      </w:r>
      <w:r>
        <w:rPr>
          <w:rFonts w:hint="eastAsia" w:ascii="仿宋" w:hAnsi="仿宋" w:eastAsia="仿宋" w:cs="仿宋"/>
          <w:color w:val="auto"/>
          <w:sz w:val="28"/>
          <w:szCs w:val="28"/>
        </w:rPr>
        <w:t>斜巷提升钢丝绳没有定期验绳或验绳不做记录</w:t>
      </w:r>
      <w:r>
        <w:rPr>
          <w:rFonts w:hint="eastAsia" w:ascii="仿宋" w:hAnsi="仿宋" w:eastAsia="仿宋" w:cs="仿宋"/>
          <w:color w:val="auto"/>
          <w:sz w:val="28"/>
          <w:szCs w:val="28"/>
          <w:lang w:eastAsia="zh-CN"/>
        </w:rPr>
        <w:t>；</w:t>
      </w:r>
    </w:p>
    <w:p w14:paraId="2C9D63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（二十一）</w:t>
      </w:r>
      <w:r>
        <w:rPr>
          <w:rFonts w:hint="eastAsia" w:ascii="仿宋" w:hAnsi="仿宋" w:eastAsia="仿宋" w:cs="仿宋"/>
          <w:color w:val="auto"/>
          <w:sz w:val="28"/>
          <w:szCs w:val="28"/>
        </w:rPr>
        <w:t>绞车钢丝绳及钩头锈蚀，无上油防护</w:t>
      </w:r>
      <w:r>
        <w:rPr>
          <w:rFonts w:hint="eastAsia" w:ascii="仿宋" w:hAnsi="仿宋" w:eastAsia="仿宋" w:cs="仿宋"/>
          <w:color w:val="auto"/>
          <w:sz w:val="28"/>
          <w:szCs w:val="28"/>
          <w:lang w:eastAsia="zh-CN"/>
        </w:rPr>
        <w:t>；</w:t>
      </w:r>
    </w:p>
    <w:p w14:paraId="473B2A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（二十二）</w:t>
      </w:r>
      <w:r>
        <w:rPr>
          <w:rFonts w:hint="eastAsia" w:ascii="仿宋" w:hAnsi="仿宋" w:eastAsia="仿宋" w:cs="仿宋"/>
          <w:color w:val="auto"/>
          <w:sz w:val="28"/>
          <w:szCs w:val="28"/>
        </w:rPr>
        <w:t>绞车钢丝绳钩头尾绳固定卡子松动、破碎</w:t>
      </w:r>
      <w:r>
        <w:rPr>
          <w:rFonts w:hint="eastAsia" w:ascii="仿宋" w:hAnsi="仿宋" w:eastAsia="仿宋" w:cs="仿宋"/>
          <w:color w:val="auto"/>
          <w:sz w:val="28"/>
          <w:szCs w:val="28"/>
          <w:lang w:eastAsia="zh-CN"/>
        </w:rPr>
        <w:t>；</w:t>
      </w:r>
    </w:p>
    <w:p w14:paraId="0E8B83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（二十三）</w:t>
      </w:r>
      <w:r>
        <w:rPr>
          <w:rFonts w:hint="eastAsia" w:ascii="仿宋" w:hAnsi="仿宋" w:eastAsia="仿宋" w:cs="仿宋"/>
          <w:color w:val="auto"/>
          <w:sz w:val="28"/>
          <w:szCs w:val="28"/>
        </w:rPr>
        <w:t>声光信号、通讯信号不完好</w:t>
      </w:r>
      <w:r>
        <w:rPr>
          <w:rFonts w:hint="eastAsia" w:ascii="仿宋" w:hAnsi="仿宋" w:eastAsia="仿宋" w:cs="仿宋"/>
          <w:color w:val="auto"/>
          <w:sz w:val="28"/>
          <w:szCs w:val="28"/>
          <w:lang w:eastAsia="zh-CN"/>
        </w:rPr>
        <w:t>；</w:t>
      </w:r>
    </w:p>
    <w:p w14:paraId="3C8C6FB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（二十四）</w:t>
      </w:r>
      <w:r>
        <w:rPr>
          <w:rFonts w:hint="eastAsia" w:ascii="仿宋" w:hAnsi="仿宋" w:eastAsia="仿宋" w:cs="仿宋"/>
          <w:color w:val="auto"/>
          <w:sz w:val="28"/>
          <w:szCs w:val="28"/>
        </w:rPr>
        <w:t>绞车盘绳不整齐</w:t>
      </w:r>
      <w:r>
        <w:rPr>
          <w:rFonts w:hint="eastAsia" w:ascii="仿宋" w:hAnsi="仿宋" w:eastAsia="仿宋" w:cs="仿宋"/>
          <w:color w:val="auto"/>
          <w:sz w:val="28"/>
          <w:szCs w:val="28"/>
          <w:lang w:eastAsia="zh-CN"/>
        </w:rPr>
        <w:t>。</w:t>
      </w:r>
    </w:p>
    <w:p w14:paraId="1B8C46D1">
      <w:pPr>
        <w:rPr>
          <w:rFonts w:hint="eastAsia" w:ascii="仿宋" w:hAnsi="仿宋" w:eastAsia="仿宋" w:cs="仿宋"/>
          <w:b/>
          <w:color w:val="auto"/>
          <w:sz w:val="36"/>
          <w:szCs w:val="36"/>
        </w:rPr>
      </w:pPr>
      <w:bookmarkStart w:id="449" w:name="_Toc28025"/>
      <w:bookmarkStart w:id="450" w:name="_Toc2410"/>
      <w:bookmarkStart w:id="451" w:name="_Toc23336"/>
      <w:bookmarkStart w:id="452" w:name="_Toc28132"/>
      <w:bookmarkStart w:id="453" w:name="_Toc10669"/>
      <w:r>
        <w:rPr>
          <w:rFonts w:hint="eastAsia" w:ascii="仿宋" w:hAnsi="仿宋" w:eastAsia="仿宋" w:cs="仿宋"/>
          <w:b/>
          <w:color w:val="auto"/>
          <w:sz w:val="36"/>
          <w:szCs w:val="36"/>
        </w:rPr>
        <w:br w:type="page"/>
      </w:r>
    </w:p>
    <w:p w14:paraId="6E7A3D17">
      <w:pPr>
        <w:spacing w:before="100" w:beforeAutospacing="1" w:after="100" w:afterAutospacing="1" w:line="380" w:lineRule="exact"/>
        <w:jc w:val="center"/>
        <w:outlineLvl w:val="1"/>
        <w:rPr>
          <w:rFonts w:hint="eastAsia" w:ascii="仿宋" w:hAnsi="仿宋" w:eastAsia="仿宋" w:cs="仿宋"/>
          <w:b/>
          <w:color w:val="auto"/>
          <w:sz w:val="36"/>
          <w:szCs w:val="36"/>
        </w:rPr>
      </w:pPr>
      <w:bookmarkStart w:id="454" w:name="_Toc7516"/>
      <w:r>
        <w:rPr>
          <w:rFonts w:hint="eastAsia" w:ascii="仿宋" w:hAnsi="仿宋" w:eastAsia="仿宋" w:cs="仿宋"/>
          <w:b/>
          <w:color w:val="auto"/>
          <w:sz w:val="36"/>
          <w:szCs w:val="36"/>
        </w:rPr>
        <w:t>斜巷信号把钩工</w:t>
      </w:r>
      <w:bookmarkEnd w:id="449"/>
      <w:bookmarkEnd w:id="450"/>
      <w:bookmarkEnd w:id="451"/>
      <w:bookmarkEnd w:id="452"/>
      <w:bookmarkEnd w:id="453"/>
      <w:bookmarkEnd w:id="454"/>
    </w:p>
    <w:tbl>
      <w:tblPr>
        <w:tblStyle w:val="12"/>
        <w:tblpPr w:leftFromText="180" w:rightFromText="180" w:vertAnchor="text" w:horzAnchor="margin" w:tblpY="98"/>
        <w:tblW w:w="8845" w:type="dxa"/>
        <w:tblInd w:w="0" w:type="dxa"/>
        <w:tblLayout w:type="fixed"/>
        <w:tblCellMar>
          <w:top w:w="0" w:type="dxa"/>
          <w:left w:w="108" w:type="dxa"/>
          <w:bottom w:w="0" w:type="dxa"/>
          <w:right w:w="108" w:type="dxa"/>
        </w:tblCellMar>
      </w:tblPr>
      <w:tblGrid>
        <w:gridCol w:w="880"/>
        <w:gridCol w:w="2774"/>
        <w:gridCol w:w="870"/>
        <w:gridCol w:w="4321"/>
      </w:tblGrid>
      <w:tr w14:paraId="3E5D115E">
        <w:tblPrEx>
          <w:tblCellMar>
            <w:top w:w="0" w:type="dxa"/>
            <w:left w:w="108" w:type="dxa"/>
            <w:bottom w:w="0" w:type="dxa"/>
            <w:right w:w="108" w:type="dxa"/>
          </w:tblCellMar>
        </w:tblPrEx>
        <w:trPr>
          <w:trHeight w:val="913" w:hRule="atLeast"/>
        </w:trPr>
        <w:tc>
          <w:tcPr>
            <w:tcW w:w="8845" w:type="dxa"/>
            <w:gridSpan w:val="4"/>
            <w:tcBorders>
              <w:top w:val="single" w:color="auto" w:sz="4" w:space="0"/>
              <w:left w:val="single" w:color="auto" w:sz="4" w:space="0"/>
              <w:bottom w:val="single" w:color="auto" w:sz="4" w:space="0"/>
              <w:right w:val="single" w:color="auto" w:sz="4" w:space="0"/>
            </w:tcBorders>
            <w:vAlign w:val="center"/>
          </w:tcPr>
          <w:p w14:paraId="5A5B517D">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斜巷</w:t>
            </w:r>
            <w:r>
              <w:rPr>
                <w:rFonts w:hint="eastAsia" w:ascii="仿宋" w:hAnsi="仿宋" w:eastAsia="仿宋" w:cs="仿宋"/>
                <w:color w:val="auto"/>
                <w:kern w:val="0"/>
                <w:sz w:val="21"/>
                <w:szCs w:val="21"/>
              </w:rPr>
              <w:t>信号把钩工岗位风险告知卡</w:t>
            </w:r>
          </w:p>
        </w:tc>
      </w:tr>
      <w:tr w14:paraId="1FDBCA45">
        <w:tblPrEx>
          <w:tblCellMar>
            <w:top w:w="0" w:type="dxa"/>
            <w:left w:w="108" w:type="dxa"/>
            <w:bottom w:w="0" w:type="dxa"/>
            <w:right w:w="108" w:type="dxa"/>
          </w:tblCellMar>
        </w:tblPrEx>
        <w:trPr>
          <w:trHeight w:val="1517" w:hRule="atLeast"/>
        </w:trPr>
        <w:tc>
          <w:tcPr>
            <w:tcW w:w="880" w:type="dxa"/>
            <w:tcBorders>
              <w:top w:val="nil"/>
              <w:left w:val="single" w:color="auto" w:sz="4" w:space="0"/>
              <w:bottom w:val="single" w:color="auto" w:sz="4" w:space="0"/>
              <w:right w:val="single" w:color="auto" w:sz="4" w:space="0"/>
            </w:tcBorders>
            <w:vAlign w:val="center"/>
          </w:tcPr>
          <w:p w14:paraId="4A01747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风险</w:t>
            </w:r>
          </w:p>
          <w:p w14:paraId="73B9C01B">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类型</w:t>
            </w:r>
          </w:p>
        </w:tc>
        <w:tc>
          <w:tcPr>
            <w:tcW w:w="2774" w:type="dxa"/>
            <w:tcBorders>
              <w:top w:val="nil"/>
              <w:left w:val="nil"/>
              <w:bottom w:val="single" w:color="auto" w:sz="4" w:space="0"/>
              <w:right w:val="single" w:color="auto" w:sz="4" w:space="0"/>
            </w:tcBorders>
            <w:vAlign w:val="center"/>
          </w:tcPr>
          <w:p w14:paraId="42AFE36A">
            <w:pPr>
              <w:keepNext w:val="0"/>
              <w:keepLines w:val="0"/>
              <w:pageBreakBefore w:val="0"/>
              <w:widowControl/>
              <w:kinsoku/>
              <w:wordWrap/>
              <w:overflowPunct/>
              <w:topLinePunct w:val="0"/>
              <w:autoSpaceDE/>
              <w:autoSpaceDN/>
              <w:bidi w:val="0"/>
              <w:adjustRightInd/>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冒顶（片帮）、运输、机械伤害、物体打击、职业病危害</w:t>
            </w:r>
          </w:p>
        </w:tc>
        <w:tc>
          <w:tcPr>
            <w:tcW w:w="870" w:type="dxa"/>
            <w:tcBorders>
              <w:top w:val="nil"/>
              <w:left w:val="nil"/>
              <w:bottom w:val="single" w:color="auto" w:sz="4" w:space="0"/>
              <w:right w:val="single" w:color="auto" w:sz="4" w:space="0"/>
            </w:tcBorders>
            <w:vAlign w:val="center"/>
          </w:tcPr>
          <w:p w14:paraId="2D3D7D29">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事故</w:t>
            </w:r>
          </w:p>
          <w:p w14:paraId="66008A4F">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报告</w:t>
            </w:r>
          </w:p>
        </w:tc>
        <w:tc>
          <w:tcPr>
            <w:tcW w:w="4321" w:type="dxa"/>
            <w:tcBorders>
              <w:top w:val="nil"/>
              <w:left w:val="nil"/>
              <w:bottom w:val="single" w:color="auto" w:sz="4" w:space="0"/>
              <w:right w:val="single" w:color="auto" w:sz="4" w:space="0"/>
            </w:tcBorders>
            <w:vAlign w:val="center"/>
          </w:tcPr>
          <w:p w14:paraId="3C0F9DA5">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56177E3D">
        <w:tblPrEx>
          <w:tblCellMar>
            <w:top w:w="0" w:type="dxa"/>
            <w:left w:w="108" w:type="dxa"/>
            <w:bottom w:w="0" w:type="dxa"/>
            <w:right w:w="108" w:type="dxa"/>
          </w:tblCellMar>
        </w:tblPrEx>
        <w:trPr>
          <w:trHeight w:val="756" w:hRule="atLeast"/>
        </w:trPr>
        <w:tc>
          <w:tcPr>
            <w:tcW w:w="3654" w:type="dxa"/>
            <w:gridSpan w:val="2"/>
            <w:tcBorders>
              <w:top w:val="single" w:color="auto" w:sz="4" w:space="0"/>
              <w:left w:val="single" w:color="auto" w:sz="4" w:space="0"/>
              <w:bottom w:val="single" w:color="auto" w:sz="4" w:space="0"/>
              <w:right w:val="single" w:color="auto" w:sz="4" w:space="0"/>
            </w:tcBorders>
            <w:vAlign w:val="center"/>
          </w:tcPr>
          <w:p w14:paraId="0D70FD36">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主要危害因素</w:t>
            </w:r>
          </w:p>
        </w:tc>
        <w:tc>
          <w:tcPr>
            <w:tcW w:w="5191" w:type="dxa"/>
            <w:gridSpan w:val="2"/>
            <w:tcBorders>
              <w:top w:val="single" w:color="auto" w:sz="4" w:space="0"/>
              <w:left w:val="nil"/>
              <w:bottom w:val="single" w:color="auto" w:sz="4" w:space="0"/>
              <w:right w:val="single" w:color="auto" w:sz="4" w:space="0"/>
            </w:tcBorders>
            <w:vAlign w:val="center"/>
          </w:tcPr>
          <w:p w14:paraId="2B6F8FA0">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管控措施</w:t>
            </w:r>
          </w:p>
        </w:tc>
      </w:tr>
      <w:tr w14:paraId="4FB47340">
        <w:tblPrEx>
          <w:tblCellMar>
            <w:top w:w="0" w:type="dxa"/>
            <w:left w:w="108" w:type="dxa"/>
            <w:bottom w:w="0" w:type="dxa"/>
            <w:right w:w="108" w:type="dxa"/>
          </w:tblCellMar>
        </w:tblPrEx>
        <w:trPr>
          <w:trHeight w:val="1374"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14:paraId="63701357">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1.未持证上岗；未佩戴个体防护；空顶作业。</w:t>
            </w:r>
          </w:p>
        </w:tc>
        <w:tc>
          <w:tcPr>
            <w:tcW w:w="5191" w:type="dxa"/>
            <w:gridSpan w:val="2"/>
            <w:tcBorders>
              <w:top w:val="single" w:color="auto" w:sz="4" w:space="0"/>
              <w:left w:val="nil"/>
              <w:bottom w:val="single" w:color="auto" w:sz="4" w:space="0"/>
              <w:right w:val="single" w:color="000000" w:sz="4" w:space="0"/>
            </w:tcBorders>
            <w:vAlign w:val="center"/>
          </w:tcPr>
          <w:p w14:paraId="251A0C5D">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1.经培训合格后，持证上岗；佩戴好安全帽，执行好“三紧两不要；检查好顶帮支护情况，确保顶帮支护合格后方可上岗作业。</w:t>
            </w:r>
          </w:p>
        </w:tc>
      </w:tr>
      <w:tr w14:paraId="61E4E7B0">
        <w:tblPrEx>
          <w:tblCellMar>
            <w:top w:w="0" w:type="dxa"/>
            <w:left w:w="108" w:type="dxa"/>
            <w:bottom w:w="0" w:type="dxa"/>
            <w:right w:w="108" w:type="dxa"/>
          </w:tblCellMar>
        </w:tblPrEx>
        <w:trPr>
          <w:trHeight w:val="1892"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14:paraId="6E3DDE56">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2.运输设施不完好；信号不灵敏可靠；钢丝绳打结、压伤、死弯等。</w:t>
            </w:r>
          </w:p>
        </w:tc>
        <w:tc>
          <w:tcPr>
            <w:tcW w:w="5191" w:type="dxa"/>
            <w:gridSpan w:val="2"/>
            <w:tcBorders>
              <w:top w:val="single" w:color="auto" w:sz="4" w:space="0"/>
              <w:left w:val="nil"/>
              <w:bottom w:val="single" w:color="auto" w:sz="4" w:space="0"/>
              <w:right w:val="single" w:color="000000" w:sz="4" w:space="0"/>
            </w:tcBorders>
            <w:vAlign w:val="center"/>
          </w:tcPr>
          <w:p w14:paraId="14691871">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必须详细检查防跑车和跑车防护装置、连接装置、保险绳、钩头、接头和使用工具以及信号系统完好、齐全、灵敏可靠，并查看钩头15m以内的钢丝绳是否有打结、压伤、死弯等不安全隐患，不符合提升要求时严禁提升。</w:t>
            </w:r>
          </w:p>
        </w:tc>
      </w:tr>
      <w:tr w14:paraId="4E266314">
        <w:tblPrEx>
          <w:tblCellMar>
            <w:top w:w="0" w:type="dxa"/>
            <w:left w:w="108" w:type="dxa"/>
            <w:bottom w:w="0" w:type="dxa"/>
            <w:right w:w="108" w:type="dxa"/>
          </w:tblCellMar>
        </w:tblPrEx>
        <w:trPr>
          <w:trHeight w:val="986"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14:paraId="390516F9">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3.轨道阴阳、轨距超规定。</w:t>
            </w:r>
          </w:p>
        </w:tc>
        <w:tc>
          <w:tcPr>
            <w:tcW w:w="5191" w:type="dxa"/>
            <w:gridSpan w:val="2"/>
            <w:tcBorders>
              <w:top w:val="single" w:color="auto" w:sz="4" w:space="0"/>
              <w:left w:val="nil"/>
              <w:bottom w:val="single" w:color="auto" w:sz="4" w:space="0"/>
              <w:right w:val="single" w:color="000000" w:sz="4" w:space="0"/>
            </w:tcBorders>
            <w:vAlign w:val="center"/>
          </w:tcPr>
          <w:p w14:paraId="3E773FD8">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3.检查轨道质量是否合格，不合格的必须进行整改。</w:t>
            </w:r>
          </w:p>
        </w:tc>
      </w:tr>
      <w:tr w14:paraId="54E2F60E">
        <w:tblPrEx>
          <w:tblCellMar>
            <w:top w:w="0" w:type="dxa"/>
            <w:left w:w="108" w:type="dxa"/>
            <w:bottom w:w="0" w:type="dxa"/>
            <w:right w:w="108" w:type="dxa"/>
          </w:tblCellMar>
        </w:tblPrEx>
        <w:trPr>
          <w:trHeight w:val="1023"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14:paraId="24E4FFD2">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4.未发信号或信号不明确开车，未按信号及时停车。</w:t>
            </w:r>
          </w:p>
        </w:tc>
        <w:tc>
          <w:tcPr>
            <w:tcW w:w="5191" w:type="dxa"/>
            <w:gridSpan w:val="2"/>
            <w:tcBorders>
              <w:top w:val="single" w:color="auto" w:sz="4" w:space="0"/>
              <w:left w:val="nil"/>
              <w:bottom w:val="single" w:color="auto" w:sz="4" w:space="0"/>
              <w:right w:val="single" w:color="000000" w:sz="4" w:space="0"/>
            </w:tcBorders>
            <w:vAlign w:val="center"/>
          </w:tcPr>
          <w:p w14:paraId="0BC08953">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4.上下车场把钩工发出信号，确认无误并回复后向绞车司机发出开车信号。接到停车信号时立即停车。</w:t>
            </w:r>
          </w:p>
        </w:tc>
      </w:tr>
      <w:tr w14:paraId="7886E0E1">
        <w:tblPrEx>
          <w:tblCellMar>
            <w:top w:w="0" w:type="dxa"/>
            <w:left w:w="108" w:type="dxa"/>
            <w:bottom w:w="0" w:type="dxa"/>
            <w:right w:w="108" w:type="dxa"/>
          </w:tblCellMar>
        </w:tblPrEx>
        <w:trPr>
          <w:trHeight w:val="966"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14:paraId="042394B2">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5.挡车设施未复位。</w:t>
            </w:r>
          </w:p>
        </w:tc>
        <w:tc>
          <w:tcPr>
            <w:tcW w:w="5191" w:type="dxa"/>
            <w:gridSpan w:val="2"/>
            <w:tcBorders>
              <w:top w:val="single" w:color="auto" w:sz="4" w:space="0"/>
              <w:left w:val="nil"/>
              <w:bottom w:val="single" w:color="auto" w:sz="4" w:space="0"/>
              <w:right w:val="single" w:color="000000" w:sz="4" w:space="0"/>
            </w:tcBorders>
            <w:vAlign w:val="center"/>
          </w:tcPr>
          <w:p w14:paraId="004BF8AD">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5.工作结束，再次检查确认所有安全挡车设施是否处于关闭状态。</w:t>
            </w:r>
          </w:p>
        </w:tc>
      </w:tr>
      <w:tr w14:paraId="4A90CF22">
        <w:tblPrEx>
          <w:tblCellMar>
            <w:top w:w="0" w:type="dxa"/>
            <w:left w:w="108" w:type="dxa"/>
            <w:bottom w:w="0" w:type="dxa"/>
            <w:right w:w="108" w:type="dxa"/>
          </w:tblCellMar>
        </w:tblPrEx>
        <w:trPr>
          <w:trHeight w:val="1103" w:hRule="atLeast"/>
        </w:trPr>
        <w:tc>
          <w:tcPr>
            <w:tcW w:w="880" w:type="dxa"/>
            <w:tcBorders>
              <w:top w:val="nil"/>
              <w:left w:val="single" w:color="auto" w:sz="4" w:space="0"/>
              <w:bottom w:val="single" w:color="auto" w:sz="4" w:space="0"/>
              <w:right w:val="single" w:color="auto" w:sz="4" w:space="0"/>
            </w:tcBorders>
            <w:vAlign w:val="center"/>
          </w:tcPr>
          <w:p w14:paraId="6C4BAF13">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69D3BEAB">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965" w:type="dxa"/>
            <w:gridSpan w:val="3"/>
            <w:tcBorders>
              <w:top w:val="single" w:color="auto" w:sz="4" w:space="0"/>
              <w:left w:val="nil"/>
              <w:bottom w:val="single" w:color="auto" w:sz="4" w:space="0"/>
              <w:right w:val="single" w:color="000000" w:sz="4" w:space="0"/>
            </w:tcBorders>
            <w:vAlign w:val="center"/>
          </w:tcPr>
          <w:p w14:paraId="5B751297">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62B6653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095100E2">
        <w:tblPrEx>
          <w:tblCellMar>
            <w:top w:w="0" w:type="dxa"/>
            <w:left w:w="108" w:type="dxa"/>
            <w:bottom w:w="0" w:type="dxa"/>
            <w:right w:w="108" w:type="dxa"/>
          </w:tblCellMar>
        </w:tblPrEx>
        <w:trPr>
          <w:trHeight w:val="2273" w:hRule="atLeast"/>
        </w:trPr>
        <w:tc>
          <w:tcPr>
            <w:tcW w:w="880" w:type="dxa"/>
            <w:tcBorders>
              <w:top w:val="nil"/>
              <w:left w:val="single" w:color="auto" w:sz="4" w:space="0"/>
              <w:bottom w:val="single" w:color="auto" w:sz="4" w:space="0"/>
              <w:right w:val="single" w:color="auto" w:sz="4" w:space="0"/>
            </w:tcBorders>
            <w:vAlign w:val="center"/>
          </w:tcPr>
          <w:p w14:paraId="4BEA890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3C3E2DAD">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0904324C">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965" w:type="dxa"/>
            <w:gridSpan w:val="3"/>
            <w:tcBorders>
              <w:top w:val="single" w:color="auto" w:sz="4" w:space="0"/>
              <w:left w:val="nil"/>
              <w:bottom w:val="single" w:color="auto" w:sz="4" w:space="0"/>
              <w:right w:val="single" w:color="000000" w:sz="4" w:space="0"/>
            </w:tcBorders>
            <w:vAlign w:val="center"/>
          </w:tcPr>
          <w:p w14:paraId="5C7D3BFB">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发生事故，严格按照“及时汇报、积极抢救、安全撤离、妥善避灾”原则进行自救、互救</w:t>
            </w:r>
            <w:r>
              <w:rPr>
                <w:rFonts w:hint="eastAsia" w:ascii="仿宋" w:hAnsi="仿宋" w:eastAsia="仿宋" w:cs="仿宋"/>
                <w:color w:val="auto"/>
                <w:kern w:val="0"/>
                <w:sz w:val="21"/>
                <w:szCs w:val="21"/>
                <w:lang w:eastAsia="zh-CN"/>
              </w:rPr>
              <w:t>。</w:t>
            </w:r>
          </w:p>
          <w:p w14:paraId="10B8202B">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rPr>
              <w:t>2.抢救伤员时遵循“三先三后”原则，即：对窒息或心跳呼吸停止不久的伤员必</w:t>
            </w:r>
            <w:r>
              <w:rPr>
                <w:rFonts w:hint="eastAsia" w:ascii="仿宋" w:hAnsi="仿宋" w:eastAsia="仿宋" w:cs="仿宋"/>
                <w:color w:val="auto"/>
                <w:kern w:val="0"/>
                <w:sz w:val="21"/>
                <w:szCs w:val="21"/>
                <w:lang w:val="en-US" w:eastAsia="zh-CN"/>
              </w:rPr>
              <w:t>须先复苏后搬运，对出血伤员必须先止血后搬运，对骨折伤员先固定后搬运。</w:t>
            </w:r>
          </w:p>
          <w:p w14:paraId="5085B645">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3.熟悉全矿井巷道布置情况，牢记避灾路线。</w:t>
            </w:r>
          </w:p>
        </w:tc>
      </w:tr>
    </w:tbl>
    <w:tbl>
      <w:tblPr>
        <w:tblStyle w:val="12"/>
        <w:tblpPr w:leftFromText="180" w:rightFromText="180" w:vertAnchor="text" w:horzAnchor="margin" w:tblpXSpec="center" w:tblpY="202"/>
        <w:tblW w:w="8729" w:type="dxa"/>
        <w:tblInd w:w="9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84"/>
        <w:gridCol w:w="4845"/>
      </w:tblGrid>
      <w:tr w14:paraId="1BDD6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8729" w:type="dxa"/>
            <w:gridSpan w:val="2"/>
            <w:vAlign w:val="center"/>
          </w:tcPr>
          <w:p w14:paraId="6A746EEC">
            <w:pPr>
              <w:keepNext w:val="0"/>
              <w:keepLines w:val="0"/>
              <w:pageBreakBefore w:val="0"/>
              <w:kinsoku/>
              <w:wordWrap/>
              <w:overflowPunct/>
              <w:topLinePunct w:val="0"/>
              <w:autoSpaceDE/>
              <w:autoSpaceDN/>
              <w:bidi w:val="0"/>
              <w:adjustRightInd/>
              <w:spacing w:before="100" w:beforeAutospacing="1" w:after="100" w:afterAutospacing="1" w:line="420" w:lineRule="exact"/>
              <w:jc w:val="center"/>
              <w:textAlignment w:val="auto"/>
              <w:outlineLvl w:val="9"/>
              <w:rPr>
                <w:rFonts w:hint="eastAsia" w:ascii="仿宋" w:hAnsi="仿宋" w:eastAsia="仿宋" w:cs="仿宋"/>
                <w:b/>
                <w:color w:val="auto"/>
                <w:sz w:val="21"/>
                <w:szCs w:val="21"/>
              </w:rPr>
            </w:pPr>
            <w:bookmarkStart w:id="455" w:name="_Toc20212"/>
            <w:bookmarkStart w:id="456" w:name="_Toc28563"/>
            <w:bookmarkStart w:id="457" w:name="_Toc11795"/>
            <w:bookmarkStart w:id="458" w:name="_Toc4539"/>
            <w:r>
              <w:rPr>
                <w:rFonts w:hint="eastAsia" w:ascii="仿宋" w:hAnsi="仿宋" w:eastAsia="仿宋" w:cs="仿宋"/>
                <w:b/>
                <w:color w:val="auto"/>
                <w:sz w:val="21"/>
                <w:szCs w:val="21"/>
                <w:lang w:eastAsia="zh-CN"/>
              </w:rPr>
              <w:t>斜巷</w:t>
            </w:r>
            <w:r>
              <w:rPr>
                <w:rFonts w:hint="eastAsia" w:ascii="仿宋" w:hAnsi="仿宋" w:eastAsia="仿宋" w:cs="仿宋"/>
                <w:b/>
                <w:color w:val="auto"/>
                <w:sz w:val="21"/>
                <w:szCs w:val="21"/>
              </w:rPr>
              <w:t>信号把钩工安全提示卡</w:t>
            </w:r>
            <w:bookmarkEnd w:id="455"/>
            <w:bookmarkEnd w:id="456"/>
            <w:bookmarkEnd w:id="457"/>
            <w:bookmarkEnd w:id="458"/>
          </w:p>
          <w:p w14:paraId="094535A3">
            <w:pPr>
              <w:keepNext w:val="0"/>
              <w:keepLines w:val="0"/>
              <w:pageBreakBefore w:val="0"/>
              <w:kinsoku/>
              <w:wordWrap/>
              <w:overflowPunct/>
              <w:topLinePunct w:val="0"/>
              <w:autoSpaceDE/>
              <w:autoSpaceDN/>
              <w:bidi w:val="0"/>
              <w:adjustRightInd/>
              <w:spacing w:line="420" w:lineRule="exact"/>
              <w:ind w:firstLine="836" w:firstLineChars="347"/>
              <w:textAlignment w:val="auto"/>
              <w:outlineLvl w:val="9"/>
              <w:rPr>
                <w:rFonts w:hint="eastAsia" w:ascii="仿宋" w:hAnsi="仿宋" w:eastAsia="仿宋" w:cs="仿宋"/>
                <w:color w:val="auto"/>
                <w:sz w:val="24"/>
              </w:rPr>
            </w:pPr>
            <w:r>
              <w:rPr>
                <w:rFonts w:hint="eastAsia" w:ascii="仿宋" w:hAnsi="仿宋" w:eastAsia="仿宋" w:cs="仿宋"/>
                <w:b/>
                <w:color w:val="auto"/>
                <w:sz w:val="24"/>
              </w:rPr>
              <w:t>操作后确认</w:t>
            </w:r>
          </w:p>
        </w:tc>
      </w:tr>
      <w:tr w14:paraId="214F7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3884" w:type="dxa"/>
            <w:vAlign w:val="center"/>
          </w:tcPr>
          <w:p w14:paraId="0AB3AA7A">
            <w:pPr>
              <w:keepNext w:val="0"/>
              <w:keepLines w:val="0"/>
              <w:pageBreakBefore w:val="0"/>
              <w:kinsoku/>
              <w:wordWrap/>
              <w:overflowPunct/>
              <w:topLinePunct w:val="0"/>
              <w:autoSpaceDE/>
              <w:autoSpaceDN/>
              <w:bidi w:val="0"/>
              <w:adjustRightInd/>
              <w:spacing w:line="420" w:lineRule="exact"/>
              <w:jc w:val="center"/>
              <w:textAlignment w:val="auto"/>
              <w:outlineLvl w:val="9"/>
              <w:rPr>
                <w:rFonts w:hint="eastAsia" w:ascii="仿宋" w:hAnsi="仿宋" w:eastAsia="仿宋" w:cs="仿宋"/>
                <w:b/>
                <w:bCs w:val="0"/>
                <w:color w:val="auto"/>
                <w:sz w:val="24"/>
              </w:rPr>
            </w:pPr>
            <w:r>
              <w:rPr>
                <w:rFonts w:hint="eastAsia" w:ascii="仿宋" w:hAnsi="仿宋" w:eastAsia="仿宋" w:cs="仿宋"/>
                <w:b/>
                <w:bCs w:val="0"/>
                <w:color w:val="auto"/>
                <w:sz w:val="24"/>
              </w:rPr>
              <w:t>操作前检查</w:t>
            </w:r>
          </w:p>
        </w:tc>
        <w:tc>
          <w:tcPr>
            <w:tcW w:w="4845" w:type="dxa"/>
            <w:vAlign w:val="center"/>
          </w:tcPr>
          <w:p w14:paraId="3FBC7134">
            <w:pPr>
              <w:keepNext w:val="0"/>
              <w:keepLines w:val="0"/>
              <w:pageBreakBefore w:val="0"/>
              <w:kinsoku/>
              <w:wordWrap/>
              <w:overflowPunct/>
              <w:topLinePunct w:val="0"/>
              <w:autoSpaceDE/>
              <w:autoSpaceDN/>
              <w:bidi w:val="0"/>
              <w:adjustRightInd/>
              <w:spacing w:line="420" w:lineRule="exact"/>
              <w:ind w:firstLine="836" w:firstLineChars="347"/>
              <w:textAlignment w:val="auto"/>
              <w:outlineLvl w:val="9"/>
              <w:rPr>
                <w:rFonts w:hint="eastAsia" w:ascii="仿宋" w:hAnsi="仿宋" w:eastAsia="仿宋" w:cs="仿宋"/>
                <w:b/>
                <w:bCs w:val="0"/>
                <w:color w:val="auto"/>
                <w:sz w:val="24"/>
              </w:rPr>
            </w:pPr>
            <w:r>
              <w:rPr>
                <w:rFonts w:hint="eastAsia" w:ascii="仿宋" w:hAnsi="仿宋" w:eastAsia="仿宋" w:cs="仿宋"/>
                <w:b/>
                <w:bCs w:val="0"/>
                <w:color w:val="auto"/>
                <w:sz w:val="24"/>
              </w:rPr>
              <w:t>操作后确认</w:t>
            </w:r>
          </w:p>
        </w:tc>
      </w:tr>
      <w:tr w14:paraId="574E2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exact"/>
        </w:trPr>
        <w:tc>
          <w:tcPr>
            <w:tcW w:w="3884" w:type="dxa"/>
            <w:vAlign w:val="center"/>
          </w:tcPr>
          <w:p w14:paraId="5A859806">
            <w:pPr>
              <w:keepNext w:val="0"/>
              <w:keepLines w:val="0"/>
              <w:pageBreakBefore w:val="0"/>
              <w:kinsoku/>
              <w:wordWrap/>
              <w:overflowPunct/>
              <w:topLinePunct w:val="0"/>
              <w:autoSpaceDE/>
              <w:autoSpaceDN/>
              <w:bidi w:val="0"/>
              <w:adjustRightInd/>
              <w:spacing w:line="420" w:lineRule="exact"/>
              <w:ind w:firstLine="210" w:firstLineChars="100"/>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4845" w:type="dxa"/>
            <w:vAlign w:val="center"/>
          </w:tcPr>
          <w:p w14:paraId="5839DA75">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★1.挡车</w:t>
            </w:r>
            <w:r>
              <w:rPr>
                <w:rFonts w:hint="eastAsia" w:ascii="仿宋" w:hAnsi="仿宋" w:eastAsia="仿宋" w:cs="仿宋"/>
                <w:color w:val="auto"/>
                <w:sz w:val="21"/>
                <w:szCs w:val="21"/>
                <w:lang w:eastAsia="zh-CN"/>
              </w:rPr>
              <w:t>门</w:t>
            </w:r>
            <w:r>
              <w:rPr>
                <w:rFonts w:hint="eastAsia" w:ascii="仿宋" w:hAnsi="仿宋" w:eastAsia="仿宋" w:cs="仿宋"/>
                <w:color w:val="auto"/>
                <w:sz w:val="21"/>
                <w:szCs w:val="21"/>
              </w:rPr>
              <w:t>、阻车器</w:t>
            </w:r>
          </w:p>
        </w:tc>
      </w:tr>
      <w:tr w14:paraId="51C24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3" w:hRule="exact"/>
        </w:trPr>
        <w:tc>
          <w:tcPr>
            <w:tcW w:w="3884" w:type="dxa"/>
            <w:vAlign w:val="center"/>
          </w:tcPr>
          <w:p w14:paraId="500F792F">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★2.阻车器</w:t>
            </w:r>
          </w:p>
        </w:tc>
        <w:tc>
          <w:tcPr>
            <w:tcW w:w="4845" w:type="dxa"/>
            <w:vAlign w:val="center"/>
          </w:tcPr>
          <w:p w14:paraId="37B082D2">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p>
        </w:tc>
      </w:tr>
      <w:tr w14:paraId="3A8D5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3884" w:type="dxa"/>
            <w:vAlign w:val="center"/>
          </w:tcPr>
          <w:p w14:paraId="00CD631A">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★3.钩头、保险绳、车辆、连接</w:t>
            </w:r>
            <w:r>
              <w:rPr>
                <w:rFonts w:hint="eastAsia" w:ascii="仿宋" w:hAnsi="仿宋" w:eastAsia="仿宋" w:cs="仿宋"/>
                <w:color w:val="auto"/>
                <w:sz w:val="21"/>
                <w:szCs w:val="21"/>
                <w:lang w:eastAsia="zh-CN"/>
              </w:rPr>
              <w:t>装置</w:t>
            </w:r>
          </w:p>
        </w:tc>
        <w:tc>
          <w:tcPr>
            <w:tcW w:w="4845" w:type="dxa"/>
            <w:vAlign w:val="center"/>
          </w:tcPr>
          <w:p w14:paraId="5F6DCC0F">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p>
        </w:tc>
      </w:tr>
      <w:tr w14:paraId="6700F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3884" w:type="dxa"/>
            <w:vAlign w:val="center"/>
          </w:tcPr>
          <w:p w14:paraId="16FA0D45">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★4.人员、障碍物</w:t>
            </w:r>
          </w:p>
        </w:tc>
        <w:tc>
          <w:tcPr>
            <w:tcW w:w="4845" w:type="dxa"/>
            <w:vAlign w:val="center"/>
          </w:tcPr>
          <w:p w14:paraId="378777C5">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p>
        </w:tc>
      </w:tr>
      <w:tr w14:paraId="31AD5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3884" w:type="dxa"/>
            <w:vAlign w:val="center"/>
          </w:tcPr>
          <w:p w14:paraId="47291B02">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★5、站位</w:t>
            </w:r>
          </w:p>
        </w:tc>
        <w:tc>
          <w:tcPr>
            <w:tcW w:w="4845" w:type="dxa"/>
            <w:vAlign w:val="center"/>
          </w:tcPr>
          <w:p w14:paraId="26E4EBF1">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p>
        </w:tc>
      </w:tr>
      <w:tr w14:paraId="2CF8A7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exact"/>
        </w:trPr>
        <w:tc>
          <w:tcPr>
            <w:tcW w:w="8729" w:type="dxa"/>
            <w:gridSpan w:val="2"/>
            <w:vAlign w:val="center"/>
          </w:tcPr>
          <w:p w14:paraId="0CD746D2">
            <w:pPr>
              <w:keepNext w:val="0"/>
              <w:keepLines w:val="0"/>
              <w:pageBreakBefore w:val="0"/>
              <w:kinsoku/>
              <w:wordWrap/>
              <w:overflowPunct/>
              <w:topLinePunct w:val="0"/>
              <w:autoSpaceDE/>
              <w:autoSpaceDN/>
              <w:bidi w:val="0"/>
              <w:adjustRightInd/>
              <w:spacing w:line="420" w:lineRule="exact"/>
              <w:ind w:firstLine="411" w:firstLineChars="196"/>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注：第一次按操作前检查内容逐项检查并确认，存在问题整改后再确认；中间再次操作只检查带“★”部分；提升任务全部结束后按停机后确认内容逐项检查并确认。</w:t>
            </w:r>
          </w:p>
        </w:tc>
      </w:tr>
    </w:tbl>
    <w:p w14:paraId="2486A2D9">
      <w:pPr>
        <w:keepNext w:val="0"/>
        <w:keepLines w:val="0"/>
        <w:pageBreakBefore w:val="0"/>
        <w:kinsoku/>
        <w:wordWrap/>
        <w:overflowPunct/>
        <w:topLinePunct w:val="0"/>
        <w:autoSpaceDE/>
        <w:autoSpaceDN/>
        <w:bidi w:val="0"/>
        <w:adjustRightInd/>
        <w:textAlignment w:val="auto"/>
        <w:outlineLvl w:val="9"/>
        <w:rPr>
          <w:color w:val="auto"/>
        </w:rPr>
      </w:pPr>
    </w:p>
    <w:tbl>
      <w:tblPr>
        <w:tblStyle w:val="12"/>
        <w:tblpPr w:leftFromText="180" w:rightFromText="180" w:vertAnchor="text" w:horzAnchor="margin" w:tblpXSpec="center" w:tblpY="1"/>
        <w:tblW w:w="8729" w:type="dxa"/>
        <w:tblInd w:w="9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9"/>
      </w:tblGrid>
      <w:tr w14:paraId="2D428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exact"/>
        </w:trPr>
        <w:tc>
          <w:tcPr>
            <w:tcW w:w="8729" w:type="dxa"/>
            <w:vAlign w:val="center"/>
          </w:tcPr>
          <w:p w14:paraId="5A9AA1CA">
            <w:pPr>
              <w:keepNext w:val="0"/>
              <w:keepLines w:val="0"/>
              <w:pageBreakBefore w:val="0"/>
              <w:tabs>
                <w:tab w:val="left" w:pos="3615"/>
                <w:tab w:val="center" w:pos="4314"/>
              </w:tabs>
              <w:kinsoku/>
              <w:wordWrap/>
              <w:overflowPunct/>
              <w:topLinePunct w:val="0"/>
              <w:autoSpaceDE/>
              <w:autoSpaceDN/>
              <w:bidi w:val="0"/>
              <w:adjustRightInd/>
              <w:spacing w:line="420" w:lineRule="exact"/>
              <w:jc w:val="center"/>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lang w:eastAsia="zh-CN"/>
              </w:rPr>
              <w:t>斜巷</w:t>
            </w:r>
            <w:r>
              <w:rPr>
                <w:rFonts w:hint="eastAsia" w:ascii="仿宋" w:hAnsi="仿宋" w:eastAsia="仿宋" w:cs="仿宋"/>
                <w:b w:val="0"/>
                <w:bCs/>
                <w:color w:val="auto"/>
                <w:sz w:val="21"/>
                <w:szCs w:val="21"/>
              </w:rPr>
              <w:t>信号单元检查表</w:t>
            </w:r>
          </w:p>
          <w:p w14:paraId="45304F86">
            <w:pPr>
              <w:keepNext w:val="0"/>
              <w:keepLines w:val="0"/>
              <w:pageBreakBefore w:val="0"/>
              <w:kinsoku/>
              <w:wordWrap/>
              <w:overflowPunct/>
              <w:topLinePunct w:val="0"/>
              <w:autoSpaceDE/>
              <w:autoSpaceDN/>
              <w:bidi w:val="0"/>
              <w:adjustRightInd/>
              <w:textAlignment w:val="auto"/>
              <w:outlineLvl w:val="9"/>
              <w:rPr>
                <w:rFonts w:hint="eastAsia"/>
                <w:color w:val="auto"/>
              </w:rPr>
            </w:pPr>
          </w:p>
        </w:tc>
      </w:tr>
      <w:tr w14:paraId="6EDE8D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exact"/>
        </w:trPr>
        <w:tc>
          <w:tcPr>
            <w:tcW w:w="8729" w:type="dxa"/>
            <w:vAlign w:val="center"/>
          </w:tcPr>
          <w:p w14:paraId="4B116D28">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1.电话、照明</w:t>
            </w:r>
          </w:p>
        </w:tc>
      </w:tr>
      <w:tr w14:paraId="53D77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exact"/>
        </w:trPr>
        <w:tc>
          <w:tcPr>
            <w:tcW w:w="8729" w:type="dxa"/>
            <w:vAlign w:val="center"/>
          </w:tcPr>
          <w:p w14:paraId="51FBD600">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2.操作台、信号、语音箱、警示牌板</w:t>
            </w:r>
          </w:p>
        </w:tc>
      </w:tr>
      <w:tr w14:paraId="47EF4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exact"/>
        </w:trPr>
        <w:tc>
          <w:tcPr>
            <w:tcW w:w="8729" w:type="dxa"/>
            <w:vAlign w:val="center"/>
          </w:tcPr>
          <w:p w14:paraId="7BE2BE45">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3.</w:t>
            </w:r>
            <w:r>
              <w:rPr>
                <w:rFonts w:hint="eastAsia" w:ascii="仿宋" w:hAnsi="仿宋" w:eastAsia="仿宋" w:cs="仿宋"/>
                <w:color w:val="auto"/>
                <w:sz w:val="21"/>
                <w:szCs w:val="21"/>
                <w:lang w:eastAsia="zh-CN"/>
              </w:rPr>
              <w:t>挡车门</w:t>
            </w:r>
          </w:p>
        </w:tc>
      </w:tr>
      <w:tr w14:paraId="26458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exact"/>
        </w:trPr>
        <w:tc>
          <w:tcPr>
            <w:tcW w:w="8729" w:type="dxa"/>
            <w:vAlign w:val="center"/>
          </w:tcPr>
          <w:p w14:paraId="6A7493E6">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4.钩头、保险绳、钢丝绳、连接装置</w:t>
            </w:r>
          </w:p>
        </w:tc>
      </w:tr>
      <w:tr w14:paraId="2F679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exact"/>
        </w:trPr>
        <w:tc>
          <w:tcPr>
            <w:tcW w:w="8729" w:type="dxa"/>
            <w:vAlign w:val="center"/>
          </w:tcPr>
          <w:p w14:paraId="73B266FB">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5.工作范围内轨道、道岔</w:t>
            </w:r>
          </w:p>
        </w:tc>
      </w:tr>
      <w:tr w14:paraId="18937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exact"/>
        </w:trPr>
        <w:tc>
          <w:tcPr>
            <w:tcW w:w="8729" w:type="dxa"/>
            <w:vAlign w:val="center"/>
          </w:tcPr>
          <w:p w14:paraId="049D3F42">
            <w:pPr>
              <w:keepNext w:val="0"/>
              <w:keepLines w:val="0"/>
              <w:pageBreakBefore w:val="0"/>
              <w:tabs>
                <w:tab w:val="center" w:pos="4153"/>
                <w:tab w:val="right" w:pos="8306"/>
              </w:tabs>
              <w:kinsoku/>
              <w:wordWrap/>
              <w:overflowPunct/>
              <w:topLinePunct w:val="0"/>
              <w:autoSpaceDE/>
              <w:autoSpaceDN/>
              <w:bidi w:val="0"/>
              <w:adjustRightInd/>
              <w:snapToGrid w:val="0"/>
              <w:spacing w:line="420" w:lineRule="exact"/>
              <w:ind w:firstLine="205" w:firstLineChars="98"/>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接班后逐项检查并确认，存在问题整改后再确认。</w:t>
            </w:r>
          </w:p>
        </w:tc>
      </w:tr>
    </w:tbl>
    <w:p w14:paraId="2A64AE4D">
      <w:pPr>
        <w:keepNext w:val="0"/>
        <w:keepLines w:val="0"/>
        <w:pageBreakBefore w:val="0"/>
        <w:kinsoku/>
        <w:wordWrap/>
        <w:overflowPunct/>
        <w:topLinePunct w:val="0"/>
        <w:autoSpaceDE/>
        <w:autoSpaceDN/>
        <w:bidi w:val="0"/>
        <w:adjustRightInd/>
        <w:spacing w:line="380" w:lineRule="exact"/>
        <w:textAlignment w:val="auto"/>
        <w:outlineLvl w:val="9"/>
        <w:rPr>
          <w:rFonts w:hint="eastAsia" w:ascii="仿宋" w:hAnsi="仿宋" w:eastAsia="仿宋" w:cs="仿宋"/>
          <w:color w:val="auto"/>
          <w:sz w:val="21"/>
          <w:szCs w:val="21"/>
        </w:rPr>
      </w:pPr>
    </w:p>
    <w:tbl>
      <w:tblPr>
        <w:tblStyle w:val="12"/>
        <w:tblW w:w="8711" w:type="dxa"/>
        <w:jc w:val="center"/>
        <w:tblLayout w:type="fixed"/>
        <w:tblCellMar>
          <w:top w:w="0" w:type="dxa"/>
          <w:left w:w="108" w:type="dxa"/>
          <w:bottom w:w="0" w:type="dxa"/>
          <w:right w:w="108" w:type="dxa"/>
        </w:tblCellMar>
      </w:tblPr>
      <w:tblGrid>
        <w:gridCol w:w="412"/>
        <w:gridCol w:w="1438"/>
        <w:gridCol w:w="6861"/>
      </w:tblGrid>
      <w:tr w14:paraId="59772E0C">
        <w:tblPrEx>
          <w:tblCellMar>
            <w:top w:w="0" w:type="dxa"/>
            <w:left w:w="108" w:type="dxa"/>
            <w:bottom w:w="0" w:type="dxa"/>
            <w:right w:w="108" w:type="dxa"/>
          </w:tblCellMar>
        </w:tblPrEx>
        <w:trPr>
          <w:trHeight w:val="240" w:hRule="atLeast"/>
          <w:jc w:val="center"/>
        </w:trPr>
        <w:tc>
          <w:tcPr>
            <w:tcW w:w="8711" w:type="dxa"/>
            <w:gridSpan w:val="3"/>
            <w:tcBorders>
              <w:top w:val="single" w:color="auto" w:sz="4" w:space="0"/>
              <w:left w:val="single" w:color="auto" w:sz="4" w:space="0"/>
              <w:bottom w:val="single" w:color="auto" w:sz="4" w:space="0"/>
              <w:right w:val="single" w:color="auto" w:sz="4" w:space="0"/>
            </w:tcBorders>
            <w:vAlign w:val="center"/>
          </w:tcPr>
          <w:p w14:paraId="45B5F6A4">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eastAsia="zh-CN"/>
              </w:rPr>
              <w:t>斜井信把工操作过程注意事项</w:t>
            </w:r>
          </w:p>
        </w:tc>
      </w:tr>
      <w:tr w14:paraId="68CCF2DA">
        <w:tblPrEx>
          <w:tblCellMar>
            <w:top w:w="0" w:type="dxa"/>
            <w:left w:w="108" w:type="dxa"/>
            <w:bottom w:w="0" w:type="dxa"/>
            <w:right w:w="108" w:type="dxa"/>
          </w:tblCellMar>
        </w:tblPrEx>
        <w:trPr>
          <w:trHeight w:val="472" w:hRule="atLeast"/>
          <w:jc w:val="center"/>
        </w:trPr>
        <w:tc>
          <w:tcPr>
            <w:tcW w:w="412" w:type="dxa"/>
            <w:tcBorders>
              <w:top w:val="nil"/>
              <w:left w:val="single" w:color="auto" w:sz="4" w:space="0"/>
              <w:bottom w:val="single" w:color="auto" w:sz="4" w:space="0"/>
              <w:right w:val="single" w:color="auto" w:sz="4" w:space="0"/>
            </w:tcBorders>
            <w:vAlign w:val="center"/>
          </w:tcPr>
          <w:p w14:paraId="7E23E75A">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438" w:type="dxa"/>
            <w:tcBorders>
              <w:top w:val="nil"/>
              <w:left w:val="nil"/>
              <w:bottom w:val="single" w:color="auto" w:sz="4" w:space="0"/>
              <w:right w:val="single" w:color="auto" w:sz="4" w:space="0"/>
            </w:tcBorders>
            <w:vAlign w:val="center"/>
          </w:tcPr>
          <w:p w14:paraId="36130C5C">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861" w:type="dxa"/>
            <w:tcBorders>
              <w:top w:val="nil"/>
              <w:left w:val="nil"/>
              <w:bottom w:val="single" w:color="auto" w:sz="4" w:space="0"/>
              <w:right w:val="single" w:color="auto" w:sz="4" w:space="0"/>
            </w:tcBorders>
            <w:vAlign w:val="center"/>
          </w:tcPr>
          <w:p w14:paraId="21ECC31F">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14:paraId="51420BF4">
        <w:tblPrEx>
          <w:tblCellMar>
            <w:top w:w="0" w:type="dxa"/>
            <w:left w:w="108" w:type="dxa"/>
            <w:bottom w:w="0" w:type="dxa"/>
            <w:right w:w="108" w:type="dxa"/>
          </w:tblCellMar>
        </w:tblPrEx>
        <w:trPr>
          <w:trHeight w:val="240" w:hRule="atLeast"/>
          <w:jc w:val="center"/>
        </w:trPr>
        <w:tc>
          <w:tcPr>
            <w:tcW w:w="412" w:type="dxa"/>
            <w:vMerge w:val="restart"/>
            <w:tcBorders>
              <w:top w:val="nil"/>
              <w:left w:val="single" w:color="auto" w:sz="4" w:space="0"/>
              <w:bottom w:val="single" w:color="000000" w:sz="4" w:space="0"/>
              <w:right w:val="single" w:color="auto" w:sz="4" w:space="0"/>
            </w:tcBorders>
            <w:vAlign w:val="center"/>
          </w:tcPr>
          <w:p w14:paraId="4A0346B0">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438" w:type="dxa"/>
            <w:tcBorders>
              <w:top w:val="nil"/>
              <w:left w:val="nil"/>
              <w:bottom w:val="single" w:color="auto" w:sz="4" w:space="0"/>
              <w:right w:val="single" w:color="auto" w:sz="4" w:space="0"/>
            </w:tcBorders>
            <w:vAlign w:val="center"/>
          </w:tcPr>
          <w:p w14:paraId="61503EBE">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看显示</w:t>
            </w:r>
          </w:p>
        </w:tc>
        <w:tc>
          <w:tcPr>
            <w:tcW w:w="6861" w:type="dxa"/>
            <w:tcBorders>
              <w:top w:val="nil"/>
              <w:left w:val="nil"/>
              <w:bottom w:val="single" w:color="auto" w:sz="4" w:space="0"/>
              <w:right w:val="single" w:color="auto" w:sz="4" w:space="0"/>
            </w:tcBorders>
            <w:vAlign w:val="center"/>
          </w:tcPr>
          <w:p w14:paraId="63881784">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随时观察信号、保护显示，发现异常立即发出停车信号。</w:t>
            </w:r>
          </w:p>
        </w:tc>
      </w:tr>
      <w:tr w14:paraId="7ADD77FC">
        <w:tblPrEx>
          <w:tblCellMar>
            <w:top w:w="0" w:type="dxa"/>
            <w:left w:w="108" w:type="dxa"/>
            <w:bottom w:w="0" w:type="dxa"/>
            <w:right w:w="108" w:type="dxa"/>
          </w:tblCellMar>
        </w:tblPrEx>
        <w:trPr>
          <w:trHeight w:val="240" w:hRule="atLeast"/>
          <w:jc w:val="center"/>
        </w:trPr>
        <w:tc>
          <w:tcPr>
            <w:tcW w:w="412" w:type="dxa"/>
            <w:vMerge w:val="continue"/>
            <w:tcBorders>
              <w:top w:val="nil"/>
              <w:left w:val="single" w:color="auto" w:sz="4" w:space="0"/>
              <w:bottom w:val="single" w:color="000000" w:sz="4" w:space="0"/>
              <w:right w:val="single" w:color="auto" w:sz="4" w:space="0"/>
            </w:tcBorders>
            <w:vAlign w:val="center"/>
          </w:tcPr>
          <w:p w14:paraId="78E5C2FA">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438" w:type="dxa"/>
            <w:tcBorders>
              <w:top w:val="nil"/>
              <w:left w:val="nil"/>
              <w:bottom w:val="single" w:color="auto" w:sz="4" w:space="0"/>
              <w:right w:val="single" w:color="auto" w:sz="4" w:space="0"/>
            </w:tcBorders>
            <w:vAlign w:val="center"/>
          </w:tcPr>
          <w:p w14:paraId="26AA748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看设施</w:t>
            </w:r>
          </w:p>
        </w:tc>
        <w:tc>
          <w:tcPr>
            <w:tcW w:w="6861" w:type="dxa"/>
            <w:tcBorders>
              <w:top w:val="nil"/>
              <w:left w:val="nil"/>
              <w:bottom w:val="single" w:color="auto" w:sz="4" w:space="0"/>
              <w:right w:val="single" w:color="auto" w:sz="4" w:space="0"/>
            </w:tcBorders>
            <w:vAlign w:val="center"/>
          </w:tcPr>
          <w:p w14:paraId="4E8EAAE6">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随时观察挡车</w:t>
            </w:r>
            <w:r>
              <w:rPr>
                <w:rFonts w:hint="eastAsia" w:ascii="仿宋" w:hAnsi="仿宋" w:eastAsia="仿宋" w:cs="仿宋"/>
                <w:color w:val="auto"/>
                <w:kern w:val="0"/>
                <w:sz w:val="21"/>
                <w:szCs w:val="21"/>
                <w:lang w:eastAsia="zh-CN"/>
              </w:rPr>
              <w:t>门</w:t>
            </w:r>
            <w:r>
              <w:rPr>
                <w:rFonts w:hint="eastAsia" w:ascii="仿宋" w:hAnsi="仿宋" w:eastAsia="仿宋" w:cs="仿宋"/>
                <w:color w:val="auto"/>
                <w:kern w:val="0"/>
                <w:sz w:val="21"/>
                <w:szCs w:val="21"/>
              </w:rPr>
              <w:t>、阻车器、钢丝绳，出现异常立即发出停车信号</w:t>
            </w:r>
            <w:r>
              <w:rPr>
                <w:rFonts w:hint="eastAsia" w:ascii="仿宋" w:hAnsi="仿宋" w:eastAsia="仿宋" w:cs="仿宋"/>
                <w:color w:val="auto"/>
                <w:kern w:val="0"/>
                <w:sz w:val="21"/>
                <w:szCs w:val="21"/>
                <w:lang w:eastAsia="zh-CN"/>
              </w:rPr>
              <w:t>。</w:t>
            </w:r>
          </w:p>
        </w:tc>
      </w:tr>
      <w:tr w14:paraId="3BEFE0F2">
        <w:tblPrEx>
          <w:tblCellMar>
            <w:top w:w="0" w:type="dxa"/>
            <w:left w:w="108" w:type="dxa"/>
            <w:bottom w:w="0" w:type="dxa"/>
            <w:right w:w="108" w:type="dxa"/>
          </w:tblCellMar>
        </w:tblPrEx>
        <w:trPr>
          <w:trHeight w:val="240" w:hRule="atLeast"/>
          <w:jc w:val="center"/>
        </w:trPr>
        <w:tc>
          <w:tcPr>
            <w:tcW w:w="412" w:type="dxa"/>
            <w:vMerge w:val="continue"/>
            <w:tcBorders>
              <w:top w:val="nil"/>
              <w:left w:val="single" w:color="auto" w:sz="4" w:space="0"/>
              <w:bottom w:val="single" w:color="000000" w:sz="4" w:space="0"/>
              <w:right w:val="single" w:color="auto" w:sz="4" w:space="0"/>
            </w:tcBorders>
            <w:vAlign w:val="center"/>
          </w:tcPr>
          <w:p w14:paraId="3D166DC1">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438" w:type="dxa"/>
            <w:tcBorders>
              <w:top w:val="nil"/>
              <w:left w:val="nil"/>
              <w:bottom w:val="single" w:color="auto" w:sz="4" w:space="0"/>
              <w:right w:val="single" w:color="auto" w:sz="4" w:space="0"/>
            </w:tcBorders>
            <w:vAlign w:val="center"/>
          </w:tcPr>
          <w:p w14:paraId="5AEC7796">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看车辆</w:t>
            </w:r>
          </w:p>
        </w:tc>
        <w:tc>
          <w:tcPr>
            <w:tcW w:w="6861" w:type="dxa"/>
            <w:tcBorders>
              <w:top w:val="nil"/>
              <w:left w:val="nil"/>
              <w:bottom w:val="single" w:color="auto" w:sz="4" w:space="0"/>
              <w:right w:val="single" w:color="auto" w:sz="4" w:space="0"/>
            </w:tcBorders>
            <w:vAlign w:val="center"/>
          </w:tcPr>
          <w:p w14:paraId="3431DDB9">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注意观察车辆运行状况，出现异常立即发出停车信号。</w:t>
            </w:r>
          </w:p>
        </w:tc>
      </w:tr>
      <w:tr w14:paraId="32C59FE3">
        <w:tblPrEx>
          <w:tblCellMar>
            <w:top w:w="0" w:type="dxa"/>
            <w:left w:w="108" w:type="dxa"/>
            <w:bottom w:w="0" w:type="dxa"/>
            <w:right w:w="108" w:type="dxa"/>
          </w:tblCellMar>
        </w:tblPrEx>
        <w:trPr>
          <w:trHeight w:val="240" w:hRule="atLeast"/>
          <w:jc w:val="center"/>
        </w:trPr>
        <w:tc>
          <w:tcPr>
            <w:tcW w:w="412" w:type="dxa"/>
            <w:vMerge w:val="continue"/>
            <w:tcBorders>
              <w:top w:val="nil"/>
              <w:left w:val="single" w:color="auto" w:sz="4" w:space="0"/>
              <w:bottom w:val="single" w:color="000000" w:sz="4" w:space="0"/>
              <w:right w:val="single" w:color="auto" w:sz="4" w:space="0"/>
            </w:tcBorders>
            <w:vAlign w:val="center"/>
          </w:tcPr>
          <w:p w14:paraId="28DEC6C2">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438" w:type="dxa"/>
            <w:tcBorders>
              <w:top w:val="nil"/>
              <w:left w:val="nil"/>
              <w:bottom w:val="single" w:color="auto" w:sz="4" w:space="0"/>
              <w:right w:val="single" w:color="auto" w:sz="4" w:space="0"/>
            </w:tcBorders>
            <w:vAlign w:val="center"/>
          </w:tcPr>
          <w:p w14:paraId="4F52719B">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看人员</w:t>
            </w:r>
          </w:p>
        </w:tc>
        <w:tc>
          <w:tcPr>
            <w:tcW w:w="6861" w:type="dxa"/>
            <w:tcBorders>
              <w:top w:val="nil"/>
              <w:left w:val="nil"/>
              <w:bottom w:val="single" w:color="auto" w:sz="4" w:space="0"/>
              <w:right w:val="single" w:color="auto" w:sz="4" w:space="0"/>
            </w:tcBorders>
            <w:vAlign w:val="center"/>
          </w:tcPr>
          <w:p w14:paraId="3C22F44B">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严格执行“行人不行车，行车不行人”规定，严禁其他人员进入提升区域。</w:t>
            </w:r>
          </w:p>
        </w:tc>
      </w:tr>
      <w:tr w14:paraId="1C7B6133">
        <w:tblPrEx>
          <w:tblCellMar>
            <w:top w:w="0" w:type="dxa"/>
            <w:left w:w="108" w:type="dxa"/>
            <w:bottom w:w="0" w:type="dxa"/>
            <w:right w:w="108" w:type="dxa"/>
          </w:tblCellMar>
        </w:tblPrEx>
        <w:trPr>
          <w:trHeight w:val="240" w:hRule="atLeast"/>
          <w:jc w:val="center"/>
        </w:trPr>
        <w:tc>
          <w:tcPr>
            <w:tcW w:w="412" w:type="dxa"/>
            <w:vMerge w:val="restart"/>
            <w:tcBorders>
              <w:top w:val="nil"/>
              <w:left w:val="single" w:color="auto" w:sz="4" w:space="0"/>
              <w:bottom w:val="single" w:color="000000" w:sz="4" w:space="0"/>
              <w:right w:val="single" w:color="auto" w:sz="4" w:space="0"/>
            </w:tcBorders>
            <w:vAlign w:val="center"/>
          </w:tcPr>
          <w:p w14:paraId="688F9F74">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438" w:type="dxa"/>
            <w:tcBorders>
              <w:top w:val="nil"/>
              <w:left w:val="nil"/>
              <w:bottom w:val="single" w:color="auto" w:sz="4" w:space="0"/>
              <w:right w:val="single" w:color="auto" w:sz="4" w:space="0"/>
            </w:tcBorders>
            <w:vAlign w:val="center"/>
          </w:tcPr>
          <w:p w14:paraId="2ABF126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861" w:type="dxa"/>
            <w:tcBorders>
              <w:top w:val="nil"/>
              <w:left w:val="nil"/>
              <w:bottom w:val="single" w:color="auto" w:sz="4" w:space="0"/>
              <w:right w:val="single" w:color="auto" w:sz="4" w:space="0"/>
            </w:tcBorders>
            <w:vAlign w:val="center"/>
          </w:tcPr>
          <w:p w14:paraId="73E0A39F">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出现异常不明信号立即发出停车信号。</w:t>
            </w:r>
          </w:p>
        </w:tc>
      </w:tr>
      <w:tr w14:paraId="436FD972">
        <w:tblPrEx>
          <w:tblCellMar>
            <w:top w:w="0" w:type="dxa"/>
            <w:left w:w="108" w:type="dxa"/>
            <w:bottom w:w="0" w:type="dxa"/>
            <w:right w:w="108" w:type="dxa"/>
          </w:tblCellMar>
        </w:tblPrEx>
        <w:trPr>
          <w:trHeight w:val="240" w:hRule="atLeast"/>
          <w:jc w:val="center"/>
        </w:trPr>
        <w:tc>
          <w:tcPr>
            <w:tcW w:w="412" w:type="dxa"/>
            <w:vMerge w:val="continue"/>
            <w:tcBorders>
              <w:top w:val="nil"/>
              <w:left w:val="single" w:color="auto" w:sz="4" w:space="0"/>
              <w:bottom w:val="single" w:color="000000" w:sz="4" w:space="0"/>
              <w:right w:val="single" w:color="auto" w:sz="4" w:space="0"/>
            </w:tcBorders>
            <w:vAlign w:val="center"/>
          </w:tcPr>
          <w:p w14:paraId="545DA27B">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438" w:type="dxa"/>
            <w:tcBorders>
              <w:top w:val="nil"/>
              <w:left w:val="nil"/>
              <w:bottom w:val="single" w:color="auto" w:sz="4" w:space="0"/>
              <w:right w:val="single" w:color="auto" w:sz="4" w:space="0"/>
            </w:tcBorders>
            <w:vAlign w:val="center"/>
          </w:tcPr>
          <w:p w14:paraId="39A9CA25">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861" w:type="dxa"/>
            <w:tcBorders>
              <w:top w:val="nil"/>
              <w:left w:val="nil"/>
              <w:bottom w:val="single" w:color="auto" w:sz="4" w:space="0"/>
              <w:right w:val="single" w:color="auto" w:sz="4" w:space="0"/>
            </w:tcBorders>
            <w:vAlign w:val="center"/>
          </w:tcPr>
          <w:p w14:paraId="12069098">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设备设施及绳道内出现异响立即发出停车信号。</w:t>
            </w:r>
          </w:p>
        </w:tc>
      </w:tr>
      <w:tr w14:paraId="48FE0482">
        <w:tblPrEx>
          <w:tblCellMar>
            <w:top w:w="0" w:type="dxa"/>
            <w:left w:w="108" w:type="dxa"/>
            <w:bottom w:w="0" w:type="dxa"/>
            <w:right w:w="108" w:type="dxa"/>
          </w:tblCellMar>
        </w:tblPrEx>
        <w:trPr>
          <w:trHeight w:val="472" w:hRule="atLeast"/>
          <w:jc w:val="center"/>
        </w:trPr>
        <w:tc>
          <w:tcPr>
            <w:tcW w:w="412" w:type="dxa"/>
            <w:tcBorders>
              <w:top w:val="nil"/>
              <w:left w:val="single" w:color="auto" w:sz="4" w:space="0"/>
              <w:bottom w:val="single" w:color="auto" w:sz="4" w:space="0"/>
              <w:right w:val="single" w:color="auto" w:sz="4" w:space="0"/>
            </w:tcBorders>
            <w:vAlign w:val="center"/>
          </w:tcPr>
          <w:p w14:paraId="7236D17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438" w:type="dxa"/>
            <w:tcBorders>
              <w:top w:val="nil"/>
              <w:left w:val="nil"/>
              <w:bottom w:val="single" w:color="auto" w:sz="4" w:space="0"/>
              <w:right w:val="single" w:color="auto" w:sz="4" w:space="0"/>
            </w:tcBorders>
            <w:vAlign w:val="center"/>
          </w:tcPr>
          <w:p w14:paraId="759504BD">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摘挂钩</w:t>
            </w:r>
          </w:p>
        </w:tc>
        <w:tc>
          <w:tcPr>
            <w:tcW w:w="6861" w:type="dxa"/>
            <w:tcBorders>
              <w:top w:val="nil"/>
              <w:left w:val="nil"/>
              <w:bottom w:val="single" w:color="auto" w:sz="4" w:space="0"/>
              <w:right w:val="single" w:color="auto" w:sz="4" w:space="0"/>
            </w:tcBorders>
            <w:vAlign w:val="center"/>
          </w:tcPr>
          <w:p w14:paraId="178E6265">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严禁车未停稳就摘挂钩，严禁蹬车摘挂钩。严禁用其</w:t>
            </w:r>
            <w:r>
              <w:rPr>
                <w:rFonts w:hint="eastAsia" w:ascii="仿宋" w:hAnsi="仿宋" w:eastAsia="仿宋" w:cs="仿宋"/>
                <w:color w:val="auto"/>
                <w:kern w:val="0"/>
                <w:sz w:val="21"/>
                <w:szCs w:val="21"/>
                <w:lang w:eastAsia="zh-CN"/>
              </w:rPr>
              <w:t>它</w:t>
            </w:r>
            <w:r>
              <w:rPr>
                <w:rFonts w:hint="eastAsia" w:ascii="仿宋" w:hAnsi="仿宋" w:eastAsia="仿宋" w:cs="仿宋"/>
                <w:color w:val="auto"/>
                <w:kern w:val="0"/>
                <w:sz w:val="21"/>
                <w:szCs w:val="21"/>
              </w:rPr>
              <w:t>物品代替连接装置或用空钩头拖拉物料。</w:t>
            </w:r>
          </w:p>
        </w:tc>
      </w:tr>
      <w:tr w14:paraId="4E77D715">
        <w:tblPrEx>
          <w:tblCellMar>
            <w:top w:w="0" w:type="dxa"/>
            <w:left w:w="108" w:type="dxa"/>
            <w:bottom w:w="0" w:type="dxa"/>
            <w:right w:w="108" w:type="dxa"/>
          </w:tblCellMar>
        </w:tblPrEx>
        <w:trPr>
          <w:trHeight w:val="240" w:hRule="atLeast"/>
          <w:jc w:val="center"/>
        </w:trPr>
        <w:tc>
          <w:tcPr>
            <w:tcW w:w="412" w:type="dxa"/>
            <w:tcBorders>
              <w:top w:val="nil"/>
              <w:left w:val="single" w:color="auto" w:sz="4" w:space="0"/>
              <w:bottom w:val="single" w:color="auto" w:sz="4" w:space="0"/>
              <w:right w:val="single" w:color="auto" w:sz="4" w:space="0"/>
            </w:tcBorders>
            <w:vAlign w:val="center"/>
          </w:tcPr>
          <w:p w14:paraId="527E6EA9">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438" w:type="dxa"/>
            <w:tcBorders>
              <w:top w:val="nil"/>
              <w:left w:val="nil"/>
              <w:bottom w:val="single" w:color="auto" w:sz="4" w:space="0"/>
              <w:right w:val="single" w:color="auto" w:sz="4" w:space="0"/>
            </w:tcBorders>
            <w:vAlign w:val="center"/>
          </w:tcPr>
          <w:p w14:paraId="2A67A4A8">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特殊运送</w:t>
            </w:r>
          </w:p>
        </w:tc>
        <w:tc>
          <w:tcPr>
            <w:tcW w:w="6861" w:type="dxa"/>
            <w:tcBorders>
              <w:top w:val="nil"/>
              <w:left w:val="nil"/>
              <w:bottom w:val="single" w:color="auto" w:sz="4" w:space="0"/>
              <w:right w:val="single" w:color="auto" w:sz="4" w:space="0"/>
            </w:tcBorders>
            <w:vAlign w:val="center"/>
          </w:tcPr>
          <w:p w14:paraId="35E8D3A6">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tr w14:paraId="5B10518A">
        <w:tblPrEx>
          <w:tblCellMar>
            <w:top w:w="0" w:type="dxa"/>
            <w:left w:w="108" w:type="dxa"/>
            <w:bottom w:w="0" w:type="dxa"/>
            <w:right w:w="108" w:type="dxa"/>
          </w:tblCellMar>
        </w:tblPrEx>
        <w:trPr>
          <w:trHeight w:val="240" w:hRule="atLeast"/>
          <w:jc w:val="center"/>
        </w:trPr>
        <w:tc>
          <w:tcPr>
            <w:tcW w:w="412" w:type="dxa"/>
            <w:tcBorders>
              <w:top w:val="nil"/>
              <w:left w:val="single" w:color="auto" w:sz="4" w:space="0"/>
              <w:bottom w:val="single" w:color="auto" w:sz="4" w:space="0"/>
              <w:right w:val="single" w:color="auto" w:sz="4" w:space="0"/>
            </w:tcBorders>
            <w:vAlign w:val="center"/>
          </w:tcPr>
          <w:p w14:paraId="520D648D">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438" w:type="dxa"/>
            <w:tcBorders>
              <w:top w:val="nil"/>
              <w:left w:val="nil"/>
              <w:bottom w:val="single" w:color="auto" w:sz="4" w:space="0"/>
              <w:right w:val="single" w:color="auto" w:sz="4" w:space="0"/>
            </w:tcBorders>
            <w:vAlign w:val="center"/>
          </w:tcPr>
          <w:p w14:paraId="0ED87F6A">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861" w:type="dxa"/>
            <w:tcBorders>
              <w:top w:val="nil"/>
              <w:left w:val="nil"/>
              <w:bottom w:val="single" w:color="auto" w:sz="4" w:space="0"/>
              <w:right w:val="single" w:color="auto" w:sz="4" w:space="0"/>
            </w:tcBorders>
            <w:vAlign w:val="center"/>
          </w:tcPr>
          <w:p w14:paraId="6D5D6198">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严禁信把工个人复轨，禁止用绞车硬拉复位。</w:t>
            </w:r>
          </w:p>
        </w:tc>
      </w:tr>
      <w:tr w14:paraId="1AD12161">
        <w:tblPrEx>
          <w:tblCellMar>
            <w:top w:w="0" w:type="dxa"/>
            <w:left w:w="108" w:type="dxa"/>
            <w:bottom w:w="0" w:type="dxa"/>
            <w:right w:w="108" w:type="dxa"/>
          </w:tblCellMar>
        </w:tblPrEx>
        <w:trPr>
          <w:trHeight w:val="257" w:hRule="atLeast"/>
          <w:jc w:val="center"/>
        </w:trPr>
        <w:tc>
          <w:tcPr>
            <w:tcW w:w="412" w:type="dxa"/>
            <w:tcBorders>
              <w:top w:val="nil"/>
              <w:left w:val="single" w:color="auto" w:sz="4" w:space="0"/>
              <w:bottom w:val="single" w:color="auto" w:sz="4" w:space="0"/>
              <w:right w:val="single" w:color="auto" w:sz="4" w:space="0"/>
            </w:tcBorders>
            <w:vAlign w:val="center"/>
          </w:tcPr>
          <w:p w14:paraId="61FEC11A">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438" w:type="dxa"/>
            <w:tcBorders>
              <w:top w:val="nil"/>
              <w:left w:val="nil"/>
              <w:bottom w:val="single" w:color="auto" w:sz="4" w:space="0"/>
              <w:right w:val="single" w:color="auto" w:sz="4" w:space="0"/>
            </w:tcBorders>
            <w:vAlign w:val="center"/>
          </w:tcPr>
          <w:p w14:paraId="6B28E1FB">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6861" w:type="dxa"/>
            <w:tcBorders>
              <w:top w:val="nil"/>
              <w:left w:val="nil"/>
              <w:bottom w:val="single" w:color="auto" w:sz="4" w:space="0"/>
              <w:right w:val="single" w:color="auto" w:sz="4" w:space="0"/>
            </w:tcBorders>
            <w:vAlign w:val="center"/>
          </w:tcPr>
          <w:p w14:paraId="3A638331">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严禁擅离岗位；摘挂钩必须站立在轨道外侧操作，严禁站在道心内，严禁从两车辆之间或车辆运行下方穿越串车；绞车运行期间必须进入信号或躲避硐室。</w:t>
            </w:r>
          </w:p>
        </w:tc>
      </w:tr>
    </w:tbl>
    <w:p w14:paraId="73BEEFF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14:paraId="61BE7F1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rPr>
        <w:t>（一）入井、乘罐注意事项</w:t>
      </w:r>
      <w:r>
        <w:rPr>
          <w:rFonts w:hint="eastAsia" w:ascii="仿宋" w:hAnsi="仿宋" w:eastAsia="仿宋" w:cs="仿宋"/>
          <w:b/>
          <w:bCs/>
          <w:color w:val="auto"/>
          <w:sz w:val="28"/>
          <w:szCs w:val="28"/>
          <w:lang w:eastAsia="zh-CN"/>
        </w:rPr>
        <w:t>：</w:t>
      </w:r>
    </w:p>
    <w:p w14:paraId="5AEFE0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14:paraId="105A1E9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14:paraId="757C1A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14:paraId="0C8360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14:paraId="4EFCFCB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rPr>
        <w:t>（二）井下行走、乘坐架空乘人装置注意事项</w:t>
      </w:r>
      <w:r>
        <w:rPr>
          <w:rFonts w:hint="eastAsia" w:ascii="仿宋" w:hAnsi="仿宋" w:eastAsia="仿宋" w:cs="仿宋"/>
          <w:b/>
          <w:bCs/>
          <w:color w:val="auto"/>
          <w:sz w:val="28"/>
          <w:szCs w:val="28"/>
          <w:lang w:eastAsia="zh-CN"/>
        </w:rPr>
        <w:t>：</w:t>
      </w:r>
    </w:p>
    <w:p w14:paraId="2C7C4F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14:paraId="409F7A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14:paraId="469F36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14:paraId="0CD046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14:paraId="73D992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14:paraId="16A927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14:paraId="29BCC1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14:paraId="44183D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14:paraId="2B10B62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1A7CE0B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0C33957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5AFCBF4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65FC8CF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11AA3A0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4DB94A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4C74A1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48F557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011DE2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3992D4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26D72C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76E9C0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38356D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5F9FF5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65E5D4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2EAC15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688B0B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610A6A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21EA91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0C90A0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54C042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5BACD92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46023E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4807EBE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3BE737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E922C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5B4964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4B712A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0C0F55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C0BBF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2D99420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1FA544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50B6B0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27DB73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4B11B2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67B072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42C3D1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76AB1B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379168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63628A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296180A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60C4B9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3F2F35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4961109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32D656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4C049BD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32E59F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03C1E00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14:paraId="10F1F1F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14:paraId="058601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1.风险描述：矿井存在水灾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风险。</w:t>
      </w:r>
    </w:p>
    <w:p w14:paraId="70C383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事故时，根据调度室应急语音广播通知要求，按避灾路线升井</w:t>
      </w:r>
      <w:r>
        <w:rPr>
          <w:rFonts w:hint="eastAsia" w:ascii="仿宋" w:hAnsi="仿宋" w:eastAsia="仿宋" w:cs="仿宋"/>
          <w:color w:val="auto"/>
          <w:sz w:val="28"/>
          <w:szCs w:val="28"/>
          <w:lang w:eastAsia="zh-CN"/>
        </w:rPr>
        <w:t>。</w:t>
      </w:r>
    </w:p>
    <w:p w14:paraId="14EF68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避火灾路线：煤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6ABB73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避水灾路线：煤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六采轨道石门→-450运输大巷（途径自救器补给站）→集中轨道上山→-313水平巷道→主井通道→主井下井口→地面。</w:t>
      </w:r>
    </w:p>
    <w:p w14:paraId="0085FB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2.风险描述：矿井存在停电、停风风险。</w:t>
      </w:r>
    </w:p>
    <w:p w14:paraId="1EE114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机电工区打开主井防爆门利用自然风压通风；井下工作人员撤至进风巷内，根据调度室应急语音广播通知要求，按避灾路线撤至副井底，根据实际情况等待救援或沿主副井梯子间升井。</w:t>
      </w:r>
    </w:p>
    <w:p w14:paraId="38ACE3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color w:val="auto"/>
        </w:rPr>
      </w:pPr>
      <w:r>
        <w:rPr>
          <w:rFonts w:hint="eastAsia" w:ascii="仿宋" w:hAnsi="仿宋" w:eastAsia="仿宋" w:cs="仿宋"/>
          <w:b w:val="0"/>
          <w:bCs w:val="0"/>
          <w:color w:val="auto"/>
          <w:sz w:val="28"/>
          <w:szCs w:val="28"/>
          <w:lang w:val="en-US" w:eastAsia="zh-CN"/>
        </w:rPr>
        <w:t>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49E0F5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3.风险描述：矿井存在瓦斯、煤尘爆炸风险。</w:t>
      </w:r>
    </w:p>
    <w:p w14:paraId="2F7134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eastAsia="zh-CN"/>
        </w:rPr>
        <w:t>。</w:t>
      </w:r>
    </w:p>
    <w:p w14:paraId="52D69F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color w:val="auto"/>
          <w:lang w:eastAsia="zh-CN"/>
        </w:rPr>
      </w:pPr>
      <w:r>
        <w:rPr>
          <w:rFonts w:hint="eastAsia" w:ascii="仿宋" w:hAnsi="仿宋" w:eastAsia="仿宋" w:cs="仿宋"/>
          <w:color w:val="auto"/>
          <w:sz w:val="28"/>
          <w:szCs w:val="28"/>
          <w:lang w:val="en-US" w:eastAsia="zh-CN"/>
        </w:rPr>
        <w:t>避瓦斯、煤尘爆炸</w:t>
      </w:r>
      <w:r>
        <w:rPr>
          <w:rFonts w:hint="eastAsia" w:ascii="仿宋" w:hAnsi="仿宋" w:eastAsia="仿宋" w:cs="仿宋"/>
          <w:b w:val="0"/>
          <w:bCs w:val="0"/>
          <w:color w:val="auto"/>
          <w:sz w:val="28"/>
          <w:szCs w:val="28"/>
          <w:lang w:val="en-US" w:eastAsia="zh-CN"/>
        </w:rPr>
        <w:t>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713894D7">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14:paraId="1C035F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14:paraId="311DF2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（1）风险描述：局部喷层开裂、破碎，存在掉矸伤人、冒顶的风险。</w:t>
      </w:r>
    </w:p>
    <w:p w14:paraId="2CE3AB7D">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进入施工地点后，首先使用专用长把工具对施工地点顶板及帮部进行敲帮问顶，找掉危岩活矸。敲帮问顶应从完好支护的地点开始，由外向里、自上而下、先顶部后两帮依次进行，敲帮问顶范围内严禁其他人员进入。</w:t>
      </w:r>
    </w:p>
    <w:p w14:paraId="0C5818C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、不倒翁阻车器未关闭或不完好，可能发生运输事故风险。</w:t>
      </w:r>
    </w:p>
    <w:p w14:paraId="28E398FC">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管控措施：倾斜井巷内使用串车提升时，挡车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、不倒翁阻车器、应实现常闭；</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在检查监督时，发现问题责令信号把钩工整改。</w:t>
      </w:r>
    </w:p>
    <w:p w14:paraId="6AD1BDF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（3）风险描述：未使用保险绳或使用不完好的保险绳，可能发生运输事故风险。</w:t>
      </w:r>
    </w:p>
    <w:p w14:paraId="6826A06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输前，信号把钩工对保险绳进行检查，发现不完好的保险绳应立即停止使用；信号把钩工连接车辆时应加装保险绳，并确保连接可靠、牢固；当班班组长应严格管理、监督信号把钩工的作业行为，发现违规作业者，严格考核并教育；安检员、机电科管理人员应做好监督管理工作，发现违规行为应立即制止，并作出相应处罚。</w:t>
      </w:r>
    </w:p>
    <w:p w14:paraId="50E6ED0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风险描述：未仔细检查钩头及车辆的连接情况，可能发生运输事故风险。</w:t>
      </w:r>
    </w:p>
    <w:p w14:paraId="13A33160">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管控措施：信号把钩工对车辆的连接情况和保险绳等全面检查，确认连接正常</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绞车前无余绳方可发信号开车；安检员巡回监督，发现不安全作业行为及时制止。</w:t>
      </w:r>
    </w:p>
    <w:p w14:paraId="1DB57F8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（5）风险描述：未按要求检查运输车辆的完好情况，可能发生运输事故风险。</w:t>
      </w:r>
    </w:p>
    <w:p w14:paraId="05BF96F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w:t>
      </w:r>
      <w:r>
        <w:rPr>
          <w:rFonts w:hint="eastAsia" w:ascii="仿宋" w:hAnsi="仿宋" w:eastAsia="仿宋" w:cs="仿宋"/>
          <w:color w:val="auto"/>
          <w:sz w:val="28"/>
          <w:szCs w:val="28"/>
          <w:lang w:eastAsia="zh-CN"/>
        </w:rPr>
        <w:t>信号把钩工</w:t>
      </w:r>
      <w:r>
        <w:rPr>
          <w:rFonts w:hint="eastAsia" w:ascii="仿宋" w:hAnsi="仿宋" w:eastAsia="仿宋" w:cs="仿宋"/>
          <w:color w:val="auto"/>
          <w:sz w:val="28"/>
          <w:szCs w:val="28"/>
        </w:rPr>
        <w:t>检查所运输车辆的完好情况；检查人员应严格按照《煤矿机电设备完好标准》中所规定的运输车辆完好标准进行检查；发现不符合运输标准要求的车辆及时做好标记，严禁进入运输车场，并及时通知</w:t>
      </w:r>
      <w:r>
        <w:rPr>
          <w:rFonts w:hint="eastAsia" w:ascii="仿宋" w:hAnsi="仿宋" w:eastAsia="仿宋" w:cs="仿宋"/>
          <w:color w:val="auto"/>
          <w:sz w:val="28"/>
          <w:szCs w:val="28"/>
          <w:lang w:eastAsia="zh-CN"/>
        </w:rPr>
        <w:t>维修人员</w:t>
      </w:r>
      <w:r>
        <w:rPr>
          <w:rFonts w:hint="eastAsia" w:ascii="仿宋" w:hAnsi="仿宋" w:eastAsia="仿宋" w:cs="仿宋"/>
          <w:color w:val="auto"/>
          <w:sz w:val="28"/>
          <w:szCs w:val="28"/>
        </w:rPr>
        <w:t>进行维修，直至符合运输标准后方可运输；安检员、机电科管理人员应做好监督管理工作，发现违规行为应立即制止，并作出相应处罚。</w:t>
      </w:r>
    </w:p>
    <w:p w14:paraId="508034F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（6）风险描述：走钩前人员未撤离或存在障碍物，可能发生运输事故风险。</w:t>
      </w:r>
    </w:p>
    <w:p w14:paraId="16CFAAD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管控措施：技术员要加强对把钩工作业安全知识和岗位责任制知识的培训；班组长负责带领把钩工学习掌握监督查看人员的安全注意事项；跟班区长应严格监督把钩工在</w:t>
      </w:r>
      <w:r>
        <w:rPr>
          <w:rFonts w:hint="eastAsia" w:ascii="仿宋" w:hAnsi="仿宋" w:eastAsia="仿宋" w:cs="仿宋"/>
          <w:color w:val="auto"/>
          <w:sz w:val="28"/>
          <w:szCs w:val="28"/>
          <w:lang w:eastAsia="zh-CN"/>
        </w:rPr>
        <w:t>现场</w:t>
      </w:r>
      <w:r>
        <w:rPr>
          <w:rFonts w:hint="eastAsia" w:ascii="仿宋" w:hAnsi="仿宋" w:eastAsia="仿宋" w:cs="仿宋"/>
          <w:color w:val="auto"/>
          <w:sz w:val="28"/>
          <w:szCs w:val="28"/>
        </w:rPr>
        <w:t>工作</w:t>
      </w:r>
      <w:r>
        <w:rPr>
          <w:rFonts w:hint="eastAsia" w:ascii="仿宋" w:hAnsi="仿宋" w:eastAsia="仿宋" w:cs="仿宋"/>
          <w:color w:val="auto"/>
          <w:sz w:val="28"/>
          <w:szCs w:val="28"/>
          <w:lang w:eastAsia="zh-CN"/>
        </w:rPr>
        <w:t>的检查</w:t>
      </w:r>
      <w:r>
        <w:rPr>
          <w:rFonts w:hint="eastAsia" w:ascii="仿宋" w:hAnsi="仿宋" w:eastAsia="仿宋" w:cs="仿宋"/>
          <w:color w:val="auto"/>
          <w:sz w:val="28"/>
          <w:szCs w:val="28"/>
        </w:rPr>
        <w:t>，发现问题要立即责令整改；机电科、安检科管理人员应做好监督，对违章人员要给予相应处罚。</w:t>
      </w:r>
    </w:p>
    <w:p w14:paraId="23DD6AE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（7）风险描述：人员站位</w:t>
      </w:r>
      <w:r>
        <w:rPr>
          <w:rFonts w:hint="eastAsia" w:ascii="仿宋" w:hAnsi="仿宋" w:eastAsia="仿宋" w:cs="仿宋"/>
          <w:color w:val="auto"/>
          <w:sz w:val="28"/>
          <w:szCs w:val="28"/>
          <w:lang w:eastAsia="zh-CN"/>
        </w:rPr>
        <w:t>不</w:t>
      </w:r>
      <w:r>
        <w:rPr>
          <w:rFonts w:hint="eastAsia" w:ascii="仿宋" w:hAnsi="仿宋" w:eastAsia="仿宋" w:cs="仿宋"/>
          <w:color w:val="auto"/>
          <w:sz w:val="28"/>
          <w:szCs w:val="28"/>
        </w:rPr>
        <w:t>当，可能发生运输事故风险。</w:t>
      </w:r>
    </w:p>
    <w:p w14:paraId="68FE11F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区长现场监督落实物料装卸、连挂车辆时人员站位及配合情况，发现站位或操作不正确的，立即提醒并批评教育；安检员现场监督落实物料装卸、连挂车辆时人员站位及配合情况，发现站位或操作不正确的，立即纠正并进行处理。</w:t>
      </w:r>
    </w:p>
    <w:p w14:paraId="660B6EC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20CECC62">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（1）风险描述：车辆未停稳摘挂钩头，可能发生运输事故风险。</w:t>
      </w:r>
    </w:p>
    <w:p w14:paraId="3212951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班长要求信号把钩工在列车停稳后摘挂钩头；跟班班长对作业过程进行检查，发现信号把钩工在列车未停稳情况下摘挂钩头的，对责任人进行处罚并批评教育；安检员对作业过程进行监督，发现未停稳车摘挂钩头的，对责任人按违章处理。</w:t>
      </w:r>
    </w:p>
    <w:p w14:paraId="44B2426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（2）风险描述：跨越运行中的钢丝绳，可能发生运输事故风险。</w:t>
      </w:r>
    </w:p>
    <w:p w14:paraId="580091B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当班班组长应严格管理、监督职工的作业行为，发现违反规定作业的人员进行处罚并教育；安检员、机电科管理人员应做好监督管理工作，发现违规行为应立即制止，并作出相应处罚。</w:t>
      </w:r>
    </w:p>
    <w:p w14:paraId="4894C0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（3）风险描述：未根据信号指令开车，可能发生运输事故风险。</w:t>
      </w:r>
    </w:p>
    <w:p w14:paraId="7B6524D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班长要求信号把钩工按规定收发信号；跟班班长对运输过程进行监督，发现信号把钩工收发信号失误的，立即中止作业，对责任人进行处罚，并批评教育；安检员对运输过程进行监督，发现不规范作业的，按违章处理。</w:t>
      </w:r>
    </w:p>
    <w:p w14:paraId="24AB621B">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（4）风险描述：人员头部和身子伸入两车之间进行操作，可能发生运输事故风险。</w:t>
      </w:r>
    </w:p>
    <w:p w14:paraId="123AF381">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区长、班长加强员工安全意识及业务技能教育，培养员工优良的职业素养；跟班区长、班长加强对现场的管理，发现问题及时纠正：机电科管理人员、安检员加强现场监督，发现违规行为立即制止并对相关责任人进行处罚。</w:t>
      </w:r>
    </w:p>
    <w:p w14:paraId="6888A269">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（5）风险描述：未严格执行“行车不行人，行人不行车”制度，可能发生运输事故风险。</w:t>
      </w:r>
    </w:p>
    <w:p w14:paraId="5700F2C3">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left"/>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当班班组长应严格管理、监督职工的作业行为，发现违反规定作业的人员进行处罚并教育；安检员、机电科管理人员应做好监督管理工作，发现违规行为应立即制止，并作出相应处罚。</w:t>
      </w:r>
    </w:p>
    <w:p w14:paraId="46DEB658">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（6）风险描述：处理掉道车辆不当，可能发生运输事故风险。</w:t>
      </w:r>
    </w:p>
    <w:p w14:paraId="04ED5397">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管控措施：运料工严格按照规定处理掉道车辆；安检员现场监督，发现处理方法不当进行制止纠正。</w:t>
      </w:r>
    </w:p>
    <w:p w14:paraId="482B7E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（7）风险描述：运输期间发生紧急情况未打停点，可能发生运输事故风险。</w:t>
      </w:r>
    </w:p>
    <w:p w14:paraId="2B70F7C0">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left"/>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当班班组长应严格管理、监督职工的作业行为，发现违反规定作业的人员进行处罚并教育；安检员、机电科管理人员应做好监督管理工作，发现违规行为应立即制止，并作出相应处罚。</w:t>
      </w:r>
    </w:p>
    <w:p w14:paraId="4C09E4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（8）风险描述：运输“四超”车辆，可能发生运输事故风险。</w:t>
      </w:r>
    </w:p>
    <w:p w14:paraId="1689D014">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班组长安排信号把钩工检查“四超”装载情况，制定相应的安全措施；当班班组长应严格管理、监督职工的作业行为，发现违反规定作业的人员进行处罚并教育；安检员、机电科管理人员应做好监督管理工作，发现违规行为应立即制止，并作出相应处罚。</w:t>
      </w:r>
    </w:p>
    <w:p w14:paraId="29D695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14:paraId="3F4EE8B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、阻车器未关闭，可能发生运输事故风险。</w:t>
      </w:r>
    </w:p>
    <w:p w14:paraId="1C96EF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管控措施：车辆运输到位后，及时关闭挡车装置；安检员、机电科管理人员应做好监督管理工作，发现违规行为应立即制止，并作出相应处罚。</w:t>
      </w:r>
    </w:p>
    <w:p w14:paraId="462F5E5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14:paraId="79FD62C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14:paraId="2F1EF2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14:paraId="0892E2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、不倒翁阻车器灵敏可靠。</w:t>
      </w:r>
    </w:p>
    <w:p w14:paraId="7522F8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3.钩头、保险绳、车辆、连接</w:t>
      </w:r>
      <w:r>
        <w:rPr>
          <w:rFonts w:hint="eastAsia" w:ascii="仿宋" w:hAnsi="仿宋" w:eastAsia="仿宋" w:cs="仿宋"/>
          <w:color w:val="auto"/>
          <w:sz w:val="28"/>
          <w:szCs w:val="28"/>
          <w:lang w:eastAsia="zh-CN"/>
        </w:rPr>
        <w:t>装置</w:t>
      </w:r>
      <w:r>
        <w:rPr>
          <w:rFonts w:hint="eastAsia" w:ascii="仿宋" w:hAnsi="仿宋" w:eastAsia="仿宋" w:cs="仿宋"/>
          <w:color w:val="auto"/>
          <w:sz w:val="28"/>
          <w:szCs w:val="28"/>
        </w:rPr>
        <w:t>：钩头、保险绳、车辆完好，连接</w:t>
      </w:r>
      <w:r>
        <w:rPr>
          <w:rFonts w:hint="eastAsia" w:ascii="仿宋" w:hAnsi="仿宋" w:eastAsia="仿宋" w:cs="仿宋"/>
          <w:color w:val="auto"/>
          <w:sz w:val="28"/>
          <w:szCs w:val="28"/>
          <w:lang w:eastAsia="zh-CN"/>
        </w:rPr>
        <w:t>装置</w:t>
      </w:r>
      <w:r>
        <w:rPr>
          <w:rFonts w:hint="eastAsia" w:ascii="仿宋" w:hAnsi="仿宋" w:eastAsia="仿宋" w:cs="仿宋"/>
          <w:color w:val="auto"/>
          <w:sz w:val="28"/>
          <w:szCs w:val="28"/>
        </w:rPr>
        <w:t>可靠。</w:t>
      </w:r>
    </w:p>
    <w:p w14:paraId="17E8BBC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4.人员、障碍物：运行范围内无人员及障碍物。</w:t>
      </w:r>
    </w:p>
    <w:p w14:paraId="0872F64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5.站位：把钩工应站在</w:t>
      </w:r>
      <w:r>
        <w:rPr>
          <w:rFonts w:hint="eastAsia" w:ascii="仿宋" w:hAnsi="仿宋" w:eastAsia="仿宋" w:cs="仿宋"/>
          <w:color w:val="auto"/>
          <w:sz w:val="28"/>
          <w:szCs w:val="28"/>
          <w:lang w:eastAsia="zh-CN"/>
        </w:rPr>
        <w:t>信号室进行打点</w:t>
      </w:r>
      <w:r>
        <w:rPr>
          <w:rFonts w:hint="eastAsia" w:ascii="仿宋" w:hAnsi="仿宋" w:eastAsia="仿宋" w:cs="仿宋"/>
          <w:color w:val="auto"/>
          <w:sz w:val="28"/>
          <w:szCs w:val="28"/>
        </w:rPr>
        <w:t>。</w:t>
      </w:r>
    </w:p>
    <w:p w14:paraId="3266BC4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14:paraId="7B58A8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1.电话、照明：电话畅通、照明明亮、完好。</w:t>
      </w:r>
    </w:p>
    <w:p w14:paraId="14B70A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2.操作台、信号、语音箱、警示牌板：操作台、语音箱完好，信号清晰声光兼备，警示牌板齐全完好。</w:t>
      </w:r>
    </w:p>
    <w:p w14:paraId="58065B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3.不倒翁阻车器、挡车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完好。</w:t>
      </w:r>
    </w:p>
    <w:p w14:paraId="04ED5F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.钩头、保险绳、钢丝绳、连接装置：钩头插接符合规定，保险绳、钢丝绳断丝不超限，连接装置完好。</w:t>
      </w:r>
    </w:p>
    <w:p w14:paraId="1273E9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.工作范围内轨道、道岔：工作范围内轨道、道岔齐全完好</w:t>
      </w:r>
      <w:r>
        <w:rPr>
          <w:rFonts w:hint="eastAsia" w:ascii="仿宋" w:hAnsi="仿宋" w:eastAsia="仿宋" w:cs="仿宋"/>
          <w:color w:val="auto"/>
          <w:sz w:val="28"/>
          <w:szCs w:val="28"/>
          <w:lang w:eastAsia="zh-CN"/>
        </w:rPr>
        <w:t>。</w:t>
      </w:r>
    </w:p>
    <w:p w14:paraId="09EC0DF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14:paraId="3C4EF6D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信号发送：信号发送要及时、准确、清晰，严禁他人代发信号，不得随意废除已发出的信号，确需改变时，必须先发送停车信号后再发送其他信号。</w:t>
      </w:r>
    </w:p>
    <w:p w14:paraId="483D34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人员位置：严禁擅离岗位，绞车运行期间必须进入信号或躲避硐室。</w:t>
      </w:r>
    </w:p>
    <w:p w14:paraId="5623A6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摘挂钩：</w:t>
      </w:r>
    </w:p>
    <w:p w14:paraId="494C4A6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①严禁车未停稳就摘挂钩，严禁蹬车摘挂钩。</w:t>
      </w:r>
    </w:p>
    <w:p w14:paraId="3FB713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②必须站立在轨道外侧操作，严禁站在道心内。</w:t>
      </w:r>
    </w:p>
    <w:p w14:paraId="7277BF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③严禁用其他物品代替连接装置或用空钩头拖拉物料。</w:t>
      </w:r>
    </w:p>
    <w:p w14:paraId="768C5D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④严禁从两车辆之间或车辆运行下方穿越串车。</w:t>
      </w:r>
    </w:p>
    <w:p w14:paraId="5172A1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正常提升：</w:t>
      </w:r>
    </w:p>
    <w:p w14:paraId="658CB9E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①严格执行“行车不行人，行人不行车”的规定。</w:t>
      </w:r>
    </w:p>
    <w:p w14:paraId="1978E4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②车辆通过时及时打开各类挡车设施。</w:t>
      </w:r>
    </w:p>
    <w:p w14:paraId="55C474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5.特殊运送：</w:t>
      </w:r>
    </w:p>
    <w:p w14:paraId="57F7D3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①运送“四超”车辆时，必须严格执行专项安全措施。</w:t>
      </w:r>
    </w:p>
    <w:p w14:paraId="23F342B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②特殊设备、材料及长、大物件，要严格按照批准的安全措施作业，采用专用的连接装置，并由专人指挥。</w:t>
      </w:r>
    </w:p>
    <w:p w14:paraId="216C3E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6.异常处置：</w:t>
      </w:r>
    </w:p>
    <w:p w14:paraId="062167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①车辆脱轨时，应立即发出停车信号，及时汇报跟班区队长组织人员处理，严禁信把工个人复轨。</w:t>
      </w:r>
    </w:p>
    <w:p w14:paraId="31B09C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②发现串车、钢丝绳、挡车设施异常或绳道内有异响时，要及时发出停车信号，查明原因并处理后，方可重新发送信号。</w:t>
      </w:r>
    </w:p>
    <w:p w14:paraId="5DF56E8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（四）操作后确认：</w:t>
      </w:r>
    </w:p>
    <w:p w14:paraId="3926B6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、不倒翁阻车器：挡车梯、不倒翁阻车器已复位、关闭。</w:t>
      </w:r>
    </w:p>
    <w:p w14:paraId="27941B0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14:paraId="16D1419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rPr>
      </w:pPr>
      <w:r>
        <w:rPr>
          <w:rFonts w:hint="eastAsia" w:ascii="仿宋" w:hAnsi="仿宋" w:eastAsia="仿宋" w:cs="仿宋"/>
          <w:b/>
          <w:bCs/>
          <w:color w:val="auto"/>
          <w:sz w:val="28"/>
          <w:lang w:eastAsia="zh-CN"/>
        </w:rPr>
        <w:t>（一）</w:t>
      </w:r>
      <w:r>
        <w:rPr>
          <w:rFonts w:hint="eastAsia" w:ascii="仿宋" w:hAnsi="仿宋" w:eastAsia="仿宋" w:cs="仿宋"/>
          <w:b/>
          <w:bCs/>
          <w:color w:val="auto"/>
          <w:sz w:val="28"/>
        </w:rPr>
        <w:t>事故经过</w:t>
      </w:r>
    </w:p>
    <w:p w14:paraId="14CE1D3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1996年11月1日14日，梁家煤矿巷修工区中班班长带领四人到集中轨道返修，16时左右，运输工区从下车场挂好四个车皮行至1204上顺向上30米处，班长让信号工邹方军打点停钩，当离迎头30米左右时，车停下。车停下后，四人正在准备装车，此时，2207下顺信号工发出走钩信号，绞车启动。当车行至0.5米左右，将正在准备装车的于××挤在巷道左帮，迅速发出放车信号，但此时绞车司机没将绞车下放，后经电话通知绞车司机，并讲矿车挤人，这才放车，经抢救无救死亡。</w:t>
      </w:r>
    </w:p>
    <w:p w14:paraId="5C2307F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rPr>
      </w:pPr>
      <w:r>
        <w:rPr>
          <w:rFonts w:hint="eastAsia" w:ascii="仿宋" w:hAnsi="仿宋" w:eastAsia="仿宋" w:cs="仿宋"/>
          <w:b/>
          <w:bCs/>
          <w:color w:val="auto"/>
          <w:sz w:val="28"/>
          <w:lang w:eastAsia="zh-CN"/>
        </w:rPr>
        <w:t>（二）</w:t>
      </w:r>
      <w:r>
        <w:rPr>
          <w:rFonts w:hint="eastAsia" w:ascii="仿宋" w:hAnsi="仿宋" w:eastAsia="仿宋" w:cs="仿宋"/>
          <w:b/>
          <w:bCs/>
          <w:color w:val="auto"/>
          <w:sz w:val="28"/>
        </w:rPr>
        <w:t>事故原因</w:t>
      </w:r>
    </w:p>
    <w:p w14:paraId="413503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1</w:t>
      </w:r>
      <w:r>
        <w:rPr>
          <w:rFonts w:hint="eastAsia" w:ascii="仿宋" w:hAnsi="仿宋" w:eastAsia="仿宋" w:cs="仿宋"/>
          <w:color w:val="auto"/>
          <w:sz w:val="28"/>
          <w:lang w:val="en-US" w:eastAsia="zh-CN"/>
        </w:rPr>
        <w:t>.</w:t>
      </w:r>
      <w:r>
        <w:rPr>
          <w:rFonts w:hint="eastAsia" w:ascii="仿宋" w:hAnsi="仿宋" w:eastAsia="仿宋" w:cs="仿宋"/>
          <w:color w:val="auto"/>
          <w:sz w:val="28"/>
        </w:rPr>
        <w:t>当班班长违章指挥，违章作业，只顾生产，忽视安全，是事故发生的主要原因。</w:t>
      </w:r>
    </w:p>
    <w:p w14:paraId="3C3031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2</w:t>
      </w:r>
      <w:r>
        <w:rPr>
          <w:rFonts w:hint="eastAsia" w:ascii="仿宋" w:hAnsi="仿宋" w:eastAsia="仿宋" w:cs="仿宋"/>
          <w:color w:val="auto"/>
          <w:sz w:val="28"/>
          <w:lang w:val="en-US" w:eastAsia="zh-CN"/>
        </w:rPr>
        <w:t>.</w:t>
      </w:r>
      <w:r>
        <w:rPr>
          <w:rFonts w:hint="eastAsia" w:ascii="仿宋" w:hAnsi="仿宋" w:eastAsia="仿宋" w:cs="仿宋"/>
          <w:color w:val="auto"/>
          <w:sz w:val="28"/>
        </w:rPr>
        <w:t>工人于××自主保安意识不强，站立位置不当，导致事故的发生，是事故发生的直接原因。</w:t>
      </w:r>
    </w:p>
    <w:p w14:paraId="5C3779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3</w:t>
      </w:r>
      <w:r>
        <w:rPr>
          <w:rFonts w:hint="eastAsia" w:ascii="仿宋" w:hAnsi="仿宋" w:eastAsia="仿宋" w:cs="仿宋"/>
          <w:color w:val="auto"/>
          <w:sz w:val="28"/>
          <w:lang w:val="en-US" w:eastAsia="zh-CN"/>
        </w:rPr>
        <w:t>.</w:t>
      </w:r>
      <w:r>
        <w:rPr>
          <w:rFonts w:hint="eastAsia" w:ascii="仿宋" w:hAnsi="仿宋" w:eastAsia="仿宋" w:cs="仿宋"/>
          <w:color w:val="auto"/>
          <w:sz w:val="28"/>
        </w:rPr>
        <w:t>掘进一区信号工随意打点，违犯矿提升运输管理规定，导致了事故的发生，也是事故发生的直接原因。</w:t>
      </w:r>
    </w:p>
    <w:p w14:paraId="4E569A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4</w:t>
      </w:r>
      <w:r>
        <w:rPr>
          <w:rFonts w:hint="eastAsia" w:ascii="仿宋" w:hAnsi="仿宋" w:eastAsia="仿宋" w:cs="仿宋"/>
          <w:color w:val="auto"/>
          <w:sz w:val="28"/>
          <w:lang w:val="en-US" w:eastAsia="zh-CN"/>
        </w:rPr>
        <w:t>.</w:t>
      </w:r>
      <w:r>
        <w:rPr>
          <w:rFonts w:hint="eastAsia" w:ascii="仿宋" w:hAnsi="仿宋" w:eastAsia="仿宋" w:cs="仿宋"/>
          <w:color w:val="auto"/>
          <w:sz w:val="28"/>
        </w:rPr>
        <w:t>运输工区绞车司机，听到放车信号不放车，造成事故的扩大，也是发生事故的一个原因。</w:t>
      </w:r>
    </w:p>
    <w:p w14:paraId="40DA13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5</w:t>
      </w:r>
      <w:r>
        <w:rPr>
          <w:rFonts w:hint="eastAsia" w:ascii="仿宋" w:hAnsi="仿宋" w:eastAsia="仿宋" w:cs="仿宋"/>
          <w:color w:val="auto"/>
          <w:sz w:val="28"/>
          <w:lang w:val="en-US" w:eastAsia="zh-CN"/>
        </w:rPr>
        <w:t>.</w:t>
      </w:r>
      <w:r>
        <w:rPr>
          <w:rFonts w:hint="eastAsia" w:ascii="仿宋" w:hAnsi="仿宋" w:eastAsia="仿宋" w:cs="仿宋"/>
          <w:color w:val="auto"/>
          <w:sz w:val="28"/>
        </w:rPr>
        <w:t>矿对提升运输管理不完善，安全管理不严，检查不力，是事故发生的一个因素。</w:t>
      </w:r>
    </w:p>
    <w:p w14:paraId="0283720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rPr>
      </w:pPr>
      <w:r>
        <w:rPr>
          <w:rFonts w:hint="eastAsia" w:ascii="仿宋" w:hAnsi="仿宋" w:eastAsia="仿宋" w:cs="仿宋"/>
          <w:b/>
          <w:bCs/>
          <w:color w:val="auto"/>
          <w:sz w:val="28"/>
          <w:lang w:eastAsia="zh-CN"/>
        </w:rPr>
        <w:t>（三）</w:t>
      </w:r>
      <w:r>
        <w:rPr>
          <w:rFonts w:hint="eastAsia" w:ascii="仿宋" w:hAnsi="仿宋" w:eastAsia="仿宋" w:cs="仿宋"/>
          <w:b/>
          <w:bCs/>
          <w:color w:val="auto"/>
          <w:sz w:val="28"/>
        </w:rPr>
        <w:t>防范措施</w:t>
      </w:r>
    </w:p>
    <w:p w14:paraId="58B729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1</w:t>
      </w:r>
      <w:r>
        <w:rPr>
          <w:rFonts w:hint="eastAsia" w:ascii="仿宋" w:hAnsi="仿宋" w:eastAsia="仿宋" w:cs="仿宋"/>
          <w:color w:val="auto"/>
          <w:sz w:val="28"/>
          <w:lang w:val="en-US" w:eastAsia="zh-CN"/>
        </w:rPr>
        <w:t>.</w:t>
      </w:r>
      <w:r>
        <w:rPr>
          <w:rFonts w:hint="eastAsia" w:ascii="仿宋" w:hAnsi="仿宋" w:eastAsia="仿宋" w:cs="仿宋"/>
          <w:color w:val="auto"/>
          <w:sz w:val="28"/>
        </w:rPr>
        <w:t>在全矿范围内围绕如何吸取事故教训，开展安全大讨论，从思想上加深干部职工安全工作的认识，真正树立安全第一的思想，自觉做好安全工作。</w:t>
      </w:r>
    </w:p>
    <w:p w14:paraId="2137CC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2</w:t>
      </w:r>
      <w:r>
        <w:rPr>
          <w:rFonts w:hint="eastAsia" w:ascii="仿宋" w:hAnsi="仿宋" w:eastAsia="仿宋" w:cs="仿宋"/>
          <w:color w:val="auto"/>
          <w:sz w:val="28"/>
          <w:lang w:val="en-US" w:eastAsia="zh-CN"/>
        </w:rPr>
        <w:t>.</w:t>
      </w:r>
      <w:r>
        <w:rPr>
          <w:rFonts w:hint="eastAsia" w:ascii="仿宋" w:hAnsi="仿宋" w:eastAsia="仿宋" w:cs="仿宋"/>
          <w:color w:val="auto"/>
          <w:sz w:val="28"/>
        </w:rPr>
        <w:t>加强对安全工作的领导，特别是各单位安全第一责任者，要抓好安全工作的落实，认真贯彻落实反安全生产方针，在全矿开展反事故、反三违、反麻痹、反不负责任的活动，做到不安全不生产，安全措施不落实不生产，安全隐患不消除不生产。</w:t>
      </w:r>
    </w:p>
    <w:p w14:paraId="37DD75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eastAsia="仿宋"/>
          <w:color w:val="auto"/>
          <w:lang w:eastAsia="zh-CN"/>
        </w:rPr>
      </w:pPr>
      <w:r>
        <w:rPr>
          <w:rFonts w:hint="eastAsia" w:ascii="仿宋" w:hAnsi="仿宋" w:eastAsia="仿宋" w:cs="仿宋"/>
          <w:color w:val="auto"/>
          <w:sz w:val="28"/>
        </w:rPr>
        <w:t>3</w:t>
      </w:r>
      <w:r>
        <w:rPr>
          <w:rFonts w:hint="eastAsia" w:ascii="仿宋" w:hAnsi="仿宋" w:eastAsia="仿宋" w:cs="仿宋"/>
          <w:color w:val="auto"/>
          <w:sz w:val="28"/>
          <w:lang w:val="en-US" w:eastAsia="zh-CN"/>
        </w:rPr>
        <w:t>.</w:t>
      </w:r>
      <w:r>
        <w:rPr>
          <w:rFonts w:hint="eastAsia" w:ascii="仿宋" w:hAnsi="仿宋" w:eastAsia="仿宋" w:cs="仿宋"/>
          <w:color w:val="auto"/>
          <w:sz w:val="28"/>
        </w:rPr>
        <w:t>加强对提升运输系统的安全管理，特别是上下山的运输提升信号，要做全面彻底的整改，进一步完善信号管理规定，杜绝事故发生。</w:t>
      </w:r>
    </w:p>
    <w:p w14:paraId="53D7B87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rPr>
        <w:t>、常见三违</w:t>
      </w:r>
    </w:p>
    <w:p w14:paraId="2C0338F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（一）</w:t>
      </w:r>
      <w:r>
        <w:rPr>
          <w:rFonts w:hint="eastAsia" w:ascii="仿宋" w:hAnsi="仿宋" w:eastAsia="仿宋" w:cs="仿宋"/>
          <w:color w:val="auto"/>
          <w:sz w:val="28"/>
          <w:szCs w:val="28"/>
          <w:u w:val="none"/>
        </w:rPr>
        <w:t>斜巷运输不使用保险绳</w:t>
      </w:r>
      <w:r>
        <w:rPr>
          <w:rFonts w:hint="eastAsia" w:ascii="仿宋" w:hAnsi="仿宋" w:eastAsia="仿宋" w:cs="仿宋"/>
          <w:color w:val="auto"/>
          <w:sz w:val="28"/>
          <w:szCs w:val="28"/>
          <w:u w:val="none"/>
          <w:lang w:eastAsia="zh-CN"/>
        </w:rPr>
        <w:t>；</w:t>
      </w:r>
    </w:p>
    <w:p w14:paraId="6875B1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（二）</w:t>
      </w:r>
      <w:r>
        <w:rPr>
          <w:rFonts w:hint="eastAsia" w:ascii="仿宋" w:hAnsi="仿宋" w:eastAsia="仿宋" w:cs="仿宋"/>
          <w:color w:val="auto"/>
          <w:sz w:val="28"/>
          <w:szCs w:val="28"/>
          <w:u w:val="none"/>
        </w:rPr>
        <w:t>斜巷提升运输在看不到钩头情况下乱打点开车</w:t>
      </w:r>
      <w:r>
        <w:rPr>
          <w:rFonts w:hint="eastAsia" w:ascii="仿宋" w:hAnsi="仿宋" w:eastAsia="仿宋" w:cs="仿宋"/>
          <w:color w:val="auto"/>
          <w:sz w:val="28"/>
          <w:szCs w:val="28"/>
          <w:u w:val="none"/>
          <w:lang w:eastAsia="zh-CN"/>
        </w:rPr>
        <w:t>；</w:t>
      </w:r>
    </w:p>
    <w:p w14:paraId="6B5C94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（三）</w:t>
      </w:r>
      <w:r>
        <w:rPr>
          <w:rFonts w:hint="eastAsia" w:ascii="仿宋" w:hAnsi="仿宋" w:eastAsia="仿宋" w:cs="仿宋"/>
          <w:color w:val="auto"/>
          <w:sz w:val="28"/>
          <w:szCs w:val="28"/>
          <w:u w:val="none"/>
        </w:rPr>
        <w:t>绞车运输时行车行人或跨越运行中的钢丝绳</w:t>
      </w:r>
      <w:r>
        <w:rPr>
          <w:rFonts w:hint="eastAsia" w:ascii="仿宋" w:hAnsi="仿宋" w:eastAsia="仿宋" w:cs="仿宋"/>
          <w:color w:val="auto"/>
          <w:sz w:val="28"/>
          <w:szCs w:val="28"/>
          <w:u w:val="none"/>
          <w:lang w:eastAsia="zh-CN"/>
        </w:rPr>
        <w:t>；</w:t>
      </w:r>
    </w:p>
    <w:p w14:paraId="742024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（四）</w:t>
      </w:r>
      <w:r>
        <w:rPr>
          <w:rFonts w:hint="eastAsia" w:ascii="仿宋" w:hAnsi="仿宋" w:eastAsia="仿宋" w:cs="仿宋"/>
          <w:color w:val="auto"/>
          <w:sz w:val="28"/>
          <w:szCs w:val="28"/>
          <w:u w:val="none"/>
        </w:rPr>
        <w:t>不使用专用连接装置拉、放车</w:t>
      </w:r>
      <w:r>
        <w:rPr>
          <w:rFonts w:hint="eastAsia" w:ascii="仿宋" w:hAnsi="仿宋" w:eastAsia="仿宋" w:cs="仿宋"/>
          <w:color w:val="auto"/>
          <w:sz w:val="28"/>
          <w:szCs w:val="28"/>
          <w:u w:val="none"/>
          <w:lang w:eastAsia="zh-CN"/>
        </w:rPr>
        <w:t>；</w:t>
      </w:r>
    </w:p>
    <w:p w14:paraId="5B3593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（五）</w:t>
      </w:r>
      <w:r>
        <w:rPr>
          <w:rFonts w:hint="eastAsia" w:ascii="仿宋" w:hAnsi="仿宋" w:eastAsia="仿宋" w:cs="仿宋"/>
          <w:color w:val="auto"/>
          <w:sz w:val="28"/>
          <w:szCs w:val="28"/>
          <w:u w:val="none"/>
        </w:rPr>
        <w:t>斜巷运输不按规定使用“一坡三挡”安全设施</w:t>
      </w:r>
      <w:r>
        <w:rPr>
          <w:rFonts w:hint="eastAsia" w:ascii="仿宋" w:hAnsi="仿宋" w:eastAsia="仿宋" w:cs="仿宋"/>
          <w:color w:val="auto"/>
          <w:sz w:val="28"/>
          <w:szCs w:val="28"/>
          <w:u w:val="none"/>
          <w:lang w:eastAsia="zh-CN"/>
        </w:rPr>
        <w:t>；</w:t>
      </w:r>
    </w:p>
    <w:p w14:paraId="066794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（六）</w:t>
      </w:r>
      <w:r>
        <w:rPr>
          <w:rFonts w:hint="eastAsia" w:ascii="仿宋" w:hAnsi="仿宋" w:eastAsia="仿宋" w:cs="仿宋"/>
          <w:color w:val="auto"/>
          <w:sz w:val="28"/>
          <w:szCs w:val="28"/>
          <w:u w:val="none"/>
        </w:rPr>
        <w:t>人员在矿车侧面推车</w:t>
      </w:r>
      <w:r>
        <w:rPr>
          <w:rFonts w:hint="eastAsia" w:ascii="仿宋" w:hAnsi="仿宋" w:eastAsia="仿宋" w:cs="仿宋"/>
          <w:color w:val="auto"/>
          <w:sz w:val="28"/>
          <w:szCs w:val="28"/>
          <w:u w:val="none"/>
          <w:lang w:eastAsia="zh-CN"/>
        </w:rPr>
        <w:t>；</w:t>
      </w:r>
    </w:p>
    <w:p w14:paraId="1239EE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（七）</w:t>
      </w:r>
      <w:r>
        <w:rPr>
          <w:rFonts w:hint="eastAsia" w:ascii="仿宋" w:hAnsi="仿宋" w:eastAsia="仿宋" w:cs="仿宋"/>
          <w:color w:val="auto"/>
          <w:sz w:val="28"/>
          <w:szCs w:val="28"/>
          <w:u w:val="none"/>
        </w:rPr>
        <w:t>拉放车时信号工擅离</w:t>
      </w:r>
      <w:r>
        <w:rPr>
          <w:rFonts w:hint="eastAsia" w:ascii="仿宋" w:hAnsi="仿宋" w:eastAsia="仿宋" w:cs="仿宋"/>
          <w:color w:val="auto"/>
          <w:sz w:val="28"/>
          <w:szCs w:val="28"/>
          <w:u w:val="none"/>
          <w:lang w:eastAsia="zh-CN"/>
        </w:rPr>
        <w:t>；</w:t>
      </w:r>
    </w:p>
    <w:p w14:paraId="674478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（八）</w:t>
      </w:r>
      <w:r>
        <w:rPr>
          <w:rFonts w:hint="eastAsia" w:ascii="仿宋" w:hAnsi="仿宋" w:eastAsia="仿宋" w:cs="仿宋"/>
          <w:color w:val="auto"/>
          <w:sz w:val="28"/>
          <w:szCs w:val="28"/>
          <w:u w:val="none"/>
        </w:rPr>
        <w:t>绞车运行时车辆不挂尾灯</w:t>
      </w:r>
      <w:r>
        <w:rPr>
          <w:rFonts w:hint="eastAsia" w:ascii="仿宋" w:hAnsi="仿宋" w:eastAsia="仿宋" w:cs="仿宋"/>
          <w:color w:val="auto"/>
          <w:sz w:val="28"/>
          <w:szCs w:val="28"/>
          <w:u w:val="none"/>
          <w:lang w:eastAsia="zh-CN"/>
        </w:rPr>
        <w:t>或红灯不亮</w:t>
      </w:r>
      <w:r>
        <w:rPr>
          <w:rFonts w:hint="eastAsia" w:ascii="仿宋" w:hAnsi="仿宋" w:eastAsia="仿宋" w:cs="仿宋"/>
          <w:color w:val="auto"/>
          <w:sz w:val="28"/>
          <w:szCs w:val="28"/>
          <w:u w:val="none"/>
        </w:rPr>
        <w:t>的</w:t>
      </w:r>
      <w:r>
        <w:rPr>
          <w:rFonts w:hint="eastAsia" w:ascii="仿宋" w:hAnsi="仿宋" w:eastAsia="仿宋" w:cs="仿宋"/>
          <w:color w:val="auto"/>
          <w:sz w:val="28"/>
          <w:szCs w:val="28"/>
          <w:u w:val="none"/>
          <w:lang w:eastAsia="zh-CN"/>
        </w:rPr>
        <w:t>；</w:t>
      </w:r>
    </w:p>
    <w:p w14:paraId="0C8471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（九）</w:t>
      </w:r>
      <w:r>
        <w:rPr>
          <w:rFonts w:hint="eastAsia" w:ascii="仿宋" w:hAnsi="仿宋" w:eastAsia="仿宋" w:cs="仿宋"/>
          <w:color w:val="auto"/>
          <w:sz w:val="28"/>
          <w:szCs w:val="28"/>
          <w:u w:val="none"/>
        </w:rPr>
        <w:t>斜巷上下车场把钩工违反规定顺序摘挂钩头</w:t>
      </w:r>
      <w:r>
        <w:rPr>
          <w:rFonts w:hint="eastAsia" w:ascii="仿宋" w:hAnsi="仿宋" w:eastAsia="仿宋" w:cs="仿宋"/>
          <w:color w:val="auto"/>
          <w:sz w:val="28"/>
          <w:szCs w:val="28"/>
          <w:u w:val="none"/>
          <w:lang w:eastAsia="zh-CN"/>
        </w:rPr>
        <w:t>；</w:t>
      </w:r>
    </w:p>
    <w:p w14:paraId="15209E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w:t>
      </w:r>
      <w:r>
        <w:rPr>
          <w:rFonts w:hint="eastAsia" w:ascii="仿宋" w:hAnsi="仿宋" w:eastAsia="仿宋" w:cs="仿宋"/>
          <w:color w:val="auto"/>
          <w:sz w:val="28"/>
          <w:szCs w:val="28"/>
          <w:u w:val="none"/>
        </w:rPr>
        <w:t>斜巷绞车钩头不在本车场时，道岔未恢复直道状态（顺槽道岔除外）</w:t>
      </w:r>
      <w:r>
        <w:rPr>
          <w:rFonts w:hint="eastAsia" w:ascii="仿宋" w:hAnsi="仿宋" w:eastAsia="仿宋" w:cs="仿宋"/>
          <w:color w:val="auto"/>
          <w:sz w:val="28"/>
          <w:szCs w:val="28"/>
          <w:u w:val="none"/>
          <w:lang w:eastAsia="zh-CN"/>
        </w:rPr>
        <w:t>；</w:t>
      </w:r>
    </w:p>
    <w:p w14:paraId="17D32E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（十一）</w:t>
      </w:r>
      <w:r>
        <w:rPr>
          <w:rFonts w:hint="eastAsia" w:ascii="仿宋" w:hAnsi="仿宋" w:eastAsia="仿宋" w:cs="仿宋"/>
          <w:color w:val="auto"/>
          <w:sz w:val="28"/>
          <w:szCs w:val="28"/>
          <w:u w:val="none"/>
        </w:rPr>
        <w:t>临时在轨道上下山吊车装卸车时，下方没有采取防跑车措施的</w:t>
      </w:r>
      <w:r>
        <w:rPr>
          <w:rFonts w:hint="eastAsia" w:ascii="仿宋" w:hAnsi="仿宋" w:eastAsia="仿宋" w:cs="仿宋"/>
          <w:color w:val="auto"/>
          <w:sz w:val="28"/>
          <w:szCs w:val="28"/>
          <w:u w:val="none"/>
          <w:lang w:eastAsia="zh-CN"/>
        </w:rPr>
        <w:t>；</w:t>
      </w:r>
    </w:p>
    <w:p w14:paraId="2255724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（十二）</w:t>
      </w:r>
      <w:r>
        <w:rPr>
          <w:rFonts w:hint="eastAsia" w:ascii="仿宋" w:hAnsi="仿宋" w:eastAsia="仿宋" w:cs="仿宋"/>
          <w:color w:val="auto"/>
          <w:sz w:val="28"/>
          <w:szCs w:val="28"/>
          <w:u w:val="none"/>
        </w:rPr>
        <w:t>大件装车超长、超宽、超高、无措施运输</w:t>
      </w:r>
      <w:r>
        <w:rPr>
          <w:rFonts w:hint="eastAsia" w:ascii="仿宋" w:hAnsi="仿宋" w:eastAsia="仿宋" w:cs="仿宋"/>
          <w:color w:val="auto"/>
          <w:sz w:val="28"/>
          <w:szCs w:val="28"/>
          <w:u w:val="none"/>
          <w:lang w:eastAsia="zh-CN"/>
        </w:rPr>
        <w:t>；</w:t>
      </w:r>
    </w:p>
    <w:p w14:paraId="79E4E9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（十三）</w:t>
      </w:r>
      <w:r>
        <w:rPr>
          <w:rFonts w:hint="eastAsia" w:ascii="仿宋" w:hAnsi="仿宋" w:eastAsia="仿宋" w:cs="仿宋"/>
          <w:color w:val="auto"/>
          <w:sz w:val="28"/>
          <w:szCs w:val="28"/>
          <w:u w:val="none"/>
        </w:rPr>
        <w:t>轨道拉放平板车，安全设施不起作用</w:t>
      </w:r>
      <w:r>
        <w:rPr>
          <w:rFonts w:hint="eastAsia" w:ascii="仿宋" w:hAnsi="仿宋" w:eastAsia="仿宋" w:cs="仿宋"/>
          <w:color w:val="auto"/>
          <w:sz w:val="28"/>
          <w:szCs w:val="28"/>
          <w:u w:val="none"/>
          <w:lang w:eastAsia="zh-CN"/>
        </w:rPr>
        <w:t>；</w:t>
      </w:r>
    </w:p>
    <w:p w14:paraId="6E0E17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（十四）</w:t>
      </w:r>
      <w:r>
        <w:rPr>
          <w:rFonts w:hint="eastAsia" w:ascii="仿宋" w:hAnsi="仿宋" w:eastAsia="仿宋" w:cs="仿宋"/>
          <w:color w:val="auto"/>
          <w:sz w:val="28"/>
          <w:szCs w:val="28"/>
          <w:u w:val="none"/>
        </w:rPr>
        <w:t>安全设施不完好提出不及时处理</w:t>
      </w:r>
      <w:r>
        <w:rPr>
          <w:rFonts w:hint="eastAsia" w:ascii="仿宋" w:hAnsi="仿宋" w:eastAsia="仿宋" w:cs="仿宋"/>
          <w:color w:val="auto"/>
          <w:sz w:val="28"/>
          <w:szCs w:val="28"/>
          <w:u w:val="none"/>
          <w:lang w:eastAsia="zh-CN"/>
        </w:rPr>
        <w:t>；</w:t>
      </w:r>
    </w:p>
    <w:p w14:paraId="31B4AC6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（十五）</w:t>
      </w:r>
      <w:r>
        <w:rPr>
          <w:rFonts w:hint="eastAsia" w:ascii="仿宋" w:hAnsi="仿宋" w:eastAsia="仿宋" w:cs="仿宋"/>
          <w:color w:val="auto"/>
          <w:sz w:val="28"/>
          <w:szCs w:val="28"/>
          <w:u w:val="none"/>
        </w:rPr>
        <w:t>各种安全设施不齐全或不正常使用</w:t>
      </w:r>
      <w:r>
        <w:rPr>
          <w:rFonts w:hint="eastAsia" w:ascii="仿宋" w:hAnsi="仿宋" w:eastAsia="仿宋" w:cs="仿宋"/>
          <w:color w:val="auto"/>
          <w:sz w:val="28"/>
          <w:szCs w:val="28"/>
          <w:u w:val="none"/>
          <w:lang w:eastAsia="zh-CN"/>
        </w:rPr>
        <w:t>；</w:t>
      </w:r>
    </w:p>
    <w:p w14:paraId="4E13E7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（十六）</w:t>
      </w:r>
      <w:r>
        <w:rPr>
          <w:rFonts w:hint="eastAsia" w:ascii="仿宋" w:hAnsi="仿宋" w:eastAsia="仿宋" w:cs="仿宋"/>
          <w:color w:val="auto"/>
          <w:sz w:val="28"/>
          <w:szCs w:val="28"/>
          <w:u w:val="none"/>
        </w:rPr>
        <w:t>停车不用掩车木掩车或打“十”字木垛</w:t>
      </w:r>
      <w:r>
        <w:rPr>
          <w:rFonts w:hint="eastAsia" w:ascii="仿宋" w:hAnsi="仿宋" w:eastAsia="仿宋" w:cs="仿宋"/>
          <w:color w:val="auto"/>
          <w:sz w:val="28"/>
          <w:szCs w:val="28"/>
          <w:u w:val="none"/>
          <w:lang w:eastAsia="zh-CN"/>
        </w:rPr>
        <w:t>；</w:t>
      </w:r>
    </w:p>
    <w:p w14:paraId="7FCA58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rPr>
      </w:pPr>
      <w:r>
        <w:rPr>
          <w:rFonts w:hint="eastAsia" w:ascii="仿宋" w:hAnsi="仿宋" w:eastAsia="仿宋" w:cs="仿宋"/>
          <w:color w:val="auto"/>
          <w:sz w:val="28"/>
          <w:szCs w:val="28"/>
          <w:u w:val="none"/>
          <w:lang w:eastAsia="zh-CN"/>
        </w:rPr>
        <w:t>（十七）</w:t>
      </w:r>
      <w:r>
        <w:rPr>
          <w:rFonts w:hint="eastAsia" w:ascii="仿宋" w:hAnsi="仿宋" w:eastAsia="仿宋" w:cs="仿宋"/>
          <w:color w:val="auto"/>
          <w:sz w:val="28"/>
          <w:szCs w:val="28"/>
          <w:u w:val="none"/>
        </w:rPr>
        <w:t>绞车在提升运输期间矿车销子没有插到位的。</w:t>
      </w:r>
    </w:p>
    <w:p w14:paraId="1553D733">
      <w:pPr>
        <w:rPr>
          <w:rFonts w:hint="eastAsia" w:ascii="仿宋" w:hAnsi="仿宋" w:eastAsia="仿宋" w:cs="仿宋"/>
          <w:b/>
          <w:bCs/>
          <w:color w:val="auto"/>
          <w:kern w:val="0"/>
          <w:sz w:val="36"/>
          <w:szCs w:val="36"/>
          <w:lang w:eastAsia="zh-CN"/>
        </w:rPr>
      </w:pPr>
      <w:bookmarkStart w:id="459" w:name="_Toc6822"/>
      <w:bookmarkStart w:id="460" w:name="_Toc10470"/>
      <w:r>
        <w:rPr>
          <w:rFonts w:hint="eastAsia" w:ascii="仿宋" w:hAnsi="仿宋" w:eastAsia="仿宋" w:cs="仿宋"/>
          <w:b/>
          <w:bCs/>
          <w:color w:val="auto"/>
          <w:kern w:val="0"/>
          <w:sz w:val="36"/>
          <w:szCs w:val="36"/>
          <w:lang w:eastAsia="zh-CN"/>
        </w:rPr>
        <w:br w:type="page"/>
      </w:r>
    </w:p>
    <w:p w14:paraId="1A911A6B">
      <w:pPr>
        <w:spacing w:before="312" w:beforeLines="100" w:after="312" w:afterLines="100"/>
        <w:jc w:val="center"/>
        <w:outlineLvl w:val="1"/>
        <w:rPr>
          <w:rFonts w:hint="eastAsia" w:ascii="仿宋" w:hAnsi="仿宋" w:eastAsia="仿宋" w:cs="仿宋"/>
          <w:b/>
          <w:bCs/>
          <w:color w:val="auto"/>
          <w:kern w:val="0"/>
          <w:sz w:val="36"/>
          <w:szCs w:val="36"/>
        </w:rPr>
      </w:pPr>
      <w:bookmarkStart w:id="461" w:name="_Toc772"/>
      <w:r>
        <w:rPr>
          <w:rFonts w:hint="eastAsia" w:ascii="仿宋" w:hAnsi="仿宋" w:eastAsia="仿宋" w:cs="仿宋"/>
          <w:b/>
          <w:bCs/>
          <w:color w:val="auto"/>
          <w:kern w:val="0"/>
          <w:sz w:val="36"/>
          <w:szCs w:val="36"/>
          <w:lang w:eastAsia="zh-CN"/>
        </w:rPr>
        <w:t>窄轨轨道工</w:t>
      </w:r>
      <w:bookmarkEnd w:id="459"/>
      <w:bookmarkEnd w:id="460"/>
      <w:bookmarkEnd w:id="461"/>
    </w:p>
    <w:tbl>
      <w:tblPr>
        <w:tblStyle w:val="12"/>
        <w:tblW w:w="9279" w:type="dxa"/>
        <w:tblInd w:w="-344" w:type="dxa"/>
        <w:tblLayout w:type="fixed"/>
        <w:tblCellMar>
          <w:top w:w="0" w:type="dxa"/>
          <w:left w:w="108" w:type="dxa"/>
          <w:bottom w:w="0" w:type="dxa"/>
          <w:right w:w="108" w:type="dxa"/>
        </w:tblCellMar>
      </w:tblPr>
      <w:tblGrid>
        <w:gridCol w:w="1163"/>
        <w:gridCol w:w="736"/>
        <w:gridCol w:w="2076"/>
        <w:gridCol w:w="1437"/>
        <w:gridCol w:w="3867"/>
      </w:tblGrid>
      <w:tr w14:paraId="3E774F5D">
        <w:tblPrEx>
          <w:tblCellMar>
            <w:top w:w="0" w:type="dxa"/>
            <w:left w:w="108" w:type="dxa"/>
            <w:bottom w:w="0" w:type="dxa"/>
            <w:right w:w="108" w:type="dxa"/>
          </w:tblCellMar>
        </w:tblPrEx>
        <w:trPr>
          <w:trHeight w:val="1059" w:hRule="atLeast"/>
        </w:trPr>
        <w:tc>
          <w:tcPr>
            <w:tcW w:w="9279" w:type="dxa"/>
            <w:gridSpan w:val="5"/>
            <w:tcBorders>
              <w:top w:val="single" w:color="auto" w:sz="4" w:space="0"/>
              <w:left w:val="single" w:color="auto" w:sz="4" w:space="0"/>
              <w:bottom w:val="single" w:color="auto" w:sz="4" w:space="0"/>
              <w:right w:val="single" w:color="auto" w:sz="4" w:space="0"/>
            </w:tcBorders>
            <w:vAlign w:val="center"/>
          </w:tcPr>
          <w:p w14:paraId="4E2F3C0C">
            <w:pPr>
              <w:keepNext w:val="0"/>
              <w:keepLines w:val="0"/>
              <w:pageBreakBefore w:val="0"/>
              <w:widowControl w:val="0"/>
              <w:kinsoku/>
              <w:wordWrap/>
              <w:overflowPunct/>
              <w:topLinePunct w:val="0"/>
              <w:autoSpaceDE/>
              <w:autoSpaceDN/>
              <w:bidi w:val="0"/>
              <w:adjustRightInd/>
              <w:snapToGrid/>
              <w:spacing w:before="312" w:beforeLines="100" w:after="312" w:afterLines="100" w:line="200" w:lineRule="exact"/>
              <w:jc w:val="center"/>
              <w:textAlignment w:val="auto"/>
              <w:outlineLvl w:val="9"/>
              <w:rPr>
                <w:rFonts w:hint="eastAsia" w:ascii="仿宋" w:hAnsi="仿宋" w:eastAsia="仿宋" w:cs="仿宋"/>
                <w:color w:val="auto"/>
                <w:kern w:val="0"/>
                <w:sz w:val="21"/>
                <w:szCs w:val="21"/>
              </w:rPr>
            </w:pPr>
            <w:bookmarkStart w:id="462" w:name="_Toc27179"/>
            <w:bookmarkStart w:id="463" w:name="_Toc282"/>
            <w:r>
              <w:rPr>
                <w:rFonts w:hint="eastAsia" w:ascii="仿宋" w:hAnsi="仿宋" w:eastAsia="仿宋" w:cs="仿宋"/>
                <w:b w:val="0"/>
                <w:bCs w:val="0"/>
                <w:color w:val="auto"/>
                <w:kern w:val="0"/>
                <w:sz w:val="21"/>
                <w:szCs w:val="21"/>
                <w:lang w:eastAsia="zh-CN"/>
              </w:rPr>
              <w:t>窄轨轨道工</w:t>
            </w:r>
            <w:r>
              <w:rPr>
                <w:rFonts w:hint="eastAsia" w:ascii="仿宋" w:hAnsi="仿宋" w:eastAsia="仿宋" w:cs="仿宋"/>
                <w:b w:val="0"/>
                <w:bCs w:val="0"/>
                <w:color w:val="auto"/>
                <w:kern w:val="0"/>
                <w:sz w:val="21"/>
                <w:szCs w:val="21"/>
              </w:rPr>
              <w:t>风险告知卡</w:t>
            </w:r>
            <w:bookmarkEnd w:id="462"/>
            <w:bookmarkEnd w:id="463"/>
          </w:p>
        </w:tc>
      </w:tr>
      <w:tr w14:paraId="5611E871">
        <w:tblPrEx>
          <w:tblCellMar>
            <w:top w:w="0" w:type="dxa"/>
            <w:left w:w="108" w:type="dxa"/>
            <w:bottom w:w="0" w:type="dxa"/>
            <w:right w:w="108" w:type="dxa"/>
          </w:tblCellMar>
        </w:tblPrEx>
        <w:trPr>
          <w:trHeight w:val="1537" w:hRule="atLeast"/>
        </w:trPr>
        <w:tc>
          <w:tcPr>
            <w:tcW w:w="1899" w:type="dxa"/>
            <w:gridSpan w:val="2"/>
            <w:tcBorders>
              <w:top w:val="nil"/>
              <w:left w:val="single" w:color="auto" w:sz="4" w:space="0"/>
              <w:bottom w:val="single" w:color="auto" w:sz="4" w:space="0"/>
              <w:right w:val="single" w:color="auto" w:sz="4" w:space="0"/>
            </w:tcBorders>
            <w:vAlign w:val="center"/>
          </w:tcPr>
          <w:p w14:paraId="7887F2A0">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66E75E2A">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076" w:type="dxa"/>
            <w:tcBorders>
              <w:top w:val="nil"/>
              <w:left w:val="nil"/>
              <w:bottom w:val="single" w:color="auto" w:sz="4" w:space="0"/>
              <w:right w:val="single" w:color="auto" w:sz="4" w:space="0"/>
            </w:tcBorders>
            <w:vAlign w:val="center"/>
          </w:tcPr>
          <w:p w14:paraId="21CC5892">
            <w:pPr>
              <w:keepNext w:val="0"/>
              <w:keepLines w:val="0"/>
              <w:pageBreakBefore w:val="0"/>
              <w:widowControl/>
              <w:kinsoku/>
              <w:wordWrap/>
              <w:overflowPunct/>
              <w:topLinePunct w:val="0"/>
              <w:autoSpaceDE/>
              <w:autoSpaceDN/>
              <w:bidi w:val="0"/>
              <w:adjustRightInd/>
              <w:spacing w:line="400" w:lineRule="exact"/>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冒顶（片帮）、运输、物体打击、职业病危害</w:t>
            </w:r>
          </w:p>
        </w:tc>
        <w:tc>
          <w:tcPr>
            <w:tcW w:w="1437" w:type="dxa"/>
            <w:tcBorders>
              <w:top w:val="nil"/>
              <w:left w:val="nil"/>
              <w:bottom w:val="single" w:color="auto" w:sz="4" w:space="0"/>
              <w:right w:val="single" w:color="auto" w:sz="4" w:space="0"/>
            </w:tcBorders>
            <w:vAlign w:val="center"/>
          </w:tcPr>
          <w:p w14:paraId="48B384F0">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31B718C7">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867" w:type="dxa"/>
            <w:tcBorders>
              <w:top w:val="nil"/>
              <w:left w:val="nil"/>
              <w:bottom w:val="single" w:color="auto" w:sz="4" w:space="0"/>
              <w:right w:val="single" w:color="auto" w:sz="4" w:space="0"/>
            </w:tcBorders>
            <w:vAlign w:val="center"/>
          </w:tcPr>
          <w:p w14:paraId="289B6678">
            <w:pPr>
              <w:keepNext w:val="0"/>
              <w:keepLines w:val="0"/>
              <w:pageBreakBefore w:val="0"/>
              <w:widowControl/>
              <w:kinsoku/>
              <w:wordWrap/>
              <w:overflowPunct/>
              <w:topLinePunct w:val="0"/>
              <w:autoSpaceDE/>
              <w:autoSpaceDN/>
              <w:bidi w:val="0"/>
              <w:adjustRightInd/>
              <w:spacing w:line="400" w:lineRule="exact"/>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7E1432DD">
        <w:tblPrEx>
          <w:tblCellMar>
            <w:top w:w="0" w:type="dxa"/>
            <w:left w:w="108" w:type="dxa"/>
            <w:bottom w:w="0" w:type="dxa"/>
            <w:right w:w="108" w:type="dxa"/>
          </w:tblCellMar>
        </w:tblPrEx>
        <w:trPr>
          <w:trHeight w:val="575"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14:paraId="78B6F299">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304" w:type="dxa"/>
            <w:gridSpan w:val="2"/>
            <w:tcBorders>
              <w:top w:val="single" w:color="auto" w:sz="4" w:space="0"/>
              <w:left w:val="nil"/>
              <w:bottom w:val="single" w:color="auto" w:sz="4" w:space="0"/>
              <w:right w:val="single" w:color="auto" w:sz="4" w:space="0"/>
            </w:tcBorders>
            <w:vAlign w:val="center"/>
          </w:tcPr>
          <w:p w14:paraId="63137D8B">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214C54C4">
        <w:tblPrEx>
          <w:tblCellMar>
            <w:top w:w="0" w:type="dxa"/>
            <w:left w:w="108" w:type="dxa"/>
            <w:bottom w:w="0" w:type="dxa"/>
            <w:right w:w="108" w:type="dxa"/>
          </w:tblCellMar>
        </w:tblPrEx>
        <w:trPr>
          <w:trHeight w:val="520"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14:paraId="30EE6CC9">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未持证上岗</w:t>
            </w:r>
            <w:r>
              <w:rPr>
                <w:rFonts w:hint="eastAsia" w:ascii="仿宋" w:hAnsi="仿宋" w:eastAsia="仿宋" w:cs="仿宋"/>
                <w:color w:val="auto"/>
                <w:kern w:val="0"/>
                <w:sz w:val="21"/>
                <w:szCs w:val="21"/>
                <w:lang w:eastAsia="zh-CN"/>
              </w:rPr>
              <w:t>。</w:t>
            </w:r>
          </w:p>
        </w:tc>
        <w:tc>
          <w:tcPr>
            <w:tcW w:w="5304" w:type="dxa"/>
            <w:gridSpan w:val="2"/>
            <w:tcBorders>
              <w:top w:val="single" w:color="auto" w:sz="4" w:space="0"/>
              <w:left w:val="nil"/>
              <w:bottom w:val="single" w:color="auto" w:sz="4" w:space="0"/>
              <w:right w:val="single" w:color="auto" w:sz="4" w:space="0"/>
            </w:tcBorders>
            <w:vAlign w:val="center"/>
          </w:tcPr>
          <w:p w14:paraId="601B2E8A">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经培训合格后，持证上岗</w:t>
            </w:r>
            <w:r>
              <w:rPr>
                <w:rFonts w:hint="eastAsia" w:ascii="仿宋" w:hAnsi="仿宋" w:eastAsia="仿宋" w:cs="仿宋"/>
                <w:color w:val="auto"/>
                <w:kern w:val="0"/>
                <w:sz w:val="21"/>
                <w:szCs w:val="21"/>
                <w:lang w:eastAsia="zh-CN"/>
              </w:rPr>
              <w:t>。</w:t>
            </w:r>
          </w:p>
        </w:tc>
      </w:tr>
      <w:tr w14:paraId="287378D0">
        <w:tblPrEx>
          <w:tblCellMar>
            <w:top w:w="0" w:type="dxa"/>
            <w:left w:w="108" w:type="dxa"/>
            <w:bottom w:w="0" w:type="dxa"/>
            <w:right w:w="108" w:type="dxa"/>
          </w:tblCellMar>
        </w:tblPrEx>
        <w:trPr>
          <w:trHeight w:val="1000"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14:paraId="2C2861EE">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施工人员进入施工地点前，未检查巷道中有害气体</w:t>
            </w:r>
            <w:r>
              <w:rPr>
                <w:rFonts w:hint="eastAsia" w:ascii="仿宋" w:hAnsi="仿宋" w:eastAsia="仿宋" w:cs="仿宋"/>
                <w:color w:val="auto"/>
                <w:kern w:val="0"/>
                <w:sz w:val="21"/>
                <w:szCs w:val="21"/>
                <w:lang w:eastAsia="zh-CN"/>
              </w:rPr>
              <w:t>、未检查巷道支护情况。</w:t>
            </w:r>
          </w:p>
        </w:tc>
        <w:tc>
          <w:tcPr>
            <w:tcW w:w="5304" w:type="dxa"/>
            <w:gridSpan w:val="2"/>
            <w:tcBorders>
              <w:top w:val="single" w:color="auto" w:sz="4" w:space="0"/>
              <w:left w:val="nil"/>
              <w:bottom w:val="single" w:color="auto" w:sz="4" w:space="0"/>
              <w:right w:val="single" w:color="auto" w:sz="4" w:space="0"/>
            </w:tcBorders>
            <w:vAlign w:val="center"/>
          </w:tcPr>
          <w:p w14:paraId="244010E0">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施工人员进入施工地点前，必须有专人用专用仪器检查巷道中有害气体</w:t>
            </w:r>
            <w:r>
              <w:rPr>
                <w:rFonts w:hint="eastAsia" w:ascii="仿宋" w:hAnsi="仿宋" w:eastAsia="仿宋" w:cs="仿宋"/>
                <w:color w:val="auto"/>
                <w:kern w:val="0"/>
                <w:sz w:val="21"/>
                <w:szCs w:val="21"/>
                <w:lang w:eastAsia="zh-CN"/>
              </w:rPr>
              <w:t>、必须有专人检查巷道支护情况。</w:t>
            </w:r>
          </w:p>
        </w:tc>
      </w:tr>
      <w:tr w14:paraId="100364D1">
        <w:tblPrEx>
          <w:tblCellMar>
            <w:top w:w="0" w:type="dxa"/>
            <w:left w:w="108" w:type="dxa"/>
            <w:bottom w:w="0" w:type="dxa"/>
            <w:right w:w="108" w:type="dxa"/>
          </w:tblCellMar>
        </w:tblPrEx>
        <w:trPr>
          <w:trHeight w:val="1537"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14:paraId="5F0FE638">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用钎子和锤拆除矸石、混凝土道床，钎子和锤滑脱伤人风险。</w:t>
            </w:r>
          </w:p>
        </w:tc>
        <w:tc>
          <w:tcPr>
            <w:tcW w:w="5304" w:type="dxa"/>
            <w:gridSpan w:val="2"/>
            <w:tcBorders>
              <w:top w:val="single" w:color="auto" w:sz="4" w:space="0"/>
              <w:left w:val="nil"/>
              <w:bottom w:val="single" w:color="auto" w:sz="4" w:space="0"/>
              <w:right w:val="single" w:color="auto" w:sz="4" w:space="0"/>
            </w:tcBorders>
            <w:vAlign w:val="center"/>
          </w:tcPr>
          <w:p w14:paraId="5B2710CD">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用钎子和锤拆除歼石、混凝土道床时，打锤人操作不准戴手套，不准和掌钎人站在一条线上</w:t>
            </w:r>
            <w:r>
              <w:rPr>
                <w:rFonts w:hint="eastAsia" w:ascii="仿宋" w:hAnsi="仿宋" w:eastAsia="仿宋" w:cs="仿宋"/>
                <w:color w:val="auto"/>
                <w:kern w:val="0"/>
                <w:sz w:val="21"/>
                <w:szCs w:val="21"/>
                <w:lang w:eastAsia="zh-CN"/>
              </w:rPr>
              <w:t>，造作人员必须戴护目镜。</w:t>
            </w:r>
          </w:p>
        </w:tc>
      </w:tr>
      <w:tr w14:paraId="1005A506">
        <w:tblPrEx>
          <w:tblCellMar>
            <w:top w:w="0" w:type="dxa"/>
            <w:left w:w="108" w:type="dxa"/>
            <w:bottom w:w="0" w:type="dxa"/>
            <w:right w:w="108" w:type="dxa"/>
          </w:tblCellMar>
        </w:tblPrEx>
        <w:trPr>
          <w:trHeight w:val="1028"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14:paraId="5AAEF4B7">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使用撬棍起道或起道钉时压撸挤手</w:t>
            </w:r>
            <w:r>
              <w:rPr>
                <w:rFonts w:hint="eastAsia" w:ascii="仿宋" w:hAnsi="仿宋" w:eastAsia="仿宋" w:cs="仿宋"/>
                <w:color w:val="auto"/>
                <w:kern w:val="0"/>
                <w:sz w:val="21"/>
                <w:szCs w:val="21"/>
                <w:lang w:eastAsia="zh-CN"/>
              </w:rPr>
              <w:t>；砸道钉时，操作不规范伤手风险。</w:t>
            </w:r>
          </w:p>
        </w:tc>
        <w:tc>
          <w:tcPr>
            <w:tcW w:w="5304" w:type="dxa"/>
            <w:gridSpan w:val="2"/>
            <w:tcBorders>
              <w:top w:val="single" w:color="auto" w:sz="4" w:space="0"/>
              <w:left w:val="nil"/>
              <w:bottom w:val="single" w:color="auto" w:sz="4" w:space="0"/>
              <w:right w:val="single" w:color="auto" w:sz="4" w:space="0"/>
            </w:tcBorders>
            <w:vAlign w:val="center"/>
          </w:tcPr>
          <w:p w14:paraId="4E66BF64">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不准手握满把，以防压手</w:t>
            </w:r>
            <w:r>
              <w:rPr>
                <w:rFonts w:hint="eastAsia" w:ascii="仿宋" w:hAnsi="仿宋" w:eastAsia="仿宋" w:cs="仿宋"/>
                <w:color w:val="auto"/>
                <w:kern w:val="0"/>
                <w:sz w:val="21"/>
                <w:szCs w:val="21"/>
                <w:lang w:eastAsia="zh-CN"/>
              </w:rPr>
              <w:t>；栽道钉操作必须手心向上，用锤轻轻稳牢，随后再加力钉进去。</w:t>
            </w:r>
          </w:p>
        </w:tc>
      </w:tr>
      <w:tr w14:paraId="7A750799">
        <w:tblPrEx>
          <w:tblCellMar>
            <w:top w:w="0" w:type="dxa"/>
            <w:left w:w="108" w:type="dxa"/>
            <w:bottom w:w="0" w:type="dxa"/>
            <w:right w:w="108" w:type="dxa"/>
          </w:tblCellMar>
        </w:tblPrEx>
        <w:trPr>
          <w:trHeight w:val="1537"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14:paraId="1DF47C93">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使用起道机或千斤顶时，摆放歪斜滑倒伤人风险。操作人员的头部和手臂在千斤顶、起道机压杆行程范围内。</w:t>
            </w:r>
          </w:p>
        </w:tc>
        <w:tc>
          <w:tcPr>
            <w:tcW w:w="5304" w:type="dxa"/>
            <w:gridSpan w:val="2"/>
            <w:tcBorders>
              <w:top w:val="single" w:color="auto" w:sz="4" w:space="0"/>
              <w:left w:val="nil"/>
              <w:bottom w:val="single" w:color="auto" w:sz="4" w:space="0"/>
              <w:right w:val="single" w:color="auto" w:sz="4" w:space="0"/>
            </w:tcBorders>
            <w:vAlign w:val="center"/>
          </w:tcPr>
          <w:p w14:paraId="2C83BC22">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使用起道机或千斤顶时，要垂直放正摆放牢固，不准歪斜。操作人员的头部和手臂要躲开压杆行程范围。</w:t>
            </w:r>
          </w:p>
        </w:tc>
      </w:tr>
      <w:tr w14:paraId="272883E0">
        <w:tblPrEx>
          <w:tblCellMar>
            <w:top w:w="0" w:type="dxa"/>
            <w:left w:w="108" w:type="dxa"/>
            <w:bottom w:w="0" w:type="dxa"/>
            <w:right w:w="108" w:type="dxa"/>
          </w:tblCellMar>
        </w:tblPrEx>
        <w:trPr>
          <w:trHeight w:val="1304" w:hRule="atLeast"/>
        </w:trPr>
        <w:tc>
          <w:tcPr>
            <w:tcW w:w="1163" w:type="dxa"/>
            <w:tcBorders>
              <w:top w:val="nil"/>
              <w:left w:val="single" w:color="auto" w:sz="4" w:space="0"/>
              <w:bottom w:val="single" w:color="auto" w:sz="4" w:space="0"/>
              <w:right w:val="single" w:color="auto" w:sz="4" w:space="0"/>
            </w:tcBorders>
            <w:vAlign w:val="center"/>
          </w:tcPr>
          <w:p w14:paraId="77401976">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6D3DCDF1">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16" w:type="dxa"/>
            <w:gridSpan w:val="4"/>
            <w:tcBorders>
              <w:top w:val="single" w:color="auto" w:sz="4" w:space="0"/>
              <w:left w:val="nil"/>
              <w:bottom w:val="single" w:color="auto" w:sz="4" w:space="0"/>
              <w:right w:val="single" w:color="auto" w:sz="4" w:space="0"/>
            </w:tcBorders>
            <w:vAlign w:val="center"/>
          </w:tcPr>
          <w:p w14:paraId="2A2A0B6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53E6D0B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365BA882">
        <w:tblPrEx>
          <w:tblCellMar>
            <w:top w:w="0" w:type="dxa"/>
            <w:left w:w="108" w:type="dxa"/>
            <w:bottom w:w="0" w:type="dxa"/>
            <w:right w:w="108" w:type="dxa"/>
          </w:tblCellMar>
        </w:tblPrEx>
        <w:trPr>
          <w:trHeight w:val="2184" w:hRule="atLeast"/>
        </w:trPr>
        <w:tc>
          <w:tcPr>
            <w:tcW w:w="1163" w:type="dxa"/>
            <w:tcBorders>
              <w:top w:val="nil"/>
              <w:left w:val="single" w:color="auto" w:sz="4" w:space="0"/>
              <w:bottom w:val="single" w:color="auto" w:sz="4" w:space="0"/>
              <w:right w:val="single" w:color="auto" w:sz="4" w:space="0"/>
            </w:tcBorders>
            <w:vAlign w:val="center"/>
          </w:tcPr>
          <w:p w14:paraId="38461BB2">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3B10F437">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2B21BB59">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116" w:type="dxa"/>
            <w:gridSpan w:val="4"/>
            <w:tcBorders>
              <w:top w:val="single" w:color="auto" w:sz="4" w:space="0"/>
              <w:left w:val="nil"/>
              <w:bottom w:val="single" w:color="auto" w:sz="4" w:space="0"/>
              <w:right w:val="single" w:color="auto" w:sz="4" w:space="0"/>
            </w:tcBorders>
            <w:vAlign w:val="center"/>
          </w:tcPr>
          <w:p w14:paraId="3CD9255C">
            <w:pPr>
              <w:keepNext w:val="0"/>
              <w:keepLines w:val="0"/>
              <w:pageBreakBefore w:val="0"/>
              <w:widowControl/>
              <w:numPr>
                <w:ilvl w:val="0"/>
                <w:numId w:val="0"/>
              </w:numPr>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发生事故后，严格按照“及时汇报、积极抢救、安全撤离、妥善避灾”原则进行自救、互救</w:t>
            </w:r>
            <w:r>
              <w:rPr>
                <w:rFonts w:hint="eastAsia" w:ascii="仿宋" w:hAnsi="仿宋" w:eastAsia="仿宋" w:cs="仿宋"/>
                <w:color w:val="auto"/>
                <w:kern w:val="0"/>
                <w:sz w:val="21"/>
                <w:szCs w:val="21"/>
                <w:lang w:eastAsia="zh-CN"/>
              </w:rPr>
              <w:t>。</w:t>
            </w:r>
          </w:p>
          <w:p w14:paraId="28535208">
            <w:pPr>
              <w:keepNext w:val="0"/>
              <w:keepLines w:val="0"/>
              <w:pageBreakBefore w:val="0"/>
              <w:widowControl/>
              <w:numPr>
                <w:ilvl w:val="0"/>
                <w:numId w:val="0"/>
              </w:numPr>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抢救伤员时遵循“三先三后”原则，即：对窒息或心跳呼吸停止不久的伤员必须先复苏后搬运，对出血伤员必须先止血后搬运，对骨折伤员先固定后搬运</w:t>
            </w:r>
            <w:r>
              <w:rPr>
                <w:rFonts w:hint="eastAsia" w:ascii="仿宋" w:hAnsi="仿宋" w:eastAsia="仿宋" w:cs="仿宋"/>
                <w:color w:val="auto"/>
                <w:kern w:val="0"/>
                <w:sz w:val="21"/>
                <w:szCs w:val="21"/>
                <w:lang w:eastAsia="zh-CN"/>
              </w:rPr>
              <w:t>。</w:t>
            </w:r>
          </w:p>
          <w:p w14:paraId="4E187DDB">
            <w:pPr>
              <w:keepNext w:val="0"/>
              <w:keepLines w:val="0"/>
              <w:pageBreakBefore w:val="0"/>
              <w:widowControl/>
              <w:numPr>
                <w:ilvl w:val="0"/>
                <w:numId w:val="0"/>
              </w:numPr>
              <w:kinsoku/>
              <w:wordWrap/>
              <w:overflowPunct/>
              <w:topLinePunct w:val="0"/>
              <w:autoSpaceDE/>
              <w:autoSpaceDN/>
              <w:bidi w:val="0"/>
              <w:adjustRightInd/>
              <w:spacing w:line="400" w:lineRule="exact"/>
              <w:ind w:leftChars="0" w:firstLine="420" w:firstLineChars="200"/>
              <w:jc w:val="left"/>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rPr>
              <w:t>3.熟悉全矿井巷道布置情况，牢记避灾路线</w:t>
            </w:r>
            <w:r>
              <w:rPr>
                <w:rFonts w:hint="eastAsia" w:ascii="仿宋" w:hAnsi="仿宋" w:eastAsia="仿宋" w:cs="仿宋"/>
                <w:color w:val="auto"/>
                <w:kern w:val="0"/>
                <w:sz w:val="21"/>
                <w:szCs w:val="21"/>
                <w:lang w:eastAsia="zh-CN"/>
              </w:rPr>
              <w:t>。</w:t>
            </w:r>
          </w:p>
        </w:tc>
      </w:tr>
    </w:tbl>
    <w:p w14:paraId="0D1DAE30">
      <w:pPr>
        <w:keepNext w:val="0"/>
        <w:keepLines w:val="0"/>
        <w:pageBreakBefore w:val="0"/>
        <w:kinsoku/>
        <w:wordWrap/>
        <w:overflowPunct/>
        <w:topLinePunct w:val="0"/>
        <w:autoSpaceDE/>
        <w:autoSpaceDN/>
        <w:bidi w:val="0"/>
        <w:adjustRightInd/>
        <w:textAlignment w:val="auto"/>
        <w:outlineLvl w:val="9"/>
        <w:rPr>
          <w:color w:val="auto"/>
        </w:rPr>
      </w:pPr>
    </w:p>
    <w:tbl>
      <w:tblPr>
        <w:tblStyle w:val="12"/>
        <w:tblW w:w="9315" w:type="dxa"/>
        <w:tblInd w:w="-434" w:type="dxa"/>
        <w:tblLayout w:type="fixed"/>
        <w:tblCellMar>
          <w:top w:w="0" w:type="dxa"/>
          <w:left w:w="108" w:type="dxa"/>
          <w:bottom w:w="0" w:type="dxa"/>
          <w:right w:w="108" w:type="dxa"/>
        </w:tblCellMar>
      </w:tblPr>
      <w:tblGrid>
        <w:gridCol w:w="5485"/>
        <w:gridCol w:w="3830"/>
      </w:tblGrid>
      <w:tr w14:paraId="3260579C">
        <w:tblPrEx>
          <w:tblCellMar>
            <w:top w:w="0" w:type="dxa"/>
            <w:left w:w="108" w:type="dxa"/>
            <w:bottom w:w="0" w:type="dxa"/>
            <w:right w:w="108" w:type="dxa"/>
          </w:tblCellMar>
        </w:tblPrEx>
        <w:trPr>
          <w:trHeight w:val="579" w:hRule="atLeast"/>
        </w:trPr>
        <w:tc>
          <w:tcPr>
            <w:tcW w:w="9315" w:type="dxa"/>
            <w:gridSpan w:val="2"/>
            <w:tcBorders>
              <w:top w:val="single" w:color="auto" w:sz="4" w:space="0"/>
              <w:left w:val="single" w:color="auto" w:sz="4" w:space="0"/>
              <w:bottom w:val="single" w:color="auto" w:sz="4" w:space="0"/>
              <w:right w:val="single" w:color="auto" w:sz="4" w:space="0"/>
            </w:tcBorders>
            <w:vAlign w:val="center"/>
          </w:tcPr>
          <w:p w14:paraId="4B6B983C">
            <w:pPr>
              <w:keepNext w:val="0"/>
              <w:keepLines w:val="0"/>
              <w:pageBreakBefore w:val="0"/>
              <w:widowControl/>
              <w:kinsoku/>
              <w:wordWrap/>
              <w:overflowPunct/>
              <w:topLinePunct w:val="0"/>
              <w:autoSpaceDE/>
              <w:autoSpaceDN/>
              <w:bidi w:val="0"/>
              <w:adjustRightInd/>
              <w:spacing w:before="100" w:beforeAutospacing="1" w:after="100" w:afterAutospacing="1"/>
              <w:ind w:firstLine="3584" w:firstLineChars="17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bCs/>
                <w:color w:val="auto"/>
                <w:kern w:val="0"/>
                <w:sz w:val="21"/>
                <w:szCs w:val="21"/>
                <w:lang w:eastAsia="zh-CN"/>
              </w:rPr>
              <w:t>窄轨轨道工</w:t>
            </w:r>
            <w:r>
              <w:rPr>
                <w:rFonts w:hint="eastAsia" w:ascii="仿宋" w:hAnsi="仿宋" w:eastAsia="仿宋" w:cs="仿宋"/>
                <w:b/>
                <w:bCs/>
                <w:color w:val="auto"/>
                <w:kern w:val="0"/>
                <w:sz w:val="21"/>
                <w:szCs w:val="21"/>
              </w:rPr>
              <w:t>安全提示卡</w:t>
            </w:r>
          </w:p>
        </w:tc>
      </w:tr>
      <w:tr w14:paraId="39D0F98C">
        <w:tblPrEx>
          <w:tblCellMar>
            <w:top w:w="0" w:type="dxa"/>
            <w:left w:w="108" w:type="dxa"/>
            <w:bottom w:w="0" w:type="dxa"/>
            <w:right w:w="108" w:type="dxa"/>
          </w:tblCellMar>
        </w:tblPrEx>
        <w:trPr>
          <w:trHeight w:val="700" w:hRule="atLeast"/>
        </w:trPr>
        <w:tc>
          <w:tcPr>
            <w:tcW w:w="5485" w:type="dxa"/>
            <w:tcBorders>
              <w:top w:val="single" w:color="auto" w:sz="4" w:space="0"/>
              <w:left w:val="single" w:color="auto" w:sz="4" w:space="0"/>
              <w:bottom w:val="single" w:color="auto" w:sz="4" w:space="0"/>
              <w:right w:val="single" w:color="auto" w:sz="4" w:space="0"/>
            </w:tcBorders>
            <w:vAlign w:val="center"/>
          </w:tcPr>
          <w:p w14:paraId="3AAC5E4E">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操作前检查</w:t>
            </w:r>
          </w:p>
        </w:tc>
        <w:tc>
          <w:tcPr>
            <w:tcW w:w="3830" w:type="dxa"/>
            <w:tcBorders>
              <w:top w:val="single" w:color="auto" w:sz="4" w:space="0"/>
              <w:left w:val="nil"/>
              <w:bottom w:val="single" w:color="auto" w:sz="4" w:space="0"/>
              <w:right w:val="single" w:color="auto" w:sz="4" w:space="0"/>
            </w:tcBorders>
            <w:vAlign w:val="center"/>
          </w:tcPr>
          <w:p w14:paraId="491C8F34">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操作后确认</w:t>
            </w:r>
          </w:p>
        </w:tc>
      </w:tr>
      <w:tr w14:paraId="7A39B288">
        <w:tblPrEx>
          <w:tblCellMar>
            <w:top w:w="0" w:type="dxa"/>
            <w:left w:w="108" w:type="dxa"/>
            <w:bottom w:w="0" w:type="dxa"/>
            <w:right w:w="108" w:type="dxa"/>
          </w:tblCellMar>
        </w:tblPrEx>
        <w:trPr>
          <w:trHeight w:val="673" w:hRule="atLeast"/>
        </w:trPr>
        <w:tc>
          <w:tcPr>
            <w:tcW w:w="5485" w:type="dxa"/>
            <w:tcBorders>
              <w:top w:val="nil"/>
              <w:left w:val="single" w:color="auto" w:sz="4" w:space="0"/>
              <w:bottom w:val="single" w:color="auto" w:sz="4" w:space="0"/>
              <w:right w:val="single" w:color="auto" w:sz="4" w:space="0"/>
            </w:tcBorders>
            <w:vAlign w:val="center"/>
          </w:tcPr>
          <w:p w14:paraId="3F8079F8">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1.顶帮（井上作业无此项）</w:t>
            </w:r>
          </w:p>
        </w:tc>
        <w:tc>
          <w:tcPr>
            <w:tcW w:w="3830" w:type="dxa"/>
            <w:tcBorders>
              <w:top w:val="single" w:color="auto" w:sz="4" w:space="0"/>
              <w:left w:val="single" w:color="auto" w:sz="4" w:space="0"/>
              <w:bottom w:val="single" w:color="auto" w:sz="4" w:space="0"/>
              <w:right w:val="single" w:color="auto" w:sz="4" w:space="0"/>
            </w:tcBorders>
            <w:vAlign w:val="center"/>
          </w:tcPr>
          <w:p w14:paraId="2A5854DC">
            <w:pPr>
              <w:keepNext w:val="0"/>
              <w:keepLines w:val="0"/>
              <w:pageBreakBefore w:val="0"/>
              <w:widowControl/>
              <w:kinsoku/>
              <w:wordWrap/>
              <w:overflowPunct/>
              <w:topLinePunct w:val="0"/>
              <w:autoSpaceDE/>
              <w:autoSpaceDN/>
              <w:bidi w:val="0"/>
              <w:adjustRightInd/>
              <w:textAlignment w:val="auto"/>
              <w:outlineLvl w:val="9"/>
              <w:rPr>
                <w:rFonts w:hint="eastAsia" w:ascii="仿宋" w:hAnsi="仿宋" w:eastAsia="仿宋" w:cs="仿宋"/>
                <w:b w:val="0"/>
                <w:bCs w:val="0"/>
                <w:color w:val="auto"/>
                <w:kern w:val="0"/>
                <w:sz w:val="21"/>
                <w:szCs w:val="21"/>
                <w:lang w:eastAsia="zh-CN"/>
              </w:rPr>
            </w:pPr>
            <w:r>
              <w:rPr>
                <w:rFonts w:hint="eastAsia" w:ascii="仿宋" w:hAnsi="仿宋" w:eastAsia="仿宋" w:cs="仿宋"/>
                <w:b w:val="0"/>
                <w:bCs w:val="0"/>
                <w:color w:val="auto"/>
                <w:kern w:val="0"/>
                <w:sz w:val="21"/>
                <w:szCs w:val="21"/>
              </w:rPr>
              <w:t>★1.</w:t>
            </w:r>
            <w:r>
              <w:rPr>
                <w:rFonts w:hint="eastAsia" w:ascii="仿宋" w:hAnsi="仿宋" w:eastAsia="仿宋" w:cs="仿宋"/>
                <w:b w:val="0"/>
                <w:bCs w:val="0"/>
                <w:color w:val="auto"/>
                <w:kern w:val="0"/>
                <w:sz w:val="21"/>
                <w:szCs w:val="21"/>
                <w:lang w:eastAsia="zh-CN"/>
              </w:rPr>
              <w:t>站位</w:t>
            </w:r>
          </w:p>
        </w:tc>
      </w:tr>
      <w:tr w14:paraId="5B66086E">
        <w:tblPrEx>
          <w:tblCellMar>
            <w:top w:w="0" w:type="dxa"/>
            <w:left w:w="108" w:type="dxa"/>
            <w:bottom w:w="0" w:type="dxa"/>
            <w:right w:w="108" w:type="dxa"/>
          </w:tblCellMar>
        </w:tblPrEx>
        <w:trPr>
          <w:trHeight w:val="594" w:hRule="atLeast"/>
        </w:trPr>
        <w:tc>
          <w:tcPr>
            <w:tcW w:w="5485" w:type="dxa"/>
            <w:tcBorders>
              <w:top w:val="nil"/>
              <w:left w:val="single" w:color="auto" w:sz="4" w:space="0"/>
              <w:bottom w:val="single" w:color="auto" w:sz="4" w:space="0"/>
              <w:right w:val="single" w:color="auto" w:sz="4" w:space="0"/>
            </w:tcBorders>
            <w:vAlign w:val="center"/>
          </w:tcPr>
          <w:p w14:paraId="5EB51A4B">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2.防护用品</w:t>
            </w:r>
          </w:p>
        </w:tc>
        <w:tc>
          <w:tcPr>
            <w:tcW w:w="3830" w:type="dxa"/>
            <w:tcBorders>
              <w:top w:val="single" w:color="auto" w:sz="4" w:space="0"/>
              <w:left w:val="single" w:color="auto" w:sz="4" w:space="0"/>
              <w:bottom w:val="single" w:color="000000" w:sz="4" w:space="0"/>
              <w:right w:val="single" w:color="auto" w:sz="4" w:space="0"/>
            </w:tcBorders>
            <w:vAlign w:val="center"/>
          </w:tcPr>
          <w:p w14:paraId="2DDB5C8B">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2.工具、材料</w:t>
            </w:r>
          </w:p>
        </w:tc>
      </w:tr>
      <w:tr w14:paraId="22F3EC71">
        <w:tblPrEx>
          <w:tblCellMar>
            <w:top w:w="0" w:type="dxa"/>
            <w:left w:w="108" w:type="dxa"/>
            <w:bottom w:w="0" w:type="dxa"/>
            <w:right w:w="108" w:type="dxa"/>
          </w:tblCellMar>
        </w:tblPrEx>
        <w:trPr>
          <w:trHeight w:val="577" w:hRule="atLeast"/>
        </w:trPr>
        <w:tc>
          <w:tcPr>
            <w:tcW w:w="5485" w:type="dxa"/>
            <w:tcBorders>
              <w:top w:val="nil"/>
              <w:left w:val="single" w:color="auto" w:sz="4" w:space="0"/>
              <w:bottom w:val="single" w:color="auto" w:sz="4" w:space="0"/>
              <w:right w:val="single" w:color="auto" w:sz="4" w:space="0"/>
            </w:tcBorders>
            <w:vAlign w:val="center"/>
          </w:tcPr>
          <w:p w14:paraId="7EBAD16B">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3.工具、材料</w:t>
            </w:r>
          </w:p>
        </w:tc>
        <w:tc>
          <w:tcPr>
            <w:tcW w:w="3830" w:type="dxa"/>
            <w:tcBorders>
              <w:top w:val="nil"/>
              <w:left w:val="nil"/>
              <w:bottom w:val="single" w:color="auto" w:sz="4" w:space="0"/>
              <w:right w:val="single" w:color="auto" w:sz="4" w:space="0"/>
            </w:tcBorders>
            <w:vAlign w:val="center"/>
          </w:tcPr>
          <w:p w14:paraId="57F9A98A">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p>
        </w:tc>
      </w:tr>
      <w:tr w14:paraId="017C1A6D">
        <w:tblPrEx>
          <w:tblCellMar>
            <w:top w:w="0" w:type="dxa"/>
            <w:left w:w="108" w:type="dxa"/>
            <w:bottom w:w="0" w:type="dxa"/>
            <w:right w:w="108" w:type="dxa"/>
          </w:tblCellMar>
        </w:tblPrEx>
        <w:trPr>
          <w:trHeight w:val="534" w:hRule="atLeast"/>
        </w:trPr>
        <w:tc>
          <w:tcPr>
            <w:tcW w:w="5485" w:type="dxa"/>
            <w:tcBorders>
              <w:top w:val="nil"/>
              <w:left w:val="single" w:color="auto" w:sz="4" w:space="0"/>
              <w:bottom w:val="single" w:color="auto" w:sz="4" w:space="0"/>
              <w:right w:val="single" w:color="auto" w:sz="4" w:space="0"/>
            </w:tcBorders>
            <w:vAlign w:val="center"/>
          </w:tcPr>
          <w:p w14:paraId="22993FF5">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★4.站位</w:t>
            </w:r>
          </w:p>
        </w:tc>
        <w:tc>
          <w:tcPr>
            <w:tcW w:w="3830" w:type="dxa"/>
            <w:tcBorders>
              <w:top w:val="nil"/>
              <w:left w:val="nil"/>
              <w:bottom w:val="single" w:color="auto" w:sz="4" w:space="0"/>
              <w:right w:val="single" w:color="auto" w:sz="4" w:space="0"/>
            </w:tcBorders>
            <w:vAlign w:val="center"/>
          </w:tcPr>
          <w:p w14:paraId="56E0FA91">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p>
        </w:tc>
      </w:tr>
      <w:tr w14:paraId="1880F4D4">
        <w:tblPrEx>
          <w:tblCellMar>
            <w:top w:w="0" w:type="dxa"/>
            <w:left w:w="108" w:type="dxa"/>
            <w:bottom w:w="0" w:type="dxa"/>
            <w:right w:w="108" w:type="dxa"/>
          </w:tblCellMar>
        </w:tblPrEx>
        <w:trPr>
          <w:trHeight w:val="1087" w:hRule="atLeast"/>
        </w:trPr>
        <w:tc>
          <w:tcPr>
            <w:tcW w:w="9315" w:type="dxa"/>
            <w:gridSpan w:val="2"/>
            <w:tcBorders>
              <w:top w:val="single" w:color="auto" w:sz="4" w:space="0"/>
              <w:left w:val="single" w:color="auto" w:sz="4" w:space="0"/>
              <w:bottom w:val="single" w:color="auto" w:sz="4" w:space="0"/>
              <w:right w:val="single" w:color="auto" w:sz="4" w:space="0"/>
            </w:tcBorders>
            <w:vAlign w:val="center"/>
          </w:tcPr>
          <w:p w14:paraId="781F22CC">
            <w:pPr>
              <w:keepNext w:val="0"/>
              <w:keepLines w:val="0"/>
              <w:pageBreakBefore w:val="0"/>
              <w:widowControl/>
              <w:kinsoku/>
              <w:wordWrap/>
              <w:overflowPunct/>
              <w:topLinePunct w:val="0"/>
              <w:autoSpaceDE/>
              <w:autoSpaceDN/>
              <w:bidi w:val="0"/>
              <w:adjustRightInd/>
              <w:ind w:firstLine="411" w:firstLineChars="196"/>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注：第一次按操作前内容逐项检查并确认，存在问题整改后再确认；中间再次操作只检查带“★”部分；任务全部结束后按操作后内容逐项检查并确认。</w:t>
            </w:r>
          </w:p>
        </w:tc>
      </w:tr>
    </w:tbl>
    <w:p w14:paraId="6D1ED120">
      <w:pPr>
        <w:keepNext w:val="0"/>
        <w:keepLines w:val="0"/>
        <w:pageBreakBefore w:val="0"/>
        <w:tabs>
          <w:tab w:val="left" w:pos="3615"/>
          <w:tab w:val="center" w:pos="4314"/>
        </w:tabs>
        <w:kinsoku/>
        <w:wordWrap/>
        <w:overflowPunct/>
        <w:topLinePunct w:val="0"/>
        <w:autoSpaceDE/>
        <w:autoSpaceDN/>
        <w:bidi w:val="0"/>
        <w:adjustRightInd/>
        <w:spacing w:line="420" w:lineRule="exact"/>
        <w:ind w:firstLine="3150" w:firstLineChars="1500"/>
        <w:jc w:val="left"/>
        <w:textAlignment w:val="auto"/>
        <w:outlineLvl w:val="9"/>
        <w:rPr>
          <w:rFonts w:hint="eastAsia" w:ascii="仿宋" w:hAnsi="仿宋" w:eastAsia="仿宋" w:cs="仿宋"/>
          <w:b/>
          <w:color w:val="auto"/>
          <w:sz w:val="24"/>
        </w:rPr>
      </w:pPr>
      <w:r>
        <w:rPr>
          <w:rFonts w:hint="eastAsia" w:ascii="仿宋" w:hAnsi="仿宋" w:eastAsia="仿宋" w:cs="仿宋"/>
          <w:b w:val="0"/>
          <w:bCs w:val="0"/>
          <w:color w:val="auto"/>
          <w:kern w:val="0"/>
          <w:sz w:val="21"/>
          <w:szCs w:val="21"/>
          <w:lang w:eastAsia="zh-CN"/>
        </w:rPr>
        <w:t>窄轨轨道工</w:t>
      </w:r>
      <w:r>
        <w:rPr>
          <w:rFonts w:hint="eastAsia" w:ascii="仿宋" w:hAnsi="仿宋" w:eastAsia="仿宋" w:cs="仿宋"/>
          <w:b w:val="0"/>
          <w:bCs w:val="0"/>
          <w:color w:val="auto"/>
          <w:sz w:val="21"/>
          <w:szCs w:val="21"/>
        </w:rPr>
        <w:t>单元检查表</w:t>
      </w:r>
    </w:p>
    <w:tbl>
      <w:tblPr>
        <w:tblStyle w:val="12"/>
        <w:tblpPr w:leftFromText="180" w:rightFromText="180" w:vertAnchor="text" w:horzAnchor="margin" w:tblpXSpec="center" w:tblpY="202"/>
        <w:tblW w:w="9291" w:type="dxa"/>
        <w:tblInd w:w="13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91"/>
      </w:tblGrid>
      <w:tr w14:paraId="17628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9291" w:type="dxa"/>
            <w:vAlign w:val="center"/>
          </w:tcPr>
          <w:p w14:paraId="10112793">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防护用品</w:t>
            </w:r>
          </w:p>
        </w:tc>
      </w:tr>
      <w:tr w14:paraId="0EC56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exact"/>
        </w:trPr>
        <w:tc>
          <w:tcPr>
            <w:tcW w:w="9291" w:type="dxa"/>
            <w:vAlign w:val="center"/>
          </w:tcPr>
          <w:p w14:paraId="34D4E207">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工器具</w:t>
            </w:r>
          </w:p>
        </w:tc>
      </w:tr>
      <w:tr w14:paraId="126AE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exact"/>
        </w:trPr>
        <w:tc>
          <w:tcPr>
            <w:tcW w:w="9291" w:type="dxa"/>
            <w:vAlign w:val="center"/>
          </w:tcPr>
          <w:p w14:paraId="64A2CBD3">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人员站位</w:t>
            </w:r>
          </w:p>
        </w:tc>
      </w:tr>
      <w:tr w14:paraId="64D69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9291" w:type="dxa"/>
            <w:vAlign w:val="center"/>
          </w:tcPr>
          <w:p w14:paraId="2A40FAE1">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安全设施</w:t>
            </w:r>
          </w:p>
        </w:tc>
      </w:tr>
      <w:tr w14:paraId="53B20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trPr>
        <w:tc>
          <w:tcPr>
            <w:tcW w:w="9291" w:type="dxa"/>
            <w:vAlign w:val="center"/>
          </w:tcPr>
          <w:p w14:paraId="279129EB">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轨道质量</w:t>
            </w:r>
          </w:p>
        </w:tc>
      </w:tr>
      <w:tr w14:paraId="3FBE1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exact"/>
        </w:trPr>
        <w:tc>
          <w:tcPr>
            <w:tcW w:w="9291" w:type="dxa"/>
            <w:vAlign w:val="center"/>
          </w:tcPr>
          <w:p w14:paraId="1E33A931">
            <w:pPr>
              <w:keepNext w:val="0"/>
              <w:keepLines w:val="0"/>
              <w:pageBreakBefore w:val="0"/>
              <w:tabs>
                <w:tab w:val="center" w:pos="4153"/>
                <w:tab w:val="right" w:pos="8306"/>
              </w:tabs>
              <w:kinsoku/>
              <w:wordWrap/>
              <w:overflowPunct/>
              <w:topLinePunct w:val="0"/>
              <w:autoSpaceDE/>
              <w:autoSpaceDN/>
              <w:bidi w:val="0"/>
              <w:adjustRightInd/>
              <w:snapToGrid w:val="0"/>
              <w:spacing w:line="420" w:lineRule="exact"/>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接班后逐项检查并确认，存在问题整改后再确认。</w:t>
            </w:r>
          </w:p>
        </w:tc>
      </w:tr>
    </w:tbl>
    <w:p w14:paraId="01CF9D51">
      <w:pPr>
        <w:keepNext w:val="0"/>
        <w:keepLines w:val="0"/>
        <w:pageBreakBefore w:val="0"/>
        <w:kinsoku/>
        <w:wordWrap/>
        <w:overflowPunct/>
        <w:topLinePunct w:val="0"/>
        <w:autoSpaceDE/>
        <w:autoSpaceDN/>
        <w:bidi w:val="0"/>
        <w:adjustRightInd/>
        <w:spacing w:line="380" w:lineRule="exact"/>
        <w:textAlignment w:val="auto"/>
        <w:outlineLvl w:val="9"/>
        <w:rPr>
          <w:rFonts w:hint="eastAsia" w:ascii="仿宋" w:hAnsi="仿宋" w:eastAsia="仿宋" w:cs="仿宋"/>
          <w:color w:val="auto"/>
          <w:sz w:val="21"/>
          <w:szCs w:val="21"/>
        </w:rPr>
      </w:pPr>
    </w:p>
    <w:tbl>
      <w:tblPr>
        <w:tblStyle w:val="12"/>
        <w:tblW w:w="9340" w:type="dxa"/>
        <w:jc w:val="center"/>
        <w:tblLayout w:type="fixed"/>
        <w:tblCellMar>
          <w:top w:w="0" w:type="dxa"/>
          <w:left w:w="108" w:type="dxa"/>
          <w:bottom w:w="0" w:type="dxa"/>
          <w:right w:w="108" w:type="dxa"/>
        </w:tblCellMar>
      </w:tblPr>
      <w:tblGrid>
        <w:gridCol w:w="795"/>
        <w:gridCol w:w="1341"/>
        <w:gridCol w:w="7204"/>
      </w:tblGrid>
      <w:tr w14:paraId="2FC35FEB">
        <w:tblPrEx>
          <w:tblCellMar>
            <w:top w:w="0" w:type="dxa"/>
            <w:left w:w="108" w:type="dxa"/>
            <w:bottom w:w="0" w:type="dxa"/>
            <w:right w:w="108" w:type="dxa"/>
          </w:tblCellMar>
        </w:tblPrEx>
        <w:trPr>
          <w:trHeight w:val="217" w:hRule="atLeast"/>
          <w:jc w:val="center"/>
        </w:trPr>
        <w:tc>
          <w:tcPr>
            <w:tcW w:w="9340" w:type="dxa"/>
            <w:gridSpan w:val="3"/>
            <w:tcBorders>
              <w:top w:val="single" w:color="auto" w:sz="4" w:space="0"/>
              <w:left w:val="single" w:color="auto" w:sz="4" w:space="0"/>
              <w:bottom w:val="single" w:color="auto" w:sz="4" w:space="0"/>
              <w:right w:val="single" w:color="auto" w:sz="4" w:space="0"/>
            </w:tcBorders>
            <w:vAlign w:val="center"/>
          </w:tcPr>
          <w:p w14:paraId="30336314">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eastAsia="zh-CN"/>
              </w:rPr>
              <w:t>窄轨轨道工操作过程注意事项</w:t>
            </w:r>
          </w:p>
        </w:tc>
      </w:tr>
      <w:tr w14:paraId="11B89D82">
        <w:tblPrEx>
          <w:tblCellMar>
            <w:top w:w="0" w:type="dxa"/>
            <w:left w:w="108" w:type="dxa"/>
            <w:bottom w:w="0" w:type="dxa"/>
            <w:right w:w="108" w:type="dxa"/>
          </w:tblCellMar>
        </w:tblPrEx>
        <w:trPr>
          <w:trHeight w:val="217" w:hRule="atLeast"/>
          <w:jc w:val="center"/>
        </w:trPr>
        <w:tc>
          <w:tcPr>
            <w:tcW w:w="795" w:type="dxa"/>
            <w:tcBorders>
              <w:top w:val="nil"/>
              <w:left w:val="single" w:color="auto" w:sz="4" w:space="0"/>
              <w:bottom w:val="single" w:color="auto" w:sz="4" w:space="0"/>
              <w:right w:val="single" w:color="auto" w:sz="4" w:space="0"/>
            </w:tcBorders>
            <w:vAlign w:val="center"/>
          </w:tcPr>
          <w:p w14:paraId="3EFE2A71">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341" w:type="dxa"/>
            <w:tcBorders>
              <w:top w:val="nil"/>
              <w:left w:val="nil"/>
              <w:bottom w:val="single" w:color="auto" w:sz="4" w:space="0"/>
              <w:right w:val="single" w:color="auto" w:sz="4" w:space="0"/>
            </w:tcBorders>
            <w:vAlign w:val="center"/>
          </w:tcPr>
          <w:p w14:paraId="0BC1354E">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7204" w:type="dxa"/>
            <w:tcBorders>
              <w:top w:val="nil"/>
              <w:left w:val="nil"/>
              <w:bottom w:val="single" w:color="auto" w:sz="4" w:space="0"/>
              <w:right w:val="single" w:color="auto" w:sz="4" w:space="0"/>
            </w:tcBorders>
            <w:vAlign w:val="center"/>
          </w:tcPr>
          <w:p w14:paraId="63DB2754">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14:paraId="14E1960F">
        <w:tblPrEx>
          <w:tblCellMar>
            <w:top w:w="0" w:type="dxa"/>
            <w:left w:w="108" w:type="dxa"/>
            <w:bottom w:w="0" w:type="dxa"/>
            <w:right w:w="108" w:type="dxa"/>
          </w:tblCellMar>
        </w:tblPrEx>
        <w:trPr>
          <w:trHeight w:val="217" w:hRule="atLeast"/>
          <w:jc w:val="center"/>
        </w:trPr>
        <w:tc>
          <w:tcPr>
            <w:tcW w:w="795" w:type="dxa"/>
            <w:vMerge w:val="restart"/>
            <w:tcBorders>
              <w:top w:val="nil"/>
              <w:left w:val="single" w:color="auto" w:sz="4" w:space="0"/>
              <w:bottom w:val="single" w:color="000000" w:sz="4" w:space="0"/>
              <w:right w:val="single" w:color="auto" w:sz="4" w:space="0"/>
            </w:tcBorders>
            <w:vAlign w:val="center"/>
          </w:tcPr>
          <w:p w14:paraId="5CA594A9">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341" w:type="dxa"/>
            <w:tcBorders>
              <w:top w:val="nil"/>
              <w:left w:val="nil"/>
              <w:bottom w:val="single" w:color="auto" w:sz="4" w:space="0"/>
              <w:right w:val="single" w:color="auto" w:sz="4" w:space="0"/>
            </w:tcBorders>
            <w:vAlign w:val="center"/>
          </w:tcPr>
          <w:p w14:paraId="2B36EB22">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看</w:t>
            </w:r>
            <w:r>
              <w:rPr>
                <w:rFonts w:hint="eastAsia" w:ascii="仿宋" w:hAnsi="仿宋" w:eastAsia="仿宋" w:cs="仿宋"/>
                <w:color w:val="auto"/>
                <w:kern w:val="0"/>
                <w:sz w:val="21"/>
                <w:szCs w:val="21"/>
                <w:lang w:eastAsia="zh-CN"/>
              </w:rPr>
              <w:t>防护</w:t>
            </w:r>
          </w:p>
        </w:tc>
        <w:tc>
          <w:tcPr>
            <w:tcW w:w="7204" w:type="dxa"/>
            <w:tcBorders>
              <w:top w:val="nil"/>
              <w:left w:val="nil"/>
              <w:bottom w:val="single" w:color="auto" w:sz="4" w:space="0"/>
              <w:right w:val="single" w:color="auto" w:sz="4" w:space="0"/>
            </w:tcBorders>
            <w:vAlign w:val="center"/>
          </w:tcPr>
          <w:p w14:paraId="3E674D67">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正确使用配备安全防护用品。</w:t>
            </w:r>
          </w:p>
        </w:tc>
      </w:tr>
      <w:tr w14:paraId="390FC448">
        <w:tblPrEx>
          <w:tblCellMar>
            <w:top w:w="0" w:type="dxa"/>
            <w:left w:w="108" w:type="dxa"/>
            <w:bottom w:w="0" w:type="dxa"/>
            <w:right w:w="108" w:type="dxa"/>
          </w:tblCellMar>
        </w:tblPrEx>
        <w:trPr>
          <w:trHeight w:val="217" w:hRule="atLeast"/>
          <w:jc w:val="center"/>
        </w:trPr>
        <w:tc>
          <w:tcPr>
            <w:tcW w:w="795" w:type="dxa"/>
            <w:vMerge w:val="continue"/>
            <w:tcBorders>
              <w:top w:val="nil"/>
              <w:left w:val="single" w:color="auto" w:sz="4" w:space="0"/>
              <w:bottom w:val="single" w:color="000000" w:sz="4" w:space="0"/>
              <w:right w:val="single" w:color="auto" w:sz="4" w:space="0"/>
            </w:tcBorders>
            <w:vAlign w:val="center"/>
          </w:tcPr>
          <w:p w14:paraId="3A781D93">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41" w:type="dxa"/>
            <w:tcBorders>
              <w:top w:val="nil"/>
              <w:left w:val="nil"/>
              <w:bottom w:val="single" w:color="auto" w:sz="4" w:space="0"/>
              <w:right w:val="single" w:color="auto" w:sz="4" w:space="0"/>
            </w:tcBorders>
            <w:vAlign w:val="center"/>
          </w:tcPr>
          <w:p w14:paraId="7638B37D">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看设施</w:t>
            </w:r>
          </w:p>
        </w:tc>
        <w:tc>
          <w:tcPr>
            <w:tcW w:w="7204" w:type="dxa"/>
            <w:tcBorders>
              <w:top w:val="nil"/>
              <w:left w:val="nil"/>
              <w:bottom w:val="single" w:color="auto" w:sz="4" w:space="0"/>
              <w:right w:val="single" w:color="auto" w:sz="4" w:space="0"/>
            </w:tcBorders>
            <w:vAlign w:val="center"/>
          </w:tcPr>
          <w:p w14:paraId="5C8269DC">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检查安全设施</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eastAsia="zh-CN"/>
              </w:rPr>
              <w:t>确保提升运输安全。</w:t>
            </w:r>
          </w:p>
        </w:tc>
      </w:tr>
      <w:tr w14:paraId="7366AA9A">
        <w:tblPrEx>
          <w:tblCellMar>
            <w:top w:w="0" w:type="dxa"/>
            <w:left w:w="108" w:type="dxa"/>
            <w:bottom w:w="0" w:type="dxa"/>
            <w:right w:w="108" w:type="dxa"/>
          </w:tblCellMar>
        </w:tblPrEx>
        <w:trPr>
          <w:trHeight w:val="217" w:hRule="atLeast"/>
          <w:jc w:val="center"/>
        </w:trPr>
        <w:tc>
          <w:tcPr>
            <w:tcW w:w="795" w:type="dxa"/>
            <w:vMerge w:val="continue"/>
            <w:tcBorders>
              <w:top w:val="nil"/>
              <w:left w:val="single" w:color="auto" w:sz="4" w:space="0"/>
              <w:bottom w:val="single" w:color="000000" w:sz="4" w:space="0"/>
              <w:right w:val="single" w:color="auto" w:sz="4" w:space="0"/>
            </w:tcBorders>
            <w:vAlign w:val="center"/>
          </w:tcPr>
          <w:p w14:paraId="217D95A3">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41" w:type="dxa"/>
            <w:tcBorders>
              <w:top w:val="nil"/>
              <w:left w:val="nil"/>
              <w:bottom w:val="single" w:color="auto" w:sz="4" w:space="0"/>
              <w:right w:val="single" w:color="auto" w:sz="4" w:space="0"/>
            </w:tcBorders>
            <w:vAlign w:val="center"/>
          </w:tcPr>
          <w:p w14:paraId="4083A71C">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看车辆</w:t>
            </w:r>
          </w:p>
        </w:tc>
        <w:tc>
          <w:tcPr>
            <w:tcW w:w="7204" w:type="dxa"/>
            <w:tcBorders>
              <w:top w:val="nil"/>
              <w:left w:val="nil"/>
              <w:bottom w:val="single" w:color="auto" w:sz="4" w:space="0"/>
              <w:right w:val="single" w:color="auto" w:sz="4" w:space="0"/>
            </w:tcBorders>
            <w:vAlign w:val="center"/>
          </w:tcPr>
          <w:p w14:paraId="47AC3006">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注意观察车辆</w:t>
            </w:r>
            <w:r>
              <w:rPr>
                <w:rFonts w:hint="eastAsia" w:ascii="仿宋" w:hAnsi="仿宋" w:eastAsia="仿宋" w:cs="仿宋"/>
                <w:color w:val="auto"/>
                <w:kern w:val="0"/>
                <w:sz w:val="21"/>
                <w:szCs w:val="21"/>
                <w:lang w:eastAsia="zh-CN"/>
              </w:rPr>
              <w:t>轨道车辆运行情况</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eastAsia="zh-CN"/>
              </w:rPr>
              <w:t>防止施工时被运行车辆撞伤。</w:t>
            </w:r>
          </w:p>
        </w:tc>
      </w:tr>
      <w:tr w14:paraId="5C79E19B">
        <w:tblPrEx>
          <w:tblCellMar>
            <w:top w:w="0" w:type="dxa"/>
            <w:left w:w="108" w:type="dxa"/>
            <w:bottom w:w="0" w:type="dxa"/>
            <w:right w:w="108" w:type="dxa"/>
          </w:tblCellMar>
        </w:tblPrEx>
        <w:trPr>
          <w:trHeight w:val="353" w:hRule="atLeast"/>
          <w:jc w:val="center"/>
        </w:trPr>
        <w:tc>
          <w:tcPr>
            <w:tcW w:w="795" w:type="dxa"/>
            <w:vMerge w:val="continue"/>
            <w:tcBorders>
              <w:top w:val="nil"/>
              <w:left w:val="single" w:color="auto" w:sz="4" w:space="0"/>
              <w:bottom w:val="single" w:color="000000" w:sz="4" w:space="0"/>
              <w:right w:val="single" w:color="auto" w:sz="4" w:space="0"/>
            </w:tcBorders>
            <w:vAlign w:val="center"/>
          </w:tcPr>
          <w:p w14:paraId="381D7D8D">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41" w:type="dxa"/>
            <w:tcBorders>
              <w:top w:val="nil"/>
              <w:left w:val="nil"/>
              <w:bottom w:val="single" w:color="auto" w:sz="4" w:space="0"/>
              <w:right w:val="single" w:color="auto" w:sz="4" w:space="0"/>
            </w:tcBorders>
            <w:vAlign w:val="center"/>
          </w:tcPr>
          <w:p w14:paraId="596A52A5">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看人员</w:t>
            </w:r>
          </w:p>
        </w:tc>
        <w:tc>
          <w:tcPr>
            <w:tcW w:w="7204" w:type="dxa"/>
            <w:tcBorders>
              <w:top w:val="nil"/>
              <w:left w:val="nil"/>
              <w:bottom w:val="single" w:color="auto" w:sz="4" w:space="0"/>
              <w:right w:val="single" w:color="auto" w:sz="4" w:space="0"/>
            </w:tcBorders>
            <w:vAlign w:val="center"/>
          </w:tcPr>
          <w:p w14:paraId="598F0918">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严格执行“行人不行车，行车不行人”规定</w:t>
            </w:r>
            <w:r>
              <w:rPr>
                <w:rFonts w:hint="eastAsia" w:ascii="仿宋" w:hAnsi="仿宋" w:eastAsia="仿宋" w:cs="仿宋"/>
                <w:color w:val="auto"/>
                <w:kern w:val="0"/>
                <w:sz w:val="21"/>
                <w:szCs w:val="21"/>
                <w:lang w:eastAsia="zh-CN"/>
              </w:rPr>
              <w:t>。</w:t>
            </w:r>
          </w:p>
        </w:tc>
      </w:tr>
      <w:tr w14:paraId="418AD7CC">
        <w:tblPrEx>
          <w:tblCellMar>
            <w:top w:w="0" w:type="dxa"/>
            <w:left w:w="108" w:type="dxa"/>
            <w:bottom w:w="0" w:type="dxa"/>
            <w:right w:w="108" w:type="dxa"/>
          </w:tblCellMar>
        </w:tblPrEx>
        <w:trPr>
          <w:trHeight w:val="217" w:hRule="atLeast"/>
          <w:jc w:val="center"/>
        </w:trPr>
        <w:tc>
          <w:tcPr>
            <w:tcW w:w="795" w:type="dxa"/>
            <w:vMerge w:val="restart"/>
            <w:tcBorders>
              <w:top w:val="nil"/>
              <w:left w:val="single" w:color="auto" w:sz="4" w:space="0"/>
              <w:bottom w:val="single" w:color="000000" w:sz="4" w:space="0"/>
              <w:right w:val="single" w:color="auto" w:sz="4" w:space="0"/>
            </w:tcBorders>
            <w:vAlign w:val="center"/>
          </w:tcPr>
          <w:p w14:paraId="2B0DF4F6">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341" w:type="dxa"/>
            <w:tcBorders>
              <w:top w:val="nil"/>
              <w:left w:val="nil"/>
              <w:bottom w:val="single" w:color="auto" w:sz="4" w:space="0"/>
              <w:right w:val="single" w:color="auto" w:sz="4" w:space="0"/>
            </w:tcBorders>
            <w:vAlign w:val="center"/>
          </w:tcPr>
          <w:p w14:paraId="4A7644EE">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查工具</w:t>
            </w:r>
          </w:p>
        </w:tc>
        <w:tc>
          <w:tcPr>
            <w:tcW w:w="7204" w:type="dxa"/>
            <w:tcBorders>
              <w:top w:val="nil"/>
              <w:left w:val="nil"/>
              <w:bottom w:val="single" w:color="auto" w:sz="4" w:space="0"/>
              <w:right w:val="single" w:color="auto" w:sz="4" w:space="0"/>
            </w:tcBorders>
            <w:vAlign w:val="center"/>
          </w:tcPr>
          <w:p w14:paraId="4820E4DB">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施工前，对工器具进行全面检查。</w:t>
            </w:r>
          </w:p>
        </w:tc>
      </w:tr>
      <w:tr w14:paraId="6CE1AD5E">
        <w:tblPrEx>
          <w:tblCellMar>
            <w:top w:w="0" w:type="dxa"/>
            <w:left w:w="108" w:type="dxa"/>
            <w:bottom w:w="0" w:type="dxa"/>
            <w:right w:w="108" w:type="dxa"/>
          </w:tblCellMar>
        </w:tblPrEx>
        <w:trPr>
          <w:trHeight w:val="217" w:hRule="atLeast"/>
          <w:jc w:val="center"/>
        </w:trPr>
        <w:tc>
          <w:tcPr>
            <w:tcW w:w="795" w:type="dxa"/>
            <w:vMerge w:val="continue"/>
            <w:tcBorders>
              <w:top w:val="nil"/>
              <w:left w:val="single" w:color="auto" w:sz="4" w:space="0"/>
              <w:bottom w:val="single" w:color="000000" w:sz="4" w:space="0"/>
              <w:right w:val="single" w:color="auto" w:sz="4" w:space="0"/>
            </w:tcBorders>
            <w:vAlign w:val="center"/>
          </w:tcPr>
          <w:p w14:paraId="03BCF7D1">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41" w:type="dxa"/>
            <w:tcBorders>
              <w:top w:val="nil"/>
              <w:left w:val="nil"/>
              <w:bottom w:val="single" w:color="auto" w:sz="4" w:space="0"/>
              <w:right w:val="single" w:color="auto" w:sz="4" w:space="0"/>
            </w:tcBorders>
            <w:vAlign w:val="center"/>
          </w:tcPr>
          <w:p w14:paraId="750F385C">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查瓦斯</w:t>
            </w:r>
          </w:p>
        </w:tc>
        <w:tc>
          <w:tcPr>
            <w:tcW w:w="7204" w:type="dxa"/>
            <w:tcBorders>
              <w:top w:val="nil"/>
              <w:left w:val="nil"/>
              <w:bottom w:val="single" w:color="auto" w:sz="4" w:space="0"/>
              <w:right w:val="single" w:color="auto" w:sz="4" w:space="0"/>
            </w:tcBorders>
            <w:vAlign w:val="center"/>
          </w:tcPr>
          <w:p w14:paraId="6B466AD5">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施工前，对施工地点使用专用器具进行瓦斯检查。</w:t>
            </w:r>
          </w:p>
        </w:tc>
      </w:tr>
      <w:tr w14:paraId="6F49C6CA">
        <w:tblPrEx>
          <w:tblCellMar>
            <w:top w:w="0" w:type="dxa"/>
            <w:left w:w="108" w:type="dxa"/>
            <w:bottom w:w="0" w:type="dxa"/>
            <w:right w:w="108" w:type="dxa"/>
          </w:tblCellMar>
        </w:tblPrEx>
        <w:trPr>
          <w:trHeight w:val="342" w:hRule="atLeast"/>
          <w:jc w:val="center"/>
        </w:trPr>
        <w:tc>
          <w:tcPr>
            <w:tcW w:w="795" w:type="dxa"/>
            <w:tcBorders>
              <w:top w:val="nil"/>
              <w:left w:val="single" w:color="auto" w:sz="4" w:space="0"/>
              <w:bottom w:val="single" w:color="auto" w:sz="4" w:space="0"/>
              <w:right w:val="single" w:color="auto" w:sz="4" w:space="0"/>
            </w:tcBorders>
            <w:vAlign w:val="center"/>
          </w:tcPr>
          <w:p w14:paraId="74240B43">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341" w:type="dxa"/>
            <w:tcBorders>
              <w:top w:val="nil"/>
              <w:left w:val="nil"/>
              <w:bottom w:val="single" w:color="auto" w:sz="4" w:space="0"/>
              <w:right w:val="single" w:color="auto" w:sz="4" w:space="0"/>
            </w:tcBorders>
            <w:vAlign w:val="center"/>
          </w:tcPr>
          <w:p w14:paraId="4367ADA5">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搬运</w:t>
            </w:r>
          </w:p>
        </w:tc>
        <w:tc>
          <w:tcPr>
            <w:tcW w:w="7204" w:type="dxa"/>
            <w:tcBorders>
              <w:top w:val="nil"/>
              <w:left w:val="nil"/>
              <w:bottom w:val="single" w:color="auto" w:sz="4" w:space="0"/>
              <w:right w:val="single" w:color="auto" w:sz="4" w:space="0"/>
            </w:tcBorders>
            <w:vAlign w:val="center"/>
          </w:tcPr>
          <w:p w14:paraId="6A36BAA1">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装卸钢轨时要由一个喊号，一头先起或一头先放</w:t>
            </w:r>
            <w:r>
              <w:rPr>
                <w:rFonts w:hint="eastAsia" w:ascii="仿宋" w:hAnsi="仿宋" w:eastAsia="仿宋" w:cs="仿宋"/>
                <w:color w:val="auto"/>
                <w:kern w:val="0"/>
                <w:sz w:val="21"/>
                <w:szCs w:val="21"/>
              </w:rPr>
              <w:t>。</w:t>
            </w:r>
          </w:p>
        </w:tc>
      </w:tr>
      <w:tr w14:paraId="0DC042C0">
        <w:tblPrEx>
          <w:tblCellMar>
            <w:top w:w="0" w:type="dxa"/>
            <w:left w:w="108" w:type="dxa"/>
            <w:bottom w:w="0" w:type="dxa"/>
            <w:right w:w="108" w:type="dxa"/>
          </w:tblCellMar>
        </w:tblPrEx>
        <w:trPr>
          <w:trHeight w:val="571" w:hRule="atLeast"/>
          <w:jc w:val="center"/>
        </w:trPr>
        <w:tc>
          <w:tcPr>
            <w:tcW w:w="795" w:type="dxa"/>
            <w:tcBorders>
              <w:top w:val="nil"/>
              <w:left w:val="single" w:color="auto" w:sz="4" w:space="0"/>
              <w:bottom w:val="single" w:color="auto" w:sz="4" w:space="0"/>
              <w:right w:val="single" w:color="auto" w:sz="4" w:space="0"/>
            </w:tcBorders>
            <w:vAlign w:val="center"/>
          </w:tcPr>
          <w:p w14:paraId="70F2CF2A">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341" w:type="dxa"/>
            <w:tcBorders>
              <w:top w:val="nil"/>
              <w:left w:val="nil"/>
              <w:bottom w:val="single" w:color="auto" w:sz="4" w:space="0"/>
              <w:right w:val="single" w:color="auto" w:sz="4" w:space="0"/>
            </w:tcBorders>
            <w:vAlign w:val="center"/>
          </w:tcPr>
          <w:p w14:paraId="60CC4A4F">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装车</w:t>
            </w:r>
          </w:p>
        </w:tc>
        <w:tc>
          <w:tcPr>
            <w:tcW w:w="7204" w:type="dxa"/>
            <w:tcBorders>
              <w:top w:val="nil"/>
              <w:left w:val="nil"/>
              <w:bottom w:val="single" w:color="auto" w:sz="4" w:space="0"/>
              <w:right w:val="single" w:color="auto" w:sz="4" w:space="0"/>
            </w:tcBorders>
            <w:vAlign w:val="center"/>
          </w:tcPr>
          <w:p w14:paraId="292AC05F">
            <w:pPr>
              <w:keepNext w:val="0"/>
              <w:keepLines w:val="0"/>
              <w:pageBreakBefore w:val="0"/>
              <w:kinsoku/>
              <w:wordWrap/>
              <w:overflowPunct/>
              <w:topLinePunct w:val="0"/>
              <w:autoSpaceDE/>
              <w:autoSpaceDN/>
              <w:bidi w:val="0"/>
              <w:adjustRightInd/>
              <w:spacing w:line="440" w:lineRule="exac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sz w:val="21"/>
                <w:szCs w:val="21"/>
                <w:lang w:eastAsia="zh-CN"/>
              </w:rPr>
              <w:t>长料</w:t>
            </w:r>
            <w:r>
              <w:rPr>
                <w:rFonts w:hint="eastAsia" w:ascii="仿宋" w:hAnsi="仿宋" w:eastAsia="仿宋" w:cs="仿宋"/>
                <w:color w:val="auto"/>
                <w:sz w:val="21"/>
                <w:szCs w:val="21"/>
              </w:rPr>
              <w:t>放在平板车的中间位置，然后再逐根向一侧调整，以防止长料滑落。</w:t>
            </w:r>
            <w:r>
              <w:rPr>
                <w:rFonts w:hint="eastAsia" w:ascii="仿宋" w:hAnsi="仿宋" w:eastAsia="仿宋" w:cs="仿宋"/>
                <w:color w:val="auto"/>
                <w:sz w:val="21"/>
                <w:szCs w:val="21"/>
                <w:lang w:eastAsia="zh-CN"/>
              </w:rPr>
              <w:t>长料装车</w:t>
            </w:r>
            <w:r>
              <w:rPr>
                <w:rFonts w:hint="eastAsia" w:ascii="仿宋" w:hAnsi="仿宋" w:eastAsia="仿宋" w:cs="仿宋"/>
                <w:color w:val="auto"/>
                <w:sz w:val="21"/>
                <w:szCs w:val="21"/>
              </w:rPr>
              <w:t>摆放最多不能超过4层。长料的装车高度不能超过1.2米（轨面以上）</w:t>
            </w:r>
            <w:r>
              <w:rPr>
                <w:rFonts w:hint="eastAsia" w:ascii="仿宋" w:hAnsi="仿宋" w:eastAsia="仿宋" w:cs="仿宋"/>
                <w:color w:val="auto"/>
                <w:sz w:val="21"/>
                <w:szCs w:val="21"/>
                <w:lang w:eastAsia="zh-CN"/>
              </w:rPr>
              <w:t>。</w:t>
            </w:r>
          </w:p>
        </w:tc>
      </w:tr>
      <w:tr w14:paraId="489845E1">
        <w:tblPrEx>
          <w:tblCellMar>
            <w:top w:w="0" w:type="dxa"/>
            <w:left w:w="108" w:type="dxa"/>
            <w:bottom w:w="0" w:type="dxa"/>
            <w:right w:w="108" w:type="dxa"/>
          </w:tblCellMar>
        </w:tblPrEx>
        <w:trPr>
          <w:trHeight w:val="536" w:hRule="atLeast"/>
          <w:jc w:val="center"/>
        </w:trPr>
        <w:tc>
          <w:tcPr>
            <w:tcW w:w="795" w:type="dxa"/>
            <w:tcBorders>
              <w:top w:val="nil"/>
              <w:left w:val="single" w:color="auto" w:sz="4" w:space="0"/>
              <w:bottom w:val="single" w:color="auto" w:sz="4" w:space="0"/>
              <w:right w:val="single" w:color="auto" w:sz="4" w:space="0"/>
            </w:tcBorders>
            <w:vAlign w:val="center"/>
          </w:tcPr>
          <w:p w14:paraId="75942B9B">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p>
        </w:tc>
        <w:tc>
          <w:tcPr>
            <w:tcW w:w="1341" w:type="dxa"/>
            <w:tcBorders>
              <w:top w:val="nil"/>
              <w:left w:val="nil"/>
              <w:bottom w:val="single" w:color="auto" w:sz="4" w:space="0"/>
              <w:right w:val="single" w:color="auto" w:sz="4" w:space="0"/>
            </w:tcBorders>
            <w:vAlign w:val="center"/>
          </w:tcPr>
          <w:p w14:paraId="744AD3AC">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7204" w:type="dxa"/>
            <w:tcBorders>
              <w:top w:val="nil"/>
              <w:left w:val="nil"/>
              <w:bottom w:val="single" w:color="auto" w:sz="4" w:space="0"/>
              <w:right w:val="single" w:color="auto" w:sz="4" w:space="0"/>
            </w:tcBorders>
            <w:vAlign w:val="center"/>
          </w:tcPr>
          <w:p w14:paraId="601A96B8">
            <w:pPr>
              <w:keepNext w:val="0"/>
              <w:keepLines w:val="0"/>
              <w:pageBreakBefore w:val="0"/>
              <w:widowControl/>
              <w:kinsoku/>
              <w:wordWrap/>
              <w:overflowPunct/>
              <w:topLinePunct w:val="0"/>
              <w:autoSpaceDE/>
              <w:autoSpaceDN/>
              <w:bidi w:val="0"/>
              <w:adjustRightInd/>
              <w:jc w:val="left"/>
              <w:textAlignment w:val="auto"/>
              <w:outlineLvl w:val="9"/>
              <w:rPr>
                <w:rFonts w:hint="default"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eastAsia="zh-CN"/>
              </w:rPr>
              <w:t>多人进行捣固时，人员间距不少</w:t>
            </w:r>
            <w:r>
              <w:rPr>
                <w:rFonts w:hint="eastAsia" w:ascii="仿宋" w:hAnsi="仿宋" w:eastAsia="仿宋" w:cs="仿宋"/>
                <w:color w:val="auto"/>
                <w:kern w:val="0"/>
                <w:sz w:val="21"/>
                <w:szCs w:val="21"/>
                <w:lang w:val="en-US" w:eastAsia="zh-CN"/>
              </w:rPr>
              <w:t>2米；进行打锤时，大锤人与掌钎人不能在同一线上。</w:t>
            </w:r>
          </w:p>
        </w:tc>
      </w:tr>
    </w:tbl>
    <w:p w14:paraId="337D584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p>
    <w:p w14:paraId="6802C55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一、一般规定</w:t>
      </w:r>
    </w:p>
    <w:p w14:paraId="3FA58EB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（一）入井、乘罐注意事项</w:t>
      </w:r>
    </w:p>
    <w:p w14:paraId="2E8A44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14:paraId="194B16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14:paraId="7AB173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14:paraId="508E2F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14:paraId="010D468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（二）井下行走、乘坐架空乘人装置注意事项</w:t>
      </w:r>
    </w:p>
    <w:p w14:paraId="7909DA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14:paraId="145F36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14:paraId="6A5CB85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14:paraId="4FA0C40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14:paraId="3EBCEA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14:paraId="76051EC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14:paraId="48782F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14:paraId="7795CB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14:paraId="40F0591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770D227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2EB567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71D68E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559644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37DCE3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5869D0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09BA73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1DDCAA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2034E2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6B165A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7D88E5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01BA4E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29F0A0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4F1C00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475D81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0539B5E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13991A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2CA8E1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526FB9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7553DD7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6CE50D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25B4639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042E8E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7678E16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0AF92C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0C1B04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560D75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2090204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2721A5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3A803A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6B5CA0B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5F84B3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597333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0E1BB9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0C737B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4B4431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02FB86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758ECD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3F6CFA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7A1F92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46D2CD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54E4AF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2DD37E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4726CE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25385F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5B2214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1983DB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0CC28E8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三、安全风险辨识与管控措施</w:t>
      </w:r>
    </w:p>
    <w:p w14:paraId="707FBDB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（一）通用部分</w:t>
      </w:r>
    </w:p>
    <w:p w14:paraId="17DF8C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1.风险描述：矿井存在水灾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风险。</w:t>
      </w:r>
    </w:p>
    <w:p w14:paraId="7CEB316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事故时，根据调度室应急语音广播通知要求，按避灾路线升井</w:t>
      </w:r>
      <w:r>
        <w:rPr>
          <w:rFonts w:hint="eastAsia" w:ascii="仿宋" w:hAnsi="仿宋" w:eastAsia="仿宋" w:cs="仿宋"/>
          <w:color w:val="auto"/>
          <w:sz w:val="28"/>
          <w:szCs w:val="28"/>
          <w:lang w:eastAsia="zh-CN"/>
        </w:rPr>
        <w:t>。</w:t>
      </w:r>
    </w:p>
    <w:p w14:paraId="23CD68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避火灾路线：煤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2BE4B5C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避水灾路线：煤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六采轨道石门→-450运输大巷（途径自救器补给站）→集中轨道上山→-313水平巷道→主井通道→主井下井口→地面。</w:t>
      </w:r>
    </w:p>
    <w:p w14:paraId="4E6D98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2.风险描述：矿井存在停电、停风风险。</w:t>
      </w:r>
    </w:p>
    <w:p w14:paraId="1FF121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机电工区打开主井防爆门利用自然风压通风；井下工作人员撤至进风巷内，根据调度室应急语音广播通知要求，按避灾路线撤至副井底，根据实际情况等待救援或沿主副井梯子间升井。</w:t>
      </w:r>
    </w:p>
    <w:p w14:paraId="725E23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b w:val="0"/>
          <w:bCs w:val="0"/>
          <w:color w:val="auto"/>
          <w:sz w:val="28"/>
          <w:szCs w:val="28"/>
          <w:lang w:val="en-US" w:eastAsia="zh-CN"/>
        </w:rPr>
        <w:t>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67869A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3.风险描述：矿井存在瓦斯、煤尘爆炸风险。</w:t>
      </w:r>
    </w:p>
    <w:p w14:paraId="5D658D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eastAsia="zh-CN"/>
        </w:rPr>
        <w:t>。</w:t>
      </w:r>
    </w:p>
    <w:p w14:paraId="4DF0B4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避瓦斯、煤尘爆炸</w:t>
      </w:r>
      <w:r>
        <w:rPr>
          <w:rFonts w:hint="eastAsia" w:ascii="仿宋" w:hAnsi="仿宋" w:eastAsia="仿宋" w:cs="仿宋"/>
          <w:b w:val="0"/>
          <w:bCs w:val="0"/>
          <w:color w:val="auto"/>
          <w:sz w:val="28"/>
          <w:szCs w:val="28"/>
          <w:lang w:val="en-US" w:eastAsia="zh-CN"/>
        </w:rPr>
        <w:t>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14:paraId="7332A4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.风险描述：施工现场顶板破碎，支护网生锈开裂，存在漏顶片帮伤人的风险。</w:t>
      </w:r>
    </w:p>
    <w:p w14:paraId="49D1E9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管控措施：加强顶板排查管理，发现顶帮网开裂锚杆（索）失效时及时汇报进行补打。使用长把工具及时找掉危岩活矸。</w:t>
      </w:r>
    </w:p>
    <w:p w14:paraId="0B5BBB0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（二）专用部分</w:t>
      </w:r>
    </w:p>
    <w:p w14:paraId="265BA8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14:paraId="1B89E4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①风险描述：防护用品不完好，不按规定佩带，存在人员受伤的风险。</w:t>
      </w:r>
    </w:p>
    <w:p w14:paraId="314B8B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管控措施：检查好防护用品，确保齐全完好，作业前按规定佩带好安全防护用品。</w:t>
      </w:r>
    </w:p>
    <w:p w14:paraId="549730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②风险描述：工具材料不齐全完好，存在设备检修不到位或人员伤亡的风险。</w:t>
      </w:r>
    </w:p>
    <w:p w14:paraId="7EE631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管控措施：操作前，工具材料准备齐全完好。</w:t>
      </w:r>
    </w:p>
    <w:p w14:paraId="70F685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③风险描述：</w:t>
      </w:r>
      <w:r>
        <w:rPr>
          <w:rFonts w:hint="eastAsia" w:ascii="仿宋" w:hAnsi="仿宋" w:eastAsia="仿宋" w:cs="仿宋"/>
          <w:color w:val="auto"/>
          <w:sz w:val="28"/>
          <w:szCs w:val="28"/>
          <w:lang w:eastAsia="zh-CN"/>
        </w:rPr>
        <w:t>施工人员进入施工地点前，未检查巷道中的有害气体和支护情况。</w:t>
      </w:r>
    </w:p>
    <w:p w14:paraId="61DBFD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施工前，必须有专人检查巷道中有害气体和支护情况，排除不安全隐患后方可进入施工地点。</w:t>
      </w:r>
    </w:p>
    <w:p w14:paraId="0B6EF7B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2BDBE2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①风险描述：人员站位不当或工具不完好导致受伤。</w:t>
      </w:r>
    </w:p>
    <w:p w14:paraId="720F5F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施工时人员必须间隔</w:t>
      </w:r>
      <w:r>
        <w:rPr>
          <w:rFonts w:hint="eastAsia" w:ascii="仿宋" w:hAnsi="仿宋" w:eastAsia="仿宋" w:cs="仿宋"/>
          <w:color w:val="auto"/>
          <w:sz w:val="28"/>
          <w:szCs w:val="28"/>
          <w:lang w:val="en-US" w:eastAsia="zh-CN"/>
        </w:rPr>
        <w:t>2米以上</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确保施工（打锤、捣固）期间人员的安全距离。打锤时，打锤人员与掌钎人严禁站在一条线上，防止走锤伤人；工具、器具使用前必须</w:t>
      </w:r>
      <w:r>
        <w:rPr>
          <w:rFonts w:hint="eastAsia" w:ascii="仿宋" w:hAnsi="仿宋" w:eastAsia="仿宋" w:cs="仿宋"/>
          <w:color w:val="auto"/>
          <w:sz w:val="28"/>
          <w:szCs w:val="28"/>
        </w:rPr>
        <w:t>对其进行全面检查，检查各部件是否齐全、灵活、可靠，发现问题及时处理，处理好以后方可使用。</w:t>
      </w:r>
    </w:p>
    <w:p w14:paraId="648CEF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14:paraId="662781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14:paraId="2AC4B5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③风险描述：</w:t>
      </w:r>
      <w:r>
        <w:rPr>
          <w:rFonts w:hint="eastAsia" w:ascii="仿宋" w:hAnsi="仿宋" w:eastAsia="仿宋" w:cs="仿宋"/>
          <w:color w:val="auto"/>
          <w:sz w:val="28"/>
          <w:szCs w:val="28"/>
          <w:lang w:eastAsia="zh-CN"/>
        </w:rPr>
        <w:t>施工时，施工地点两端无监护人员。</w:t>
      </w:r>
    </w:p>
    <w:p w14:paraId="3DB5A8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施工时，施工地点两端</w:t>
      </w:r>
      <w:r>
        <w:rPr>
          <w:rFonts w:hint="eastAsia" w:ascii="仿宋" w:hAnsi="仿宋" w:eastAsia="仿宋" w:cs="仿宋"/>
          <w:color w:val="auto"/>
          <w:sz w:val="28"/>
          <w:szCs w:val="28"/>
          <w:lang w:val="en-US" w:eastAsia="zh-CN"/>
        </w:rPr>
        <w:t>20米以外地点必须有监护人员，并且有防护装置及灵敏可靠的信号装置。</w:t>
      </w:r>
    </w:p>
    <w:p w14:paraId="088C3E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3.操作后</w:t>
      </w:r>
    </w:p>
    <w:p w14:paraId="6CE1EA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w:t>
      </w:r>
      <w:r>
        <w:rPr>
          <w:rFonts w:hint="eastAsia" w:ascii="仿宋" w:hAnsi="仿宋" w:eastAsia="仿宋" w:cs="仿宋"/>
          <w:color w:val="auto"/>
          <w:sz w:val="28"/>
          <w:szCs w:val="28"/>
          <w:lang w:eastAsia="zh-CN"/>
        </w:rPr>
        <w:t>安全设施</w:t>
      </w:r>
      <w:r>
        <w:rPr>
          <w:rFonts w:hint="eastAsia" w:ascii="仿宋" w:hAnsi="仿宋" w:eastAsia="仿宋" w:cs="仿宋"/>
          <w:color w:val="auto"/>
          <w:sz w:val="28"/>
          <w:szCs w:val="28"/>
        </w:rPr>
        <w:t>检修不到位，零部件缺失、连接部位不完好等。</w:t>
      </w:r>
    </w:p>
    <w:p w14:paraId="1B394D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安全</w:t>
      </w:r>
      <w:r>
        <w:rPr>
          <w:rFonts w:hint="eastAsia" w:ascii="仿宋" w:hAnsi="仿宋" w:eastAsia="仿宋" w:cs="仿宋"/>
          <w:color w:val="auto"/>
          <w:sz w:val="28"/>
          <w:szCs w:val="28"/>
        </w:rPr>
        <w:t>设备检修到位，保证检修质量，因特殊原因造成</w:t>
      </w:r>
      <w:r>
        <w:rPr>
          <w:rFonts w:hint="eastAsia" w:ascii="仿宋" w:hAnsi="仿宋" w:eastAsia="仿宋" w:cs="仿宋"/>
          <w:color w:val="auto"/>
          <w:sz w:val="28"/>
          <w:szCs w:val="28"/>
          <w:lang w:eastAsia="zh-CN"/>
        </w:rPr>
        <w:t>安全</w:t>
      </w:r>
      <w:r>
        <w:rPr>
          <w:rFonts w:hint="eastAsia" w:ascii="仿宋" w:hAnsi="仿宋" w:eastAsia="仿宋" w:cs="仿宋"/>
          <w:color w:val="auto"/>
          <w:sz w:val="28"/>
          <w:szCs w:val="28"/>
        </w:rPr>
        <w:t>设备未能检修完成时，应及时告知运行人员，严禁运行。</w:t>
      </w:r>
    </w:p>
    <w:p w14:paraId="4F0FD7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w:t>
      </w:r>
      <w:r>
        <w:rPr>
          <w:rFonts w:hint="eastAsia" w:ascii="仿宋" w:hAnsi="仿宋" w:eastAsia="仿宋" w:cs="仿宋"/>
          <w:color w:val="auto"/>
          <w:sz w:val="28"/>
          <w:szCs w:val="28"/>
          <w:lang w:eastAsia="zh-CN"/>
        </w:rPr>
        <w:t>轨道上</w:t>
      </w:r>
      <w:r>
        <w:rPr>
          <w:rFonts w:hint="eastAsia" w:ascii="仿宋" w:hAnsi="仿宋" w:eastAsia="仿宋" w:cs="仿宋"/>
          <w:color w:val="auto"/>
          <w:sz w:val="28"/>
          <w:szCs w:val="28"/>
        </w:rPr>
        <w:t>，存在</w:t>
      </w:r>
      <w:r>
        <w:rPr>
          <w:rFonts w:hint="eastAsia" w:ascii="仿宋" w:hAnsi="仿宋" w:eastAsia="仿宋" w:cs="仿宋"/>
          <w:color w:val="auto"/>
          <w:sz w:val="28"/>
          <w:szCs w:val="28"/>
          <w:lang w:eastAsia="zh-CN"/>
        </w:rPr>
        <w:t>机车掉道</w:t>
      </w:r>
      <w:r>
        <w:rPr>
          <w:rFonts w:hint="eastAsia" w:ascii="仿宋" w:hAnsi="仿宋" w:eastAsia="仿宋" w:cs="仿宋"/>
          <w:color w:val="auto"/>
          <w:sz w:val="28"/>
          <w:szCs w:val="28"/>
        </w:rPr>
        <w:t>的风险。</w:t>
      </w:r>
    </w:p>
    <w:p w14:paraId="2F3FA4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14:paraId="22684F4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四、操作程序及安全规定</w:t>
      </w:r>
    </w:p>
    <w:p w14:paraId="10B6EF6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（一）作业前检查：</w:t>
      </w:r>
    </w:p>
    <w:p w14:paraId="6E2391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w:t>
      </w:r>
    </w:p>
    <w:p w14:paraId="6E1143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2.防护用品：防护用品齐全完好。</w:t>
      </w:r>
    </w:p>
    <w:p w14:paraId="5AF76F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3.工具、材料：工具、材料齐全完好。</w:t>
      </w:r>
    </w:p>
    <w:p w14:paraId="07F9CE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4.监护人：监护人到位。</w:t>
      </w:r>
    </w:p>
    <w:p w14:paraId="1D31F5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5.站位：人员站位正确，后退路畅通。</w:t>
      </w:r>
    </w:p>
    <w:p w14:paraId="1F6AE53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（二）单元表检查：</w:t>
      </w:r>
    </w:p>
    <w:p w14:paraId="5C1C02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1.防护用品：防护用品齐全可靠。</w:t>
      </w:r>
    </w:p>
    <w:p w14:paraId="148C0DB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2.工器具：工器具完好，器具闭锁可靠。</w:t>
      </w:r>
    </w:p>
    <w:p w14:paraId="5ADA9B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3.人员站位：人员之间间距不少于2米；打锤时，大锤人与掌锤人不能站在一条线上。</w:t>
      </w:r>
    </w:p>
    <w:p w14:paraId="038F25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3.安全设施：安全设施灵敏可靠。</w:t>
      </w:r>
    </w:p>
    <w:p w14:paraId="362EAB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4.轨道质量：轨道质量合格，能够满足提升运输。</w:t>
      </w:r>
    </w:p>
    <w:p w14:paraId="62B0AF3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三</w:t>
      </w:r>
      <w:r>
        <w:rPr>
          <w:rFonts w:hint="eastAsia" w:ascii="仿宋" w:hAnsi="仿宋" w:eastAsia="仿宋" w:cs="仿宋"/>
          <w:b/>
          <w:bCs/>
          <w:color w:val="auto"/>
          <w:sz w:val="28"/>
          <w:szCs w:val="28"/>
        </w:rPr>
        <w:t>）操作过程注意事项：</w:t>
      </w:r>
    </w:p>
    <w:p w14:paraId="3BF0D2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14:paraId="5CBCDD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2.斜巷作业：斜巷作业时，上部车场各出口处，应设警示标志，倾角大于15°时，下方不得有人同时作业。</w:t>
      </w:r>
    </w:p>
    <w:p w14:paraId="04CD465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3.高处作业：必须佩戴安全帽和保险带，随身工具必须有防脱落措施。</w:t>
      </w:r>
    </w:p>
    <w:p w14:paraId="19383E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4.站位：时刻保证正确站位，确保后退路畅通，注意顶帮支护安全。</w:t>
      </w:r>
    </w:p>
    <w:p w14:paraId="1FDE7C2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四</w:t>
      </w:r>
      <w:r>
        <w:rPr>
          <w:rFonts w:hint="eastAsia" w:ascii="仿宋" w:hAnsi="仿宋" w:eastAsia="仿宋" w:cs="仿宋"/>
          <w:b/>
          <w:bCs/>
          <w:color w:val="auto"/>
          <w:sz w:val="28"/>
          <w:szCs w:val="28"/>
        </w:rPr>
        <w:t>）作业后确认：</w:t>
      </w:r>
    </w:p>
    <w:p w14:paraId="2ED6BF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1.零部件连接：各零部件齐全。</w:t>
      </w:r>
    </w:p>
    <w:p w14:paraId="75DFC1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2.工具、材料：工具已清点，无缺漏；材料已清理。</w:t>
      </w:r>
    </w:p>
    <w:p w14:paraId="1A9D9C3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14:paraId="4043F5E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事故经过：</w:t>
      </w:r>
    </w:p>
    <w:p w14:paraId="1A326F7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1999年11月1日6时20分，掘一区值班的万福明点名后， 统一安排生产，并提出安全要求后，负责六采轨道施工的大班长曲永军，安排了该迎头早班的十名同志，起底砌料石反底拱各３米的任务。该班在小班长刘茂栋的带领下，在９时30分时，相继完成了离迎头3米外，3米范围内用扒装机扒矸，再打眼装药、放炮等工作。９时40分到10时10分， 崔海龙等有关科室6名人员，在该迎头完成了打三个眼的定额时间测试任务后，离开迎头。之后，迎头人员开始用扒装机扒矸，到11时许， 停止扒装机作业；小班长安排人员在该3米范围内用锨平底。11时15分迎头在没有任何声音和迹象的情况下， 突然片落一块长×宽×厚＝2.9m×1.7m×0.55m粗砂岩石，将靠近右帮工作的王耀科右脚环节挤伤， 将靠近王耀科身旁的田××臀骨砸伤，经抢救无效死亡。</w:t>
      </w:r>
    </w:p>
    <w:p w14:paraId="5A0AD63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lang w:eastAsia="zh-CN"/>
        </w:rPr>
        <w:t>（二）</w:t>
      </w:r>
      <w:r>
        <w:rPr>
          <w:rFonts w:hint="eastAsia" w:ascii="仿宋" w:hAnsi="仿宋" w:eastAsia="仿宋" w:cs="仿宋"/>
          <w:b/>
          <w:bCs/>
          <w:color w:val="auto"/>
          <w:sz w:val="28"/>
          <w:szCs w:val="28"/>
        </w:rPr>
        <w:t>事故原因：</w:t>
      </w:r>
    </w:p>
    <w:p w14:paraId="5CD310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１</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本矿井下其它区域内的这层粗砂岩质地坚硬，难打眼，难爆破，而这次片落的粗砂岩块，与迎头的脱离面，砂细面滑、质地松软，胶结性差， 类似砂岩中的一个较大的包裹体，易脱离，再加上几次放起底炮的震动及扒装机回头轮固定在该岩体上，在多次冲击、牵引、拉动下，突然片落，是造成事故的客观原因。</w:t>
      </w:r>
    </w:p>
    <w:p w14:paraId="50FBBC0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２</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技术管理不严密，对现场岩层赋存条件认识不足，停头后迎头封闭措施不力，是造成事故发生的重要原因。</w:t>
      </w:r>
    </w:p>
    <w:p w14:paraId="445F5B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３</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施工现场，扒装机回头轮固定方式采用倒楔式固定，不能满足现场条件变化的需要， 是发生事故的主要原因。</w:t>
      </w:r>
    </w:p>
    <w:p w14:paraId="07CDB8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４</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班组施工人员思想麻痹，安全意识淡薄，互保联保落实不到位，在卧底时，造成工作面暴露4.4米高，没有采取加固措施，也没有坚持有人工作有人监护的原则，是造成事故的一个原因。</w:t>
      </w:r>
    </w:p>
    <w:p w14:paraId="717758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５</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受害者本人，遇到紧急情况，应变能力差，是造成事故的另一个原因。</w:t>
      </w:r>
    </w:p>
    <w:p w14:paraId="64647F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６</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区队管理存在着对职工教育不够，现场管理不严、不细，是造成事故的一个原因。</w:t>
      </w:r>
    </w:p>
    <w:p w14:paraId="1CD16B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７</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职能部门职级管理落实不到位，对现场情况认识不足，技术管理和现场管理不到位，是造成事故的一个原因。</w:t>
      </w:r>
    </w:p>
    <w:p w14:paraId="2E2F8E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８</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安全检查部门现场检查不细， 监督检查不力，是造成事故的一个原因。</w:t>
      </w:r>
    </w:p>
    <w:p w14:paraId="4ABF70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９</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分管掘进、安全、技术的矿领导对现场安全生产管理力度不够，是造成事故的一个原因。</w:t>
      </w:r>
    </w:p>
    <w:p w14:paraId="60D2A6A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lang w:eastAsia="zh-CN"/>
        </w:rPr>
        <w:t>（三）</w:t>
      </w:r>
      <w:r>
        <w:rPr>
          <w:rFonts w:hint="eastAsia" w:ascii="仿宋" w:hAnsi="仿宋" w:eastAsia="仿宋" w:cs="仿宋"/>
          <w:b/>
          <w:bCs/>
          <w:color w:val="auto"/>
          <w:sz w:val="28"/>
          <w:szCs w:val="28"/>
        </w:rPr>
        <w:t>防范措施：</w:t>
      </w:r>
    </w:p>
    <w:p w14:paraId="49B4529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１</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认真接受这次事故教训，举一反三，在全矿范围内认真开展一次安全教育和反事故活动，真正牢固树立安全第一的思想。</w:t>
      </w:r>
    </w:p>
    <w:p w14:paraId="30685C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２</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切实加强对安全工作的领导，强化职工安全培训和救护培训。各单位安全第一责任者要真正担负起安全第一责任者的责任。分管抓单位（区队），区队抓班组，各负其责，一级保一级。</w:t>
      </w:r>
    </w:p>
    <w:p w14:paraId="42EBE2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３</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迅速查找现场存在的隐患，制定落实整改措施，以严治矿，狠反“三违”。</w:t>
      </w:r>
    </w:p>
    <w:p w14:paraId="15FEC1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４</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加强技术管理工作，重点抓好规程措施的编写和施工，做到科学、安全、经济、实用，保证有章可循，有法可依。</w:t>
      </w:r>
    </w:p>
    <w:p w14:paraId="613F4F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５</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今后封闭迎头，必须使用腰梁加背板封闭；煤巷停头时间较长，为防止自然发火，可以使用锚网喷封闭。</w:t>
      </w:r>
    </w:p>
    <w:p w14:paraId="3F57F8F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６</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今后凡使用扒装机的施工现场，回头轮固定，必须使用L〉2.2m，Φ14的锚杆或钢丝绳倒楔固定，以保证回头轮固定牢固。</w:t>
      </w:r>
    </w:p>
    <w:p w14:paraId="08D060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７</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提高安全意识，摆正安全与生产、安全与效益的关系，真正做到不安全不生产，隐患不排除不生产，安全措施不落实不生产。变压力为动力，扎扎实实地搞好年底前的安全生产工作。</w:t>
      </w:r>
    </w:p>
    <w:p w14:paraId="448DC32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五、常见三违</w:t>
      </w:r>
    </w:p>
    <w:p w14:paraId="3147FD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14:paraId="747DD5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无证上岗、证件过期的；</w:t>
      </w:r>
    </w:p>
    <w:p w14:paraId="03594A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违反“行车不行人，行人不行车”制度的；</w:t>
      </w:r>
    </w:p>
    <w:p w14:paraId="7959917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扒车、跳车和坐矿车的；</w:t>
      </w:r>
    </w:p>
    <w:p w14:paraId="7B4866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p>
    <w:p w14:paraId="041663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岗位工睡岗的；</w:t>
      </w:r>
    </w:p>
    <w:p w14:paraId="2053D0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设备运行时，人员接触设备的机械转动和传动部位或带电体的；</w:t>
      </w:r>
    </w:p>
    <w:p w14:paraId="7E93E0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无措施施工或不按措施施工造成严重后果的；</w:t>
      </w:r>
    </w:p>
    <w:p w14:paraId="4E8D71C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14:paraId="00A0E8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w:t>
      </w:r>
      <w:r>
        <w:rPr>
          <w:rFonts w:hint="eastAsia" w:ascii="仿宋" w:hAnsi="仿宋" w:eastAsia="仿宋" w:cs="仿宋"/>
          <w:color w:val="auto"/>
          <w:sz w:val="28"/>
          <w:szCs w:val="28"/>
        </w:rPr>
        <w:t>井下打架斗殴的；</w:t>
      </w:r>
    </w:p>
    <w:p w14:paraId="41947B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（十一）</w:t>
      </w:r>
      <w:r>
        <w:rPr>
          <w:rFonts w:hint="eastAsia" w:ascii="仿宋" w:hAnsi="仿宋" w:eastAsia="仿宋" w:cs="仿宋"/>
          <w:color w:val="auto"/>
          <w:sz w:val="28"/>
          <w:szCs w:val="28"/>
        </w:rPr>
        <w:t>对“三违”处罚无理取闹或辱骂安监员、管理人员的；</w:t>
      </w:r>
    </w:p>
    <w:p w14:paraId="344F3D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（十二）</w:t>
      </w:r>
      <w:r>
        <w:rPr>
          <w:rFonts w:hint="eastAsia" w:ascii="仿宋" w:hAnsi="仿宋" w:eastAsia="仿宋" w:cs="仿宋"/>
          <w:color w:val="auto"/>
          <w:sz w:val="28"/>
          <w:szCs w:val="28"/>
        </w:rPr>
        <w:t>起吊或拉移重物时，在重物下方或可能倒向的位置工作或逗留的；</w:t>
      </w:r>
    </w:p>
    <w:p w14:paraId="7162679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（十三）</w:t>
      </w:r>
      <w:r>
        <w:rPr>
          <w:rFonts w:hint="eastAsia" w:ascii="仿宋" w:hAnsi="仿宋" w:eastAsia="仿宋" w:cs="仿宋"/>
          <w:color w:val="auto"/>
          <w:sz w:val="28"/>
          <w:szCs w:val="28"/>
        </w:rPr>
        <w:t>私自打开栅栏、密闭或擅自进入栅栏区、无风区及带有警示标志危险区的；</w:t>
      </w:r>
    </w:p>
    <w:p w14:paraId="79C056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（十四）</w:t>
      </w:r>
      <w:r>
        <w:rPr>
          <w:rFonts w:hint="eastAsia" w:ascii="仿宋" w:hAnsi="仿宋" w:eastAsia="仿宋" w:cs="仿宋"/>
          <w:color w:val="auto"/>
          <w:sz w:val="28"/>
          <w:szCs w:val="28"/>
        </w:rPr>
        <w:t>人为造成安全隐患的；</w:t>
      </w:r>
    </w:p>
    <w:p w14:paraId="5426BF1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（十五）</w:t>
      </w:r>
      <w:r>
        <w:rPr>
          <w:rFonts w:hint="eastAsia" w:ascii="仿宋" w:hAnsi="仿宋" w:eastAsia="仿宋" w:cs="仿宋"/>
          <w:color w:val="auto"/>
          <w:sz w:val="28"/>
          <w:szCs w:val="28"/>
        </w:rPr>
        <w:t>违章指挥的；</w:t>
      </w:r>
    </w:p>
    <w:p w14:paraId="3E03EA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（十六）</w:t>
      </w:r>
      <w:r>
        <w:rPr>
          <w:rFonts w:hint="eastAsia" w:ascii="仿宋" w:hAnsi="仿宋" w:eastAsia="仿宋" w:cs="仿宋"/>
          <w:color w:val="auto"/>
          <w:sz w:val="28"/>
          <w:szCs w:val="28"/>
        </w:rPr>
        <w:t>不随身携带、不按规定使用矿灯、安全帽、自救器的；</w:t>
      </w:r>
    </w:p>
    <w:p w14:paraId="0BECB9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（十七）</w:t>
      </w:r>
      <w:r>
        <w:rPr>
          <w:rFonts w:hint="eastAsia" w:ascii="仿宋" w:hAnsi="仿宋" w:eastAsia="仿宋" w:cs="仿宋"/>
          <w:color w:val="auto"/>
          <w:sz w:val="28"/>
          <w:szCs w:val="28"/>
        </w:rPr>
        <w:t>乘罐或行走期间起哄，人为造成人员拥挤的；</w:t>
      </w:r>
    </w:p>
    <w:p w14:paraId="11F258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（十八）</w:t>
      </w:r>
      <w:r>
        <w:rPr>
          <w:rFonts w:hint="eastAsia" w:ascii="仿宋" w:hAnsi="仿宋" w:eastAsia="仿宋" w:cs="仿宋"/>
          <w:color w:val="auto"/>
          <w:sz w:val="28"/>
          <w:szCs w:val="28"/>
        </w:rPr>
        <w:t>不按规定路线行走的；</w:t>
      </w:r>
    </w:p>
    <w:p w14:paraId="06EA7E4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（十九）</w:t>
      </w:r>
      <w:r>
        <w:rPr>
          <w:rFonts w:hint="eastAsia" w:ascii="仿宋" w:hAnsi="仿宋" w:eastAsia="仿宋" w:cs="仿宋"/>
          <w:color w:val="auto"/>
          <w:sz w:val="28"/>
          <w:szCs w:val="28"/>
        </w:rPr>
        <w:t>不按规定乘坐架空乘人装置的；</w:t>
      </w:r>
    </w:p>
    <w:p w14:paraId="5A00427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w:t>
      </w:r>
      <w:r>
        <w:rPr>
          <w:rFonts w:hint="eastAsia" w:ascii="仿宋" w:hAnsi="仿宋" w:eastAsia="仿宋" w:cs="仿宋"/>
          <w:color w:val="auto"/>
          <w:sz w:val="28"/>
          <w:szCs w:val="28"/>
        </w:rPr>
        <w:t>跨越皮带不走人行过桥的；</w:t>
      </w:r>
    </w:p>
    <w:p w14:paraId="68FABD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（二十一）</w:t>
      </w:r>
      <w:r>
        <w:rPr>
          <w:rFonts w:hint="eastAsia" w:ascii="仿宋" w:hAnsi="仿宋" w:eastAsia="仿宋" w:cs="仿宋"/>
          <w:color w:val="auto"/>
          <w:sz w:val="28"/>
          <w:szCs w:val="28"/>
        </w:rPr>
        <w:t>过风门未及时关闭的；</w:t>
      </w:r>
    </w:p>
    <w:p w14:paraId="45ABFB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（二十二）</w:t>
      </w:r>
      <w:r>
        <w:rPr>
          <w:rFonts w:hint="eastAsia" w:ascii="仿宋" w:hAnsi="仿宋" w:eastAsia="仿宋" w:cs="仿宋"/>
          <w:color w:val="auto"/>
          <w:sz w:val="28"/>
          <w:szCs w:val="28"/>
        </w:rPr>
        <w:t>各种保护、安全设施不按规定装设、使用、检查、检修、检测、试验或不灵敏可靠；</w:t>
      </w:r>
    </w:p>
    <w:p w14:paraId="325F7F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（二十三）</w:t>
      </w:r>
      <w:r>
        <w:rPr>
          <w:rFonts w:hint="eastAsia" w:ascii="仿宋" w:hAnsi="仿宋" w:eastAsia="仿宋" w:cs="仿宋"/>
          <w:color w:val="auto"/>
          <w:sz w:val="28"/>
          <w:szCs w:val="28"/>
        </w:rPr>
        <w:t>登高作业不按规定佩戴保险带、保险绳等的；</w:t>
      </w:r>
    </w:p>
    <w:p w14:paraId="4858CD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（二十四）</w:t>
      </w:r>
      <w:r>
        <w:rPr>
          <w:rFonts w:hint="eastAsia" w:ascii="仿宋" w:hAnsi="仿宋" w:eastAsia="仿宋" w:cs="仿宋"/>
          <w:color w:val="auto"/>
          <w:sz w:val="28"/>
          <w:szCs w:val="28"/>
        </w:rPr>
        <w:t>让（替）他人捎带人员定位卡下井的；</w:t>
      </w:r>
    </w:p>
    <w:p w14:paraId="113D39C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（二十五）</w:t>
      </w:r>
      <w:r>
        <w:rPr>
          <w:rFonts w:hint="eastAsia" w:ascii="仿宋" w:hAnsi="仿宋" w:eastAsia="仿宋" w:cs="仿宋"/>
          <w:color w:val="auto"/>
          <w:sz w:val="28"/>
          <w:szCs w:val="28"/>
        </w:rPr>
        <w:t>未按规定携带瓦斯便携仪的；</w:t>
      </w:r>
    </w:p>
    <w:p w14:paraId="068AEE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（二十六）</w:t>
      </w:r>
      <w:r>
        <w:rPr>
          <w:rFonts w:hint="eastAsia" w:ascii="仿宋" w:hAnsi="仿宋" w:eastAsia="仿宋" w:cs="仿宋"/>
          <w:color w:val="auto"/>
          <w:sz w:val="28"/>
          <w:szCs w:val="28"/>
        </w:rPr>
        <w:t>物料存放固定不牢的；</w:t>
      </w:r>
    </w:p>
    <w:p w14:paraId="3CB571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（二十七）</w:t>
      </w:r>
      <w:r>
        <w:rPr>
          <w:rFonts w:hint="eastAsia" w:ascii="仿宋" w:hAnsi="仿宋" w:eastAsia="仿宋" w:cs="仿宋"/>
          <w:color w:val="auto"/>
          <w:sz w:val="28"/>
          <w:szCs w:val="28"/>
        </w:rPr>
        <w:t>没有指定专人站岗或站岗警戒距离不符合规定的；</w:t>
      </w:r>
    </w:p>
    <w:p w14:paraId="43AD02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（二十八）</w:t>
      </w:r>
      <w:r>
        <w:rPr>
          <w:rFonts w:hint="eastAsia" w:ascii="仿宋" w:hAnsi="仿宋" w:eastAsia="仿宋" w:cs="仿宋"/>
          <w:color w:val="auto"/>
          <w:sz w:val="28"/>
          <w:szCs w:val="28"/>
        </w:rPr>
        <w:t>自救器损坏或过期未及时更换的；</w:t>
      </w:r>
    </w:p>
    <w:p w14:paraId="2321F7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（二十九）</w:t>
      </w:r>
      <w:r>
        <w:rPr>
          <w:rFonts w:hint="eastAsia" w:ascii="仿宋" w:hAnsi="仿宋" w:eastAsia="仿宋" w:cs="仿宋"/>
          <w:color w:val="auto"/>
          <w:sz w:val="28"/>
          <w:szCs w:val="28"/>
        </w:rPr>
        <w:t>携带非防爆电子产品入井的；</w:t>
      </w:r>
    </w:p>
    <w:p w14:paraId="4F4F643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（三十）</w:t>
      </w:r>
      <w:r>
        <w:rPr>
          <w:rFonts w:hint="eastAsia" w:ascii="仿宋" w:hAnsi="仿宋" w:eastAsia="仿宋" w:cs="仿宋"/>
          <w:color w:val="auto"/>
          <w:sz w:val="28"/>
          <w:szCs w:val="28"/>
        </w:rPr>
        <w:t>其他违反《煤矿安全规程》、《操作规程》及《作业规程》等有关规定的</w:t>
      </w:r>
      <w:r>
        <w:rPr>
          <w:rFonts w:hint="eastAsia" w:ascii="仿宋" w:hAnsi="仿宋" w:eastAsia="仿宋" w:cs="仿宋"/>
          <w:color w:val="auto"/>
          <w:sz w:val="28"/>
          <w:szCs w:val="28"/>
          <w:lang w:eastAsia="zh-CN"/>
        </w:rPr>
        <w:t>；</w:t>
      </w:r>
    </w:p>
    <w:p w14:paraId="519C78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rPr>
      </w:pPr>
      <w:r>
        <w:rPr>
          <w:rFonts w:hint="eastAsia" w:ascii="仿宋" w:hAnsi="仿宋" w:eastAsia="仿宋" w:cs="仿宋"/>
          <w:color w:val="auto"/>
          <w:sz w:val="28"/>
          <w:szCs w:val="28"/>
          <w:u w:val="none"/>
          <w:lang w:eastAsia="zh-CN"/>
        </w:rPr>
        <w:t>（三十一）</w:t>
      </w:r>
      <w:r>
        <w:rPr>
          <w:rFonts w:hint="eastAsia" w:ascii="仿宋" w:hAnsi="仿宋" w:eastAsia="仿宋" w:cs="仿宋"/>
          <w:color w:val="auto"/>
          <w:sz w:val="28"/>
          <w:szCs w:val="28"/>
          <w:u w:val="none"/>
        </w:rPr>
        <w:t>安装挡车棍材料、埋设深度、位置、外露长度不符合规定。</w:t>
      </w:r>
    </w:p>
    <w:p w14:paraId="2242815C">
      <w:pPr>
        <w:rPr>
          <w:rFonts w:hint="eastAsia" w:ascii="仿宋" w:hAnsi="仿宋" w:eastAsia="仿宋" w:cs="仿宋"/>
          <w:b/>
          <w:bCs/>
          <w:color w:val="auto"/>
          <w:sz w:val="32"/>
          <w:szCs w:val="32"/>
          <w:highlight w:val="none"/>
          <w:lang w:val="en-US" w:eastAsia="zh-CN"/>
        </w:rPr>
      </w:pPr>
      <w:bookmarkStart w:id="464" w:name="_Toc28585"/>
      <w:bookmarkStart w:id="465" w:name="_Toc32008"/>
      <w:bookmarkStart w:id="466" w:name="_Toc30015"/>
      <w:r>
        <w:rPr>
          <w:rFonts w:hint="eastAsia" w:ascii="仿宋" w:hAnsi="仿宋" w:eastAsia="仿宋" w:cs="仿宋"/>
          <w:b/>
          <w:bCs/>
          <w:color w:val="auto"/>
          <w:sz w:val="32"/>
          <w:szCs w:val="32"/>
          <w:highlight w:val="none"/>
          <w:lang w:val="en-US" w:eastAsia="zh-CN"/>
        </w:rPr>
        <w:br w:type="page"/>
      </w:r>
    </w:p>
    <w:p w14:paraId="12D9A4EE">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2"/>
          <w:szCs w:val="32"/>
          <w:highlight w:val="none"/>
          <w:lang w:val="en-US" w:eastAsia="zh-CN"/>
        </w:rPr>
      </w:pPr>
      <w:bookmarkStart w:id="467" w:name="_Toc12320"/>
      <w:r>
        <w:rPr>
          <w:rFonts w:hint="eastAsia" w:ascii="仿宋" w:hAnsi="仿宋" w:eastAsia="仿宋" w:cs="仿宋"/>
          <w:b/>
          <w:bCs/>
          <w:color w:val="auto"/>
          <w:sz w:val="32"/>
          <w:szCs w:val="32"/>
          <w:highlight w:val="none"/>
          <w:lang w:val="en-US" w:eastAsia="zh-CN"/>
        </w:rPr>
        <w:t>地测防治水专业学习手册</w:t>
      </w:r>
      <w:bookmarkEnd w:id="464"/>
      <w:bookmarkEnd w:id="465"/>
      <w:bookmarkEnd w:id="466"/>
      <w:bookmarkEnd w:id="467"/>
    </w:p>
    <w:p w14:paraId="0BCFD696">
      <w:pPr>
        <w:keepNext w:val="0"/>
        <w:keepLines w:val="0"/>
        <w:pageBreakBefore w:val="0"/>
        <w:kinsoku/>
        <w:wordWrap/>
        <w:overflowPunct/>
        <w:topLinePunct w:val="0"/>
        <w:bidi w:val="0"/>
        <w:spacing w:before="312" w:beforeLines="100" w:after="312" w:afterLines="100"/>
        <w:ind w:firstLine="3614" w:firstLineChars="1000"/>
        <w:jc w:val="both"/>
        <w:outlineLvl w:val="1"/>
        <w:rPr>
          <w:rFonts w:hint="eastAsia" w:ascii="仿宋" w:hAnsi="仿宋" w:eastAsia="仿宋" w:cs="仿宋"/>
          <w:b/>
          <w:bCs/>
          <w:color w:val="auto"/>
          <w:sz w:val="36"/>
          <w:szCs w:val="36"/>
          <w:highlight w:val="none"/>
          <w:lang w:val="en-US" w:eastAsia="zh-CN"/>
        </w:rPr>
      </w:pPr>
      <w:bookmarkStart w:id="468" w:name="_Toc19498"/>
      <w:bookmarkStart w:id="469" w:name="_Toc1101"/>
      <w:bookmarkStart w:id="470" w:name="_Toc2817"/>
      <w:r>
        <w:rPr>
          <w:rFonts w:hint="eastAsia" w:ascii="仿宋" w:hAnsi="仿宋" w:eastAsia="仿宋" w:cs="仿宋"/>
          <w:b/>
          <w:color w:val="auto"/>
          <w:sz w:val="36"/>
          <w:szCs w:val="36"/>
          <w:highlight w:val="none"/>
          <w:lang w:eastAsia="zh-CN"/>
        </w:rPr>
        <w:t>测量工</w:t>
      </w:r>
      <w:bookmarkEnd w:id="468"/>
      <w:bookmarkEnd w:id="469"/>
      <w:bookmarkEnd w:id="470"/>
    </w:p>
    <w:tbl>
      <w:tblPr>
        <w:tblStyle w:val="12"/>
        <w:tblW w:w="8520" w:type="dxa"/>
        <w:tblInd w:w="0" w:type="dxa"/>
        <w:tblLayout w:type="fixed"/>
        <w:tblCellMar>
          <w:top w:w="0" w:type="dxa"/>
          <w:left w:w="108" w:type="dxa"/>
          <w:bottom w:w="0" w:type="dxa"/>
          <w:right w:w="108" w:type="dxa"/>
        </w:tblCellMar>
      </w:tblPr>
      <w:tblGrid>
        <w:gridCol w:w="786"/>
        <w:gridCol w:w="2923"/>
        <w:gridCol w:w="656"/>
        <w:gridCol w:w="4155"/>
      </w:tblGrid>
      <w:tr w14:paraId="39FD6709">
        <w:tblPrEx>
          <w:tblCellMar>
            <w:top w:w="0" w:type="dxa"/>
            <w:left w:w="108" w:type="dxa"/>
            <w:bottom w:w="0" w:type="dxa"/>
            <w:right w:w="108" w:type="dxa"/>
          </w:tblCellMar>
        </w:tblPrEx>
        <w:trPr>
          <w:trHeight w:val="650" w:hRule="atLeast"/>
        </w:trPr>
        <w:tc>
          <w:tcPr>
            <w:tcW w:w="8520" w:type="dxa"/>
            <w:gridSpan w:val="4"/>
            <w:tcBorders>
              <w:top w:val="single" w:color="auto" w:sz="4" w:space="0"/>
              <w:left w:val="single" w:color="auto" w:sz="4" w:space="0"/>
              <w:bottom w:val="single" w:color="auto" w:sz="4" w:space="0"/>
              <w:right w:val="single" w:color="auto" w:sz="4" w:space="0"/>
            </w:tcBorders>
            <w:vAlign w:val="center"/>
          </w:tcPr>
          <w:p w14:paraId="3DF25B43">
            <w:pPr>
              <w:keepNext w:val="0"/>
              <w:keepLines w:val="0"/>
              <w:pageBreakBefore w:val="0"/>
              <w:widowControl/>
              <w:kinsoku/>
              <w:wordWrap/>
              <w:overflowPunct/>
              <w:topLinePunct w:val="0"/>
              <w:autoSpaceDE/>
              <w:autoSpaceDN/>
              <w:bidi w:val="0"/>
              <w:adjustRightInd/>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eastAsia="zh-CN"/>
              </w:rPr>
              <w:t>测量工</w:t>
            </w:r>
            <w:r>
              <w:rPr>
                <w:rFonts w:hint="eastAsia" w:ascii="仿宋" w:hAnsi="仿宋" w:eastAsia="仿宋" w:cs="仿宋"/>
                <w:color w:val="auto"/>
                <w:kern w:val="0"/>
                <w:sz w:val="21"/>
                <w:szCs w:val="21"/>
                <w:highlight w:val="none"/>
              </w:rPr>
              <w:t>岗位风险告知卡</w:t>
            </w:r>
          </w:p>
        </w:tc>
      </w:tr>
      <w:tr w14:paraId="08BE6405">
        <w:tblPrEx>
          <w:tblCellMar>
            <w:top w:w="0" w:type="dxa"/>
            <w:left w:w="108" w:type="dxa"/>
            <w:bottom w:w="0" w:type="dxa"/>
            <w:right w:w="108" w:type="dxa"/>
          </w:tblCellMar>
        </w:tblPrEx>
        <w:trPr>
          <w:trHeight w:val="1279" w:hRule="atLeast"/>
        </w:trPr>
        <w:tc>
          <w:tcPr>
            <w:tcW w:w="786" w:type="dxa"/>
            <w:tcBorders>
              <w:top w:val="nil"/>
              <w:left w:val="single" w:color="auto" w:sz="4" w:space="0"/>
              <w:bottom w:val="single" w:color="auto" w:sz="4" w:space="0"/>
              <w:right w:val="single" w:color="auto" w:sz="4" w:space="0"/>
            </w:tcBorders>
            <w:vAlign w:val="center"/>
          </w:tcPr>
          <w:p w14:paraId="4B2129D5">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2923" w:type="dxa"/>
            <w:tcBorders>
              <w:top w:val="nil"/>
              <w:left w:val="nil"/>
              <w:bottom w:val="single" w:color="auto" w:sz="4" w:space="0"/>
              <w:right w:val="single" w:color="auto" w:sz="4" w:space="0"/>
            </w:tcBorders>
            <w:vAlign w:val="center"/>
          </w:tcPr>
          <w:p w14:paraId="1A41C228">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冒顶（片帮）、煤尘、机电、运输、物体打击、职业病危害</w:t>
            </w:r>
          </w:p>
        </w:tc>
        <w:tc>
          <w:tcPr>
            <w:tcW w:w="656" w:type="dxa"/>
            <w:tcBorders>
              <w:top w:val="nil"/>
              <w:left w:val="nil"/>
              <w:bottom w:val="single" w:color="auto" w:sz="4" w:space="0"/>
              <w:right w:val="single" w:color="auto" w:sz="4" w:space="0"/>
            </w:tcBorders>
            <w:vAlign w:val="center"/>
          </w:tcPr>
          <w:p w14:paraId="760B6083">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事故报告</w:t>
            </w:r>
          </w:p>
        </w:tc>
        <w:tc>
          <w:tcPr>
            <w:tcW w:w="4155" w:type="dxa"/>
            <w:tcBorders>
              <w:top w:val="nil"/>
              <w:left w:val="nil"/>
              <w:bottom w:val="single" w:color="auto" w:sz="4" w:space="0"/>
              <w:right w:val="single" w:color="auto" w:sz="4" w:space="0"/>
            </w:tcBorders>
            <w:vAlign w:val="center"/>
          </w:tcPr>
          <w:p w14:paraId="4DE662DE">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14:paraId="535CD354">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eastAsia="zh-CN"/>
              </w:rPr>
              <w:t>科室值班：</w:t>
            </w:r>
            <w:r>
              <w:rPr>
                <w:rFonts w:hint="eastAsia" w:ascii="仿宋" w:hAnsi="仿宋" w:eastAsia="仿宋" w:cs="仿宋"/>
                <w:color w:val="auto"/>
                <w:kern w:val="0"/>
                <w:sz w:val="21"/>
                <w:szCs w:val="21"/>
                <w:highlight w:val="none"/>
                <w:lang w:val="en-US" w:eastAsia="zh-CN"/>
              </w:rPr>
              <w:t>8650672</w:t>
            </w:r>
          </w:p>
          <w:p w14:paraId="4C3EBAC1">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14:paraId="7734E494">
        <w:tblPrEx>
          <w:tblCellMar>
            <w:top w:w="0" w:type="dxa"/>
            <w:left w:w="108" w:type="dxa"/>
            <w:bottom w:w="0" w:type="dxa"/>
            <w:right w:w="108" w:type="dxa"/>
          </w:tblCellMar>
        </w:tblPrEx>
        <w:trPr>
          <w:trHeight w:val="335" w:hRule="atLeast"/>
        </w:trPr>
        <w:tc>
          <w:tcPr>
            <w:tcW w:w="3709" w:type="dxa"/>
            <w:gridSpan w:val="2"/>
            <w:tcBorders>
              <w:top w:val="single" w:color="auto" w:sz="4" w:space="0"/>
              <w:left w:val="single" w:color="auto" w:sz="4" w:space="0"/>
              <w:bottom w:val="single" w:color="auto" w:sz="4" w:space="0"/>
              <w:right w:val="single" w:color="auto" w:sz="4" w:space="0"/>
            </w:tcBorders>
            <w:vAlign w:val="center"/>
          </w:tcPr>
          <w:p w14:paraId="148E4BA6">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811" w:type="dxa"/>
            <w:gridSpan w:val="2"/>
            <w:tcBorders>
              <w:top w:val="single" w:color="auto" w:sz="4" w:space="0"/>
              <w:left w:val="nil"/>
              <w:bottom w:val="single" w:color="auto" w:sz="4" w:space="0"/>
              <w:right w:val="single" w:color="auto" w:sz="4" w:space="0"/>
            </w:tcBorders>
            <w:vAlign w:val="center"/>
          </w:tcPr>
          <w:p w14:paraId="0D24F0B1">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14:paraId="06BEBB14">
        <w:tblPrEx>
          <w:tblCellMar>
            <w:top w:w="0" w:type="dxa"/>
            <w:left w:w="108" w:type="dxa"/>
            <w:bottom w:w="0" w:type="dxa"/>
            <w:right w:w="108" w:type="dxa"/>
          </w:tblCellMar>
        </w:tblPrEx>
        <w:trPr>
          <w:trHeight w:val="876" w:hRule="atLeast"/>
        </w:trPr>
        <w:tc>
          <w:tcPr>
            <w:tcW w:w="3709" w:type="dxa"/>
            <w:gridSpan w:val="2"/>
            <w:tcBorders>
              <w:top w:val="single" w:color="auto" w:sz="4" w:space="0"/>
              <w:left w:val="single" w:color="auto" w:sz="4" w:space="0"/>
              <w:bottom w:val="single" w:color="auto" w:sz="4" w:space="0"/>
              <w:right w:val="single" w:color="auto" w:sz="4" w:space="0"/>
            </w:tcBorders>
            <w:vAlign w:val="top"/>
          </w:tcPr>
          <w:p w14:paraId="63CBF099">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1.未持证上岗；未佩戴个体防护</w:t>
            </w:r>
            <w:r>
              <w:rPr>
                <w:rFonts w:hint="eastAsia" w:ascii="仿宋" w:hAnsi="仿宋" w:eastAsia="仿宋" w:cs="仿宋"/>
                <w:color w:val="auto"/>
                <w:kern w:val="0"/>
                <w:sz w:val="21"/>
                <w:szCs w:val="21"/>
                <w:highlight w:val="none"/>
                <w:lang w:eastAsia="zh-CN"/>
              </w:rPr>
              <w:t>用品。</w:t>
            </w:r>
          </w:p>
        </w:tc>
        <w:tc>
          <w:tcPr>
            <w:tcW w:w="4811" w:type="dxa"/>
            <w:gridSpan w:val="2"/>
            <w:tcBorders>
              <w:top w:val="single" w:color="auto" w:sz="4" w:space="0"/>
              <w:left w:val="nil"/>
              <w:bottom w:val="single" w:color="auto" w:sz="4" w:space="0"/>
              <w:right w:val="single" w:color="auto" w:sz="4" w:space="0"/>
            </w:tcBorders>
            <w:vAlign w:val="top"/>
          </w:tcPr>
          <w:p w14:paraId="15B4C535">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1.持证上岗；佩戴好安全帽、口罩</w:t>
            </w:r>
            <w:r>
              <w:rPr>
                <w:rFonts w:hint="eastAsia" w:ascii="仿宋" w:hAnsi="仿宋" w:eastAsia="仿宋" w:cs="仿宋"/>
                <w:b w:val="0"/>
                <w:bCs w:val="0"/>
                <w:color w:val="auto"/>
                <w:kern w:val="0"/>
                <w:sz w:val="21"/>
                <w:szCs w:val="21"/>
                <w:highlight w:val="none"/>
                <w:lang w:eastAsia="zh-CN"/>
              </w:rPr>
              <w:t>，携带自救器。</w:t>
            </w:r>
          </w:p>
        </w:tc>
      </w:tr>
      <w:tr w14:paraId="5F6D0CBE">
        <w:tblPrEx>
          <w:tblCellMar>
            <w:top w:w="0" w:type="dxa"/>
            <w:left w:w="108" w:type="dxa"/>
            <w:bottom w:w="0" w:type="dxa"/>
            <w:right w:w="108" w:type="dxa"/>
          </w:tblCellMar>
        </w:tblPrEx>
        <w:trPr>
          <w:trHeight w:val="1064" w:hRule="atLeast"/>
        </w:trPr>
        <w:tc>
          <w:tcPr>
            <w:tcW w:w="3709" w:type="dxa"/>
            <w:gridSpan w:val="2"/>
            <w:tcBorders>
              <w:top w:val="single" w:color="auto" w:sz="4" w:space="0"/>
              <w:left w:val="single" w:color="auto" w:sz="4" w:space="0"/>
              <w:bottom w:val="single" w:color="auto" w:sz="4" w:space="0"/>
              <w:right w:val="single" w:color="auto" w:sz="4" w:space="0"/>
            </w:tcBorders>
            <w:vAlign w:val="top"/>
          </w:tcPr>
          <w:p w14:paraId="6F74EF74">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lang w:eastAsia="zh-CN"/>
              </w:rPr>
              <w:t>罐笼急停造成颈腰部受伤；</w:t>
            </w:r>
            <w:r>
              <w:rPr>
                <w:rFonts w:hint="eastAsia" w:ascii="仿宋" w:hAnsi="仿宋" w:eastAsia="仿宋" w:cs="仿宋"/>
                <w:color w:val="auto"/>
                <w:kern w:val="0"/>
                <w:sz w:val="21"/>
                <w:szCs w:val="21"/>
                <w:highlight w:val="none"/>
                <w:lang w:val="en-US" w:eastAsia="zh-CN"/>
              </w:rPr>
              <w:t>探出罐笼安全护栏擦伤。</w:t>
            </w:r>
          </w:p>
        </w:tc>
        <w:tc>
          <w:tcPr>
            <w:tcW w:w="4811" w:type="dxa"/>
            <w:gridSpan w:val="2"/>
            <w:tcBorders>
              <w:top w:val="single" w:color="auto" w:sz="4" w:space="0"/>
              <w:left w:val="nil"/>
              <w:bottom w:val="single" w:color="auto" w:sz="4" w:space="0"/>
              <w:right w:val="single" w:color="auto" w:sz="4" w:space="0"/>
            </w:tcBorders>
            <w:vAlign w:val="top"/>
          </w:tcPr>
          <w:p w14:paraId="48BA89D6">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2.严禁坐在罐笼内，必须站立；合理站位，严禁身体部位超出防护栏。</w:t>
            </w:r>
          </w:p>
        </w:tc>
      </w:tr>
      <w:tr w14:paraId="618E2762">
        <w:tblPrEx>
          <w:tblCellMar>
            <w:top w:w="0" w:type="dxa"/>
            <w:left w:w="108" w:type="dxa"/>
            <w:bottom w:w="0" w:type="dxa"/>
            <w:right w:w="108" w:type="dxa"/>
          </w:tblCellMar>
        </w:tblPrEx>
        <w:trPr>
          <w:trHeight w:val="1640" w:hRule="atLeast"/>
        </w:trPr>
        <w:tc>
          <w:tcPr>
            <w:tcW w:w="3709" w:type="dxa"/>
            <w:gridSpan w:val="2"/>
            <w:tcBorders>
              <w:top w:val="single" w:color="auto" w:sz="4" w:space="0"/>
              <w:left w:val="single" w:color="auto" w:sz="4" w:space="0"/>
              <w:bottom w:val="single" w:color="auto" w:sz="4" w:space="0"/>
              <w:right w:val="single" w:color="auto" w:sz="4" w:space="0"/>
            </w:tcBorders>
            <w:vAlign w:val="top"/>
          </w:tcPr>
          <w:p w14:paraId="48624F55">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3.运输车辆撞伤；轨道绊倒摔伤；架空运输装置掉落砸伤；乘坐人车造成伤害； 扒、蹬、跳、坐皮带摔伤。</w:t>
            </w:r>
          </w:p>
        </w:tc>
        <w:tc>
          <w:tcPr>
            <w:tcW w:w="4811" w:type="dxa"/>
            <w:gridSpan w:val="2"/>
            <w:tcBorders>
              <w:top w:val="single" w:color="auto" w:sz="4" w:space="0"/>
              <w:left w:val="nil"/>
              <w:bottom w:val="single" w:color="auto" w:sz="4" w:space="0"/>
              <w:right w:val="single" w:color="auto" w:sz="4" w:space="0"/>
            </w:tcBorders>
            <w:vAlign w:val="top"/>
          </w:tcPr>
          <w:p w14:paraId="6DF69408">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3.走人行道，执行好“一停、二看、三通过”制度及“行车不行人，行人不行车”制度；沿行人道行走，严禁走轨道；远离架空运输装置或及时躲入躲避硐内；人车未停稳车辆严禁上下车；严禁携带超长物料、违禁物料。严禁扒、蹬、跳、坐皮带。</w:t>
            </w:r>
          </w:p>
        </w:tc>
      </w:tr>
      <w:tr w14:paraId="68D63EAD">
        <w:tblPrEx>
          <w:tblCellMar>
            <w:top w:w="0" w:type="dxa"/>
            <w:left w:w="108" w:type="dxa"/>
            <w:bottom w:w="0" w:type="dxa"/>
            <w:right w:w="108" w:type="dxa"/>
          </w:tblCellMar>
        </w:tblPrEx>
        <w:trPr>
          <w:trHeight w:val="935" w:hRule="atLeast"/>
        </w:trPr>
        <w:tc>
          <w:tcPr>
            <w:tcW w:w="3709" w:type="dxa"/>
            <w:gridSpan w:val="2"/>
            <w:tcBorders>
              <w:top w:val="single" w:color="auto" w:sz="4" w:space="0"/>
              <w:left w:val="single" w:color="auto" w:sz="4" w:space="0"/>
              <w:bottom w:val="single" w:color="auto" w:sz="4" w:space="0"/>
              <w:right w:val="single" w:color="000000" w:sz="4" w:space="0"/>
            </w:tcBorders>
            <w:vAlign w:val="top"/>
          </w:tcPr>
          <w:p w14:paraId="7E1EE6B0">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4.登高摔伤。</w:t>
            </w:r>
          </w:p>
        </w:tc>
        <w:tc>
          <w:tcPr>
            <w:tcW w:w="4811" w:type="dxa"/>
            <w:gridSpan w:val="2"/>
            <w:tcBorders>
              <w:top w:val="single" w:color="auto" w:sz="4" w:space="0"/>
              <w:left w:val="nil"/>
              <w:bottom w:val="single" w:color="auto" w:sz="4" w:space="0"/>
              <w:right w:val="single" w:color="000000" w:sz="4" w:space="0"/>
            </w:tcBorders>
            <w:vAlign w:val="center"/>
          </w:tcPr>
          <w:p w14:paraId="3875170D">
            <w:pPr>
              <w:keepNext w:val="0"/>
              <w:keepLines w:val="0"/>
              <w:pageBreakBefore w:val="0"/>
              <w:widowControl/>
              <w:kinsoku/>
              <w:wordWrap/>
              <w:overflowPunct/>
              <w:topLinePunct w:val="0"/>
              <w:autoSpaceDE/>
              <w:autoSpaceDN/>
              <w:bidi w:val="0"/>
              <w:adjustRightInd/>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lang w:eastAsia="zh-CN"/>
              </w:rPr>
              <w:t>登高作业须有专人监护。登高高度超过</w:t>
            </w:r>
            <w:r>
              <w:rPr>
                <w:rFonts w:hint="eastAsia" w:ascii="仿宋" w:hAnsi="仿宋" w:eastAsia="仿宋" w:cs="仿宋"/>
                <w:color w:val="auto"/>
                <w:kern w:val="0"/>
                <w:sz w:val="21"/>
                <w:szCs w:val="21"/>
                <w:highlight w:val="none"/>
                <w:lang w:val="en-US" w:eastAsia="zh-CN"/>
              </w:rPr>
              <w:t>1.5m需佩戴安全带。</w:t>
            </w:r>
          </w:p>
        </w:tc>
      </w:tr>
      <w:tr w14:paraId="6138B79E">
        <w:tblPrEx>
          <w:tblCellMar>
            <w:top w:w="0" w:type="dxa"/>
            <w:left w:w="108" w:type="dxa"/>
            <w:bottom w:w="0" w:type="dxa"/>
            <w:right w:w="108" w:type="dxa"/>
          </w:tblCellMar>
        </w:tblPrEx>
        <w:trPr>
          <w:trHeight w:val="685" w:hRule="atLeast"/>
        </w:trPr>
        <w:tc>
          <w:tcPr>
            <w:tcW w:w="3709" w:type="dxa"/>
            <w:gridSpan w:val="2"/>
            <w:tcBorders>
              <w:top w:val="single" w:color="auto" w:sz="4" w:space="0"/>
              <w:left w:val="single" w:color="auto" w:sz="4" w:space="0"/>
              <w:bottom w:val="single" w:color="auto" w:sz="4" w:space="0"/>
              <w:right w:val="single" w:color="000000" w:sz="4" w:space="0"/>
            </w:tcBorders>
            <w:vAlign w:val="top"/>
          </w:tcPr>
          <w:p w14:paraId="1F927B5B">
            <w:pPr>
              <w:keepNext w:val="0"/>
              <w:keepLines w:val="0"/>
              <w:pageBreakBefore w:val="0"/>
              <w:widowControl/>
              <w:kinsoku/>
              <w:wordWrap/>
              <w:overflowPunct/>
              <w:topLinePunct w:val="0"/>
              <w:autoSpaceDE/>
              <w:autoSpaceDN/>
              <w:bidi w:val="0"/>
              <w:adjustRightInd/>
              <w:ind w:firstLine="420" w:firstLineChars="200"/>
              <w:jc w:val="both"/>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5.综掘机等设备未停机闭锁。</w:t>
            </w:r>
          </w:p>
        </w:tc>
        <w:tc>
          <w:tcPr>
            <w:tcW w:w="4811" w:type="dxa"/>
            <w:gridSpan w:val="2"/>
            <w:tcBorders>
              <w:top w:val="single" w:color="auto" w:sz="4" w:space="0"/>
              <w:left w:val="nil"/>
              <w:bottom w:val="single" w:color="auto" w:sz="4" w:space="0"/>
              <w:right w:val="single" w:color="000000" w:sz="4" w:space="0"/>
            </w:tcBorders>
            <w:vAlign w:val="top"/>
          </w:tcPr>
          <w:p w14:paraId="4CAD5D80">
            <w:pPr>
              <w:keepNext w:val="0"/>
              <w:keepLines w:val="0"/>
              <w:pageBreakBefore w:val="0"/>
              <w:widowControl/>
              <w:kinsoku/>
              <w:wordWrap/>
              <w:overflowPunct/>
              <w:topLinePunct w:val="0"/>
              <w:autoSpaceDE/>
              <w:autoSpaceDN/>
              <w:bidi w:val="0"/>
              <w:adjustRightInd/>
              <w:ind w:firstLine="420" w:firstLineChars="200"/>
              <w:jc w:val="both"/>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5.井下作业时，确认周围综掘机、耙装机等设备已停机闭锁。</w:t>
            </w:r>
          </w:p>
        </w:tc>
      </w:tr>
      <w:tr w14:paraId="25E61A50">
        <w:tblPrEx>
          <w:tblCellMar>
            <w:top w:w="0" w:type="dxa"/>
            <w:left w:w="108" w:type="dxa"/>
            <w:bottom w:w="0" w:type="dxa"/>
            <w:right w:w="108" w:type="dxa"/>
          </w:tblCellMar>
        </w:tblPrEx>
        <w:trPr>
          <w:trHeight w:val="1024" w:hRule="atLeast"/>
        </w:trPr>
        <w:tc>
          <w:tcPr>
            <w:tcW w:w="3709" w:type="dxa"/>
            <w:gridSpan w:val="2"/>
            <w:tcBorders>
              <w:top w:val="single" w:color="auto" w:sz="4" w:space="0"/>
              <w:left w:val="single" w:color="auto" w:sz="4" w:space="0"/>
              <w:bottom w:val="single" w:color="auto" w:sz="4" w:space="0"/>
              <w:right w:val="single" w:color="000000" w:sz="4" w:space="0"/>
            </w:tcBorders>
            <w:vAlign w:val="top"/>
          </w:tcPr>
          <w:p w14:paraId="02C41C46">
            <w:pPr>
              <w:keepNext w:val="0"/>
              <w:keepLines w:val="0"/>
              <w:pageBreakBefore w:val="0"/>
              <w:widowControl/>
              <w:numPr>
                <w:ilvl w:val="0"/>
                <w:numId w:val="0"/>
              </w:numPr>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lang w:eastAsia="zh-CN"/>
              </w:rPr>
              <w:t>测量作业时</w:t>
            </w:r>
            <w:r>
              <w:rPr>
                <w:rFonts w:hint="eastAsia" w:ascii="仿宋" w:hAnsi="仿宋" w:eastAsia="仿宋" w:cs="仿宋"/>
                <w:color w:val="auto"/>
                <w:kern w:val="0"/>
                <w:sz w:val="21"/>
                <w:szCs w:val="21"/>
                <w:highlight w:val="none"/>
              </w:rPr>
              <w:t>人员站位不当；空顶作业；后退路</w:t>
            </w:r>
            <w:r>
              <w:rPr>
                <w:rFonts w:hint="eastAsia" w:ascii="仿宋" w:hAnsi="仿宋" w:eastAsia="仿宋" w:cs="仿宋"/>
                <w:color w:val="auto"/>
                <w:kern w:val="0"/>
                <w:sz w:val="21"/>
                <w:szCs w:val="21"/>
                <w:highlight w:val="none"/>
                <w:lang w:eastAsia="zh-CN"/>
              </w:rPr>
              <w:t>线</w:t>
            </w:r>
            <w:r>
              <w:rPr>
                <w:rFonts w:hint="eastAsia" w:ascii="仿宋" w:hAnsi="仿宋" w:eastAsia="仿宋" w:cs="仿宋"/>
                <w:color w:val="auto"/>
                <w:kern w:val="0"/>
                <w:sz w:val="21"/>
                <w:szCs w:val="21"/>
                <w:highlight w:val="none"/>
              </w:rPr>
              <w:t>不畅通</w:t>
            </w:r>
            <w:r>
              <w:rPr>
                <w:rFonts w:hint="eastAsia" w:ascii="仿宋" w:hAnsi="仿宋" w:eastAsia="仿宋" w:cs="仿宋"/>
                <w:color w:val="auto"/>
                <w:kern w:val="0"/>
                <w:sz w:val="21"/>
                <w:szCs w:val="21"/>
                <w:highlight w:val="none"/>
                <w:lang w:eastAsia="zh-CN"/>
              </w:rPr>
              <w:t>。</w:t>
            </w:r>
          </w:p>
        </w:tc>
        <w:tc>
          <w:tcPr>
            <w:tcW w:w="4811" w:type="dxa"/>
            <w:gridSpan w:val="2"/>
            <w:tcBorders>
              <w:top w:val="single" w:color="auto" w:sz="4" w:space="0"/>
              <w:left w:val="nil"/>
              <w:bottom w:val="single" w:color="auto" w:sz="4" w:space="0"/>
              <w:right w:val="single" w:color="000000" w:sz="4" w:space="0"/>
            </w:tcBorders>
            <w:vAlign w:val="top"/>
          </w:tcPr>
          <w:p w14:paraId="4967E05C">
            <w:pPr>
              <w:keepNext w:val="0"/>
              <w:keepLines w:val="0"/>
              <w:pageBreakBefore w:val="0"/>
              <w:widowControl/>
              <w:numPr>
                <w:ilvl w:val="0"/>
                <w:numId w:val="0"/>
              </w:numPr>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lang w:eastAsia="zh-CN"/>
              </w:rPr>
              <w:t>站位注意脚下无松动矸石、物料等；确保站位地点顶帮支护完好；执行敲帮问顶</w:t>
            </w:r>
            <w:r>
              <w:rPr>
                <w:rFonts w:hint="eastAsia" w:ascii="仿宋" w:hAnsi="仿宋" w:eastAsia="仿宋" w:cs="仿宋"/>
                <w:color w:val="auto"/>
                <w:kern w:val="0"/>
                <w:sz w:val="21"/>
                <w:szCs w:val="21"/>
                <w:highlight w:val="none"/>
              </w:rPr>
              <w:t>；将</w:t>
            </w:r>
            <w:r>
              <w:rPr>
                <w:rFonts w:hint="eastAsia" w:ascii="仿宋" w:hAnsi="仿宋" w:eastAsia="仿宋" w:cs="仿宋"/>
                <w:color w:val="auto"/>
                <w:kern w:val="0"/>
                <w:sz w:val="21"/>
                <w:szCs w:val="21"/>
                <w:highlight w:val="none"/>
                <w:lang w:eastAsia="zh-CN"/>
              </w:rPr>
              <w:t>后退路线上</w:t>
            </w:r>
            <w:r>
              <w:rPr>
                <w:rFonts w:hint="eastAsia" w:ascii="仿宋" w:hAnsi="仿宋" w:eastAsia="仿宋" w:cs="仿宋"/>
                <w:color w:val="auto"/>
                <w:kern w:val="0"/>
                <w:sz w:val="21"/>
                <w:szCs w:val="21"/>
                <w:highlight w:val="none"/>
              </w:rPr>
              <w:t>材料清理干净，保证人行道畅通</w:t>
            </w:r>
            <w:r>
              <w:rPr>
                <w:rFonts w:hint="eastAsia" w:ascii="仿宋" w:hAnsi="仿宋" w:eastAsia="仿宋" w:cs="仿宋"/>
                <w:color w:val="auto"/>
                <w:kern w:val="0"/>
                <w:sz w:val="21"/>
                <w:szCs w:val="21"/>
                <w:highlight w:val="none"/>
                <w:lang w:eastAsia="zh-CN"/>
              </w:rPr>
              <w:t>。</w:t>
            </w:r>
          </w:p>
        </w:tc>
      </w:tr>
      <w:tr w14:paraId="2EF9A3B0">
        <w:tblPrEx>
          <w:tblCellMar>
            <w:top w:w="0" w:type="dxa"/>
            <w:left w:w="108" w:type="dxa"/>
            <w:bottom w:w="0" w:type="dxa"/>
            <w:right w:w="108" w:type="dxa"/>
          </w:tblCellMar>
        </w:tblPrEx>
        <w:trPr>
          <w:trHeight w:val="1035" w:hRule="atLeast"/>
        </w:trPr>
        <w:tc>
          <w:tcPr>
            <w:tcW w:w="786" w:type="dxa"/>
            <w:tcBorders>
              <w:top w:val="nil"/>
              <w:left w:val="single" w:color="auto" w:sz="4" w:space="0"/>
              <w:bottom w:val="single" w:color="auto" w:sz="4" w:space="0"/>
              <w:right w:val="single" w:color="auto" w:sz="4" w:space="0"/>
            </w:tcBorders>
            <w:vAlign w:val="center"/>
          </w:tcPr>
          <w:p w14:paraId="355B79F9">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6FD28805">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34" w:type="dxa"/>
            <w:gridSpan w:val="3"/>
            <w:tcBorders>
              <w:top w:val="single" w:color="auto" w:sz="4" w:space="0"/>
              <w:left w:val="nil"/>
              <w:bottom w:val="single" w:color="auto" w:sz="4" w:space="0"/>
              <w:right w:val="single" w:color="auto" w:sz="4" w:space="0"/>
            </w:tcBorders>
            <w:vAlign w:val="center"/>
          </w:tcPr>
          <w:p w14:paraId="1D72C6E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240E56E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1EAA199F">
        <w:tblPrEx>
          <w:tblCellMar>
            <w:top w:w="0" w:type="dxa"/>
            <w:left w:w="108" w:type="dxa"/>
            <w:bottom w:w="0" w:type="dxa"/>
            <w:right w:w="108" w:type="dxa"/>
          </w:tblCellMar>
        </w:tblPrEx>
        <w:trPr>
          <w:trHeight w:val="1965" w:hRule="atLeast"/>
        </w:trPr>
        <w:tc>
          <w:tcPr>
            <w:tcW w:w="786" w:type="dxa"/>
            <w:tcBorders>
              <w:top w:val="nil"/>
              <w:left w:val="single" w:color="auto" w:sz="4" w:space="0"/>
              <w:bottom w:val="single" w:color="auto" w:sz="4" w:space="0"/>
              <w:right w:val="single" w:color="auto" w:sz="4" w:space="0"/>
            </w:tcBorders>
            <w:vAlign w:val="center"/>
          </w:tcPr>
          <w:p w14:paraId="397DE1F7">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施</w:t>
            </w:r>
          </w:p>
        </w:tc>
        <w:tc>
          <w:tcPr>
            <w:tcW w:w="7734" w:type="dxa"/>
            <w:gridSpan w:val="3"/>
            <w:tcBorders>
              <w:top w:val="single" w:color="auto" w:sz="4" w:space="0"/>
              <w:left w:val="nil"/>
              <w:bottom w:val="single" w:color="auto" w:sz="4" w:space="0"/>
              <w:right w:val="single" w:color="auto" w:sz="4" w:space="0"/>
            </w:tcBorders>
            <w:vAlign w:val="center"/>
          </w:tcPr>
          <w:p w14:paraId="09B22F94">
            <w:pPr>
              <w:keepNext w:val="0"/>
              <w:keepLines w:val="0"/>
              <w:pageBreakBefore w:val="0"/>
              <w:widowControl/>
              <w:numPr>
                <w:ilvl w:val="0"/>
                <w:numId w:val="0"/>
              </w:numPr>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发生事故后、要立即按照“及时汇报、积极抢救、安全撤离、妥善避灾”原则进行自救互救</w:t>
            </w:r>
            <w:r>
              <w:rPr>
                <w:rFonts w:hint="eastAsia" w:ascii="仿宋" w:hAnsi="仿宋" w:eastAsia="仿宋" w:cs="仿宋"/>
                <w:color w:val="auto"/>
                <w:kern w:val="0"/>
                <w:sz w:val="21"/>
                <w:szCs w:val="21"/>
                <w:highlight w:val="none"/>
                <w:lang w:eastAsia="zh-CN"/>
              </w:rPr>
              <w:t>。</w:t>
            </w:r>
          </w:p>
          <w:p w14:paraId="6CB609F5">
            <w:pPr>
              <w:keepNext w:val="0"/>
              <w:keepLines w:val="0"/>
              <w:pageBreakBefore w:val="0"/>
              <w:widowControl/>
              <w:numPr>
                <w:ilvl w:val="0"/>
                <w:numId w:val="0"/>
              </w:numPr>
              <w:kinsoku/>
              <w:wordWrap/>
              <w:overflowPunct/>
              <w:topLinePunct w:val="0"/>
              <w:autoSpaceDE/>
              <w:autoSpaceDN/>
              <w:bidi w:val="0"/>
              <w:adjustRightInd/>
              <w:ind w:left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rPr>
              <w:t>尽量与调度室保持联系，将现场情况准确汇报</w:t>
            </w:r>
            <w:r>
              <w:rPr>
                <w:rFonts w:hint="eastAsia" w:ascii="仿宋" w:hAnsi="仿宋" w:eastAsia="仿宋" w:cs="仿宋"/>
                <w:color w:val="auto"/>
                <w:kern w:val="0"/>
                <w:sz w:val="21"/>
                <w:szCs w:val="21"/>
                <w:highlight w:val="none"/>
                <w:lang w:eastAsia="zh-CN"/>
              </w:rPr>
              <w:t>。</w:t>
            </w:r>
          </w:p>
          <w:p w14:paraId="058B82AB">
            <w:pPr>
              <w:keepNext w:val="0"/>
              <w:keepLines w:val="0"/>
              <w:pageBreakBefore w:val="0"/>
              <w:widowControl/>
              <w:numPr>
                <w:ilvl w:val="0"/>
                <w:numId w:val="0"/>
              </w:numPr>
              <w:kinsoku/>
              <w:wordWrap/>
              <w:overflowPunct/>
              <w:topLinePunct w:val="0"/>
              <w:autoSpaceDE/>
              <w:autoSpaceDN/>
              <w:bidi w:val="0"/>
              <w:adjustRightInd/>
              <w:ind w:left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3.抢救伤员时要遵循“三先三后”的原则</w:t>
            </w:r>
            <w:r>
              <w:rPr>
                <w:rFonts w:hint="eastAsia" w:ascii="仿宋" w:hAnsi="仿宋" w:eastAsia="仿宋" w:cs="仿宋"/>
                <w:color w:val="auto"/>
                <w:kern w:val="0"/>
                <w:sz w:val="21"/>
                <w:szCs w:val="21"/>
                <w:highlight w:val="none"/>
                <w:lang w:eastAsia="zh-CN"/>
              </w:rPr>
              <w:t>。</w:t>
            </w:r>
          </w:p>
          <w:p w14:paraId="10FDA2CB">
            <w:pPr>
              <w:keepNext w:val="0"/>
              <w:keepLines w:val="0"/>
              <w:pageBreakBefore w:val="0"/>
              <w:widowControl/>
              <w:numPr>
                <w:ilvl w:val="0"/>
                <w:numId w:val="0"/>
              </w:numPr>
              <w:kinsoku/>
              <w:wordWrap/>
              <w:overflowPunct/>
              <w:topLinePunct w:val="0"/>
              <w:autoSpaceDE/>
              <w:autoSpaceDN/>
              <w:bidi w:val="0"/>
              <w:adjustRightInd/>
              <w:ind w:left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4.撤离时沿着避灾路线逃生，必要时进入避难硐室等待救援。</w:t>
            </w:r>
          </w:p>
        </w:tc>
      </w:tr>
    </w:tbl>
    <w:p w14:paraId="27196FC8">
      <w:pPr>
        <w:keepNext w:val="0"/>
        <w:keepLines w:val="0"/>
        <w:pageBreakBefore w:val="0"/>
        <w:kinsoku/>
        <w:wordWrap/>
        <w:overflowPunct/>
        <w:topLinePunct w:val="0"/>
        <w:autoSpaceDE/>
        <w:autoSpaceDN/>
        <w:bidi w:val="0"/>
        <w:adjustRightInd/>
        <w:outlineLvl w:val="9"/>
        <w:rPr>
          <w:color w:val="auto"/>
        </w:rPr>
      </w:pPr>
    </w:p>
    <w:tbl>
      <w:tblPr>
        <w:tblStyle w:val="12"/>
        <w:tblW w:w="8513" w:type="dxa"/>
        <w:tblInd w:w="0" w:type="dxa"/>
        <w:tblLayout w:type="fixed"/>
        <w:tblCellMar>
          <w:top w:w="0" w:type="dxa"/>
          <w:left w:w="108" w:type="dxa"/>
          <w:bottom w:w="0" w:type="dxa"/>
          <w:right w:w="108" w:type="dxa"/>
        </w:tblCellMar>
      </w:tblPr>
      <w:tblGrid>
        <w:gridCol w:w="4444"/>
        <w:gridCol w:w="4069"/>
      </w:tblGrid>
      <w:tr w14:paraId="62C4B586">
        <w:tblPrEx>
          <w:tblCellMar>
            <w:top w:w="0" w:type="dxa"/>
            <w:left w:w="108" w:type="dxa"/>
            <w:bottom w:w="0" w:type="dxa"/>
            <w:right w:w="108" w:type="dxa"/>
          </w:tblCellMar>
        </w:tblPrEx>
        <w:trPr>
          <w:trHeight w:val="519" w:hRule="atLeast"/>
        </w:trPr>
        <w:tc>
          <w:tcPr>
            <w:tcW w:w="8513" w:type="dxa"/>
            <w:gridSpan w:val="2"/>
            <w:tcBorders>
              <w:top w:val="single" w:color="auto" w:sz="4" w:space="0"/>
              <w:left w:val="single" w:color="auto" w:sz="4" w:space="0"/>
              <w:bottom w:val="nil"/>
              <w:right w:val="single" w:color="000000" w:sz="4" w:space="0"/>
            </w:tcBorders>
            <w:vAlign w:val="center"/>
          </w:tcPr>
          <w:p w14:paraId="23A4F041">
            <w:pPr>
              <w:keepNext w:val="0"/>
              <w:keepLines w:val="0"/>
              <w:pageBreakBefore w:val="0"/>
              <w:widowControl/>
              <w:kinsoku/>
              <w:wordWrap/>
              <w:overflowPunct/>
              <w:topLinePunct w:val="0"/>
              <w:autoSpaceDE/>
              <w:autoSpaceDN/>
              <w:bidi w:val="0"/>
              <w:adjustRightInd/>
              <w:spacing w:line="240" w:lineRule="auto"/>
              <w:ind w:firstLine="3584" w:firstLineChars="1700"/>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lang w:eastAsia="zh-CN"/>
              </w:rPr>
              <w:t>测量工</w:t>
            </w:r>
            <w:r>
              <w:rPr>
                <w:rFonts w:hint="eastAsia" w:ascii="仿宋" w:hAnsi="仿宋" w:eastAsia="仿宋" w:cs="仿宋"/>
                <w:b/>
                <w:bCs/>
                <w:color w:val="auto"/>
                <w:kern w:val="0"/>
                <w:sz w:val="21"/>
                <w:szCs w:val="21"/>
                <w:highlight w:val="none"/>
              </w:rPr>
              <w:t>安全提示卡</w:t>
            </w:r>
          </w:p>
        </w:tc>
      </w:tr>
      <w:tr w14:paraId="509C9CD2">
        <w:tblPrEx>
          <w:tblCellMar>
            <w:top w:w="0" w:type="dxa"/>
            <w:left w:w="108" w:type="dxa"/>
            <w:bottom w:w="0" w:type="dxa"/>
            <w:right w:w="108" w:type="dxa"/>
          </w:tblCellMar>
        </w:tblPrEx>
        <w:trPr>
          <w:trHeight w:val="561" w:hRule="exact"/>
        </w:trPr>
        <w:tc>
          <w:tcPr>
            <w:tcW w:w="4444" w:type="dxa"/>
            <w:tcBorders>
              <w:top w:val="single" w:color="auto" w:sz="4" w:space="0"/>
              <w:left w:val="single" w:color="auto" w:sz="4" w:space="0"/>
              <w:bottom w:val="single" w:color="auto" w:sz="4" w:space="0"/>
              <w:right w:val="single" w:color="auto" w:sz="4" w:space="0"/>
            </w:tcBorders>
            <w:vAlign w:val="center"/>
          </w:tcPr>
          <w:p w14:paraId="5D8D4A26">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lang w:eastAsia="zh-CN"/>
              </w:rPr>
              <w:t>安全防护用品</w:t>
            </w:r>
          </w:p>
        </w:tc>
        <w:tc>
          <w:tcPr>
            <w:tcW w:w="4069" w:type="dxa"/>
            <w:tcBorders>
              <w:top w:val="single" w:color="auto" w:sz="4" w:space="0"/>
              <w:left w:val="nil"/>
              <w:bottom w:val="single" w:color="auto" w:sz="4" w:space="0"/>
              <w:right w:val="single" w:color="auto" w:sz="4" w:space="0"/>
            </w:tcBorders>
            <w:vAlign w:val="center"/>
          </w:tcPr>
          <w:p w14:paraId="19916D52">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lang w:eastAsia="zh-CN"/>
              </w:rPr>
              <w:t>安全站位</w:t>
            </w:r>
          </w:p>
        </w:tc>
      </w:tr>
      <w:tr w14:paraId="40AE47A5">
        <w:tblPrEx>
          <w:tblCellMar>
            <w:top w:w="0" w:type="dxa"/>
            <w:left w:w="108" w:type="dxa"/>
            <w:bottom w:w="0" w:type="dxa"/>
            <w:right w:w="108" w:type="dxa"/>
          </w:tblCellMar>
        </w:tblPrEx>
        <w:trPr>
          <w:trHeight w:val="561" w:hRule="exact"/>
        </w:trPr>
        <w:tc>
          <w:tcPr>
            <w:tcW w:w="4444" w:type="dxa"/>
            <w:tcBorders>
              <w:top w:val="single" w:color="auto" w:sz="4" w:space="0"/>
              <w:left w:val="single" w:color="auto" w:sz="4" w:space="0"/>
              <w:bottom w:val="single" w:color="auto" w:sz="4" w:space="0"/>
              <w:right w:val="single" w:color="auto" w:sz="4" w:space="0"/>
            </w:tcBorders>
            <w:vAlign w:val="center"/>
          </w:tcPr>
          <w:p w14:paraId="3A4CE4F2">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lang w:eastAsia="zh-CN"/>
              </w:rPr>
              <w:t>顶帮支护完好</w:t>
            </w:r>
          </w:p>
        </w:tc>
        <w:tc>
          <w:tcPr>
            <w:tcW w:w="4069" w:type="dxa"/>
            <w:tcBorders>
              <w:top w:val="single" w:color="auto" w:sz="4" w:space="0"/>
              <w:left w:val="nil"/>
              <w:bottom w:val="single" w:color="auto" w:sz="4" w:space="0"/>
              <w:right w:val="single" w:color="auto" w:sz="4" w:space="0"/>
            </w:tcBorders>
            <w:vAlign w:val="center"/>
          </w:tcPr>
          <w:p w14:paraId="2F30A1D5">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lang w:eastAsia="zh-CN"/>
              </w:rPr>
              <w:t>敲帮问顶</w:t>
            </w:r>
          </w:p>
        </w:tc>
      </w:tr>
      <w:tr w14:paraId="07858029">
        <w:tblPrEx>
          <w:tblCellMar>
            <w:top w:w="0" w:type="dxa"/>
            <w:left w:w="108" w:type="dxa"/>
            <w:bottom w:w="0" w:type="dxa"/>
            <w:right w:w="108" w:type="dxa"/>
          </w:tblCellMar>
        </w:tblPrEx>
        <w:trPr>
          <w:trHeight w:val="561" w:hRule="exact"/>
        </w:trPr>
        <w:tc>
          <w:tcPr>
            <w:tcW w:w="4444" w:type="dxa"/>
            <w:tcBorders>
              <w:top w:val="single" w:color="auto" w:sz="4" w:space="0"/>
              <w:left w:val="single" w:color="auto" w:sz="4" w:space="0"/>
              <w:bottom w:val="single" w:color="auto" w:sz="4" w:space="0"/>
              <w:right w:val="single" w:color="auto" w:sz="4" w:space="0"/>
            </w:tcBorders>
            <w:vAlign w:val="center"/>
          </w:tcPr>
          <w:p w14:paraId="207E07CA">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5.</w:t>
            </w:r>
            <w:r>
              <w:rPr>
                <w:rFonts w:hint="eastAsia" w:ascii="仿宋" w:hAnsi="仿宋" w:eastAsia="仿宋" w:cs="仿宋"/>
                <w:color w:val="auto"/>
                <w:kern w:val="0"/>
                <w:sz w:val="21"/>
                <w:szCs w:val="21"/>
                <w:highlight w:val="none"/>
                <w:lang w:eastAsia="zh-CN"/>
              </w:rPr>
              <w:t>避让车辆</w:t>
            </w:r>
          </w:p>
        </w:tc>
        <w:tc>
          <w:tcPr>
            <w:tcW w:w="4069" w:type="dxa"/>
            <w:tcBorders>
              <w:top w:val="single" w:color="auto" w:sz="4" w:space="0"/>
              <w:left w:val="nil"/>
              <w:bottom w:val="single" w:color="auto" w:sz="4" w:space="0"/>
              <w:right w:val="single" w:color="auto" w:sz="4" w:space="0"/>
            </w:tcBorders>
            <w:vAlign w:val="center"/>
          </w:tcPr>
          <w:p w14:paraId="6AD6105E">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lang w:eastAsia="zh-CN"/>
              </w:rPr>
              <w:t>严禁跨越皮带</w:t>
            </w:r>
          </w:p>
        </w:tc>
      </w:tr>
      <w:tr w14:paraId="179C6C8A">
        <w:tblPrEx>
          <w:tblCellMar>
            <w:top w:w="0" w:type="dxa"/>
            <w:left w:w="108" w:type="dxa"/>
            <w:bottom w:w="0" w:type="dxa"/>
            <w:right w:w="108" w:type="dxa"/>
          </w:tblCellMar>
        </w:tblPrEx>
        <w:trPr>
          <w:trHeight w:val="561" w:hRule="exact"/>
        </w:trPr>
        <w:tc>
          <w:tcPr>
            <w:tcW w:w="4444" w:type="dxa"/>
            <w:tcBorders>
              <w:top w:val="single" w:color="auto" w:sz="4" w:space="0"/>
              <w:left w:val="single" w:color="auto" w:sz="4" w:space="0"/>
              <w:bottom w:val="single" w:color="auto" w:sz="4" w:space="0"/>
              <w:right w:val="single" w:color="auto" w:sz="4" w:space="0"/>
            </w:tcBorders>
            <w:vAlign w:val="center"/>
          </w:tcPr>
          <w:p w14:paraId="3E356B72">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7.周围设备停机闭锁</w:t>
            </w:r>
          </w:p>
        </w:tc>
        <w:tc>
          <w:tcPr>
            <w:tcW w:w="4069" w:type="dxa"/>
            <w:tcBorders>
              <w:top w:val="single" w:color="auto" w:sz="4" w:space="0"/>
              <w:left w:val="nil"/>
              <w:bottom w:val="single" w:color="auto" w:sz="4" w:space="0"/>
              <w:right w:val="single" w:color="auto" w:sz="4" w:space="0"/>
            </w:tcBorders>
            <w:vAlign w:val="center"/>
          </w:tcPr>
          <w:p w14:paraId="43644102">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8.</w:t>
            </w:r>
            <w:r>
              <w:rPr>
                <w:rFonts w:hint="eastAsia" w:ascii="仿宋" w:hAnsi="仿宋" w:eastAsia="仿宋" w:cs="仿宋"/>
                <w:color w:val="auto"/>
                <w:kern w:val="0"/>
                <w:sz w:val="21"/>
                <w:szCs w:val="21"/>
                <w:highlight w:val="none"/>
                <w:lang w:eastAsia="zh-CN"/>
              </w:rPr>
              <w:t>后退路线畅通</w:t>
            </w:r>
          </w:p>
        </w:tc>
      </w:tr>
      <w:tr w14:paraId="7D2C59D3">
        <w:tblPrEx>
          <w:tblCellMar>
            <w:top w:w="0" w:type="dxa"/>
            <w:left w:w="108" w:type="dxa"/>
            <w:bottom w:w="0" w:type="dxa"/>
            <w:right w:w="108" w:type="dxa"/>
          </w:tblCellMar>
        </w:tblPrEx>
        <w:trPr>
          <w:trHeight w:val="481" w:hRule="exact"/>
        </w:trPr>
        <w:tc>
          <w:tcPr>
            <w:tcW w:w="8513" w:type="dxa"/>
            <w:gridSpan w:val="2"/>
            <w:tcBorders>
              <w:top w:val="single" w:color="auto" w:sz="4" w:space="0"/>
              <w:left w:val="single" w:color="auto" w:sz="4" w:space="0"/>
              <w:bottom w:val="single" w:color="auto" w:sz="4" w:space="0"/>
              <w:right w:val="single" w:color="auto" w:sz="4" w:space="0"/>
            </w:tcBorders>
            <w:vAlign w:val="center"/>
          </w:tcPr>
          <w:p w14:paraId="7FB499FD">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w:t>
            </w:r>
            <w:r>
              <w:rPr>
                <w:rFonts w:hint="eastAsia" w:ascii="仿宋" w:hAnsi="仿宋" w:eastAsia="仿宋" w:cs="仿宋"/>
                <w:color w:val="auto"/>
                <w:kern w:val="0"/>
                <w:sz w:val="21"/>
                <w:szCs w:val="21"/>
                <w:highlight w:val="none"/>
                <w:lang w:eastAsia="zh-CN"/>
              </w:rPr>
              <w:t>下井作业安全事项</w:t>
            </w:r>
            <w:r>
              <w:rPr>
                <w:rFonts w:hint="eastAsia" w:ascii="仿宋" w:hAnsi="仿宋" w:eastAsia="仿宋" w:cs="仿宋"/>
                <w:color w:val="auto"/>
                <w:kern w:val="0"/>
                <w:sz w:val="21"/>
                <w:szCs w:val="21"/>
                <w:highlight w:val="none"/>
              </w:rPr>
              <w:t xml:space="preserve">内容逐项检查并确认，存在问题整改后再确认。 </w:t>
            </w:r>
          </w:p>
        </w:tc>
      </w:tr>
    </w:tbl>
    <w:p w14:paraId="5FBFB32F">
      <w:pPr>
        <w:keepNext w:val="0"/>
        <w:keepLines w:val="0"/>
        <w:pageBreakBefore w:val="0"/>
        <w:kinsoku/>
        <w:wordWrap/>
        <w:overflowPunct/>
        <w:topLinePunct w:val="0"/>
        <w:autoSpaceDE/>
        <w:autoSpaceDN/>
        <w:bidi w:val="0"/>
        <w:adjustRightInd/>
        <w:outlineLvl w:val="9"/>
        <w:rPr>
          <w:color w:val="auto"/>
        </w:rPr>
      </w:pPr>
    </w:p>
    <w:tbl>
      <w:tblPr>
        <w:tblStyle w:val="12"/>
        <w:tblW w:w="8520" w:type="dxa"/>
        <w:tblInd w:w="0" w:type="dxa"/>
        <w:tblLayout w:type="fixed"/>
        <w:tblCellMar>
          <w:top w:w="0" w:type="dxa"/>
          <w:left w:w="108" w:type="dxa"/>
          <w:bottom w:w="0" w:type="dxa"/>
          <w:right w:w="108" w:type="dxa"/>
        </w:tblCellMar>
      </w:tblPr>
      <w:tblGrid>
        <w:gridCol w:w="8520"/>
      </w:tblGrid>
      <w:tr w14:paraId="7229DD90">
        <w:tblPrEx>
          <w:tblCellMar>
            <w:top w:w="0" w:type="dxa"/>
            <w:left w:w="108" w:type="dxa"/>
            <w:bottom w:w="0" w:type="dxa"/>
            <w:right w:w="108" w:type="dxa"/>
          </w:tblCellMar>
        </w:tblPrEx>
        <w:trPr>
          <w:trHeight w:val="438" w:hRule="exact"/>
        </w:trPr>
        <w:tc>
          <w:tcPr>
            <w:tcW w:w="8520" w:type="dxa"/>
            <w:tcBorders>
              <w:top w:val="single" w:color="auto" w:sz="4" w:space="0"/>
              <w:left w:val="single" w:color="auto" w:sz="4" w:space="0"/>
              <w:bottom w:val="single" w:color="auto" w:sz="4" w:space="0"/>
              <w:right w:val="single" w:color="000000" w:sz="4" w:space="0"/>
            </w:tcBorders>
            <w:vAlign w:val="center"/>
          </w:tcPr>
          <w:p w14:paraId="59ED7F32">
            <w:pPr>
              <w:keepNext w:val="0"/>
              <w:keepLines w:val="0"/>
              <w:pageBreakBefore w:val="0"/>
              <w:widowControl/>
              <w:kinsoku/>
              <w:wordWrap/>
              <w:overflowPunct/>
              <w:topLinePunct w:val="0"/>
              <w:autoSpaceDE/>
              <w:autoSpaceDN/>
              <w:bidi w:val="0"/>
              <w:adjustRightInd/>
              <w:spacing w:line="240" w:lineRule="auto"/>
              <w:ind w:firstLine="420" w:firstLineChars="200"/>
              <w:jc w:val="center"/>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lang w:eastAsia="zh-CN"/>
              </w:rPr>
              <w:t>测量工</w:t>
            </w:r>
            <w:r>
              <w:rPr>
                <w:rFonts w:hint="eastAsia" w:ascii="仿宋" w:hAnsi="仿宋" w:eastAsia="仿宋" w:cs="仿宋"/>
                <w:b w:val="0"/>
                <w:bCs w:val="0"/>
                <w:color w:val="auto"/>
                <w:kern w:val="0"/>
                <w:sz w:val="21"/>
                <w:szCs w:val="21"/>
                <w:highlight w:val="none"/>
              </w:rPr>
              <w:t>单元检查表</w:t>
            </w:r>
          </w:p>
        </w:tc>
      </w:tr>
      <w:tr w14:paraId="0727B0B2">
        <w:tblPrEx>
          <w:tblCellMar>
            <w:top w:w="0" w:type="dxa"/>
            <w:left w:w="108" w:type="dxa"/>
            <w:bottom w:w="0" w:type="dxa"/>
            <w:right w:w="108" w:type="dxa"/>
          </w:tblCellMar>
        </w:tblPrEx>
        <w:trPr>
          <w:trHeight w:val="451" w:hRule="exact"/>
        </w:trPr>
        <w:tc>
          <w:tcPr>
            <w:tcW w:w="8520" w:type="dxa"/>
            <w:tcBorders>
              <w:top w:val="single" w:color="auto" w:sz="4" w:space="0"/>
              <w:left w:val="single" w:color="auto" w:sz="4" w:space="0"/>
              <w:bottom w:val="single" w:color="auto" w:sz="4" w:space="0"/>
              <w:right w:val="single" w:color="auto" w:sz="4" w:space="0"/>
            </w:tcBorders>
            <w:vAlign w:val="center"/>
          </w:tcPr>
          <w:p w14:paraId="576DB52B">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下井</w:t>
            </w:r>
            <w:r>
              <w:rPr>
                <w:rFonts w:hint="eastAsia" w:ascii="仿宋" w:hAnsi="仿宋" w:eastAsia="仿宋" w:cs="仿宋"/>
                <w:color w:val="auto"/>
                <w:kern w:val="0"/>
                <w:sz w:val="21"/>
                <w:szCs w:val="21"/>
                <w:highlight w:val="none"/>
              </w:rPr>
              <w:t>佩戴好安全帽、口罩，携带自救器</w:t>
            </w:r>
            <w:r>
              <w:rPr>
                <w:rFonts w:hint="eastAsia" w:ascii="仿宋" w:hAnsi="仿宋" w:eastAsia="仿宋" w:cs="仿宋"/>
                <w:color w:val="auto"/>
                <w:kern w:val="0"/>
                <w:sz w:val="21"/>
                <w:szCs w:val="21"/>
                <w:highlight w:val="none"/>
                <w:lang w:eastAsia="zh-CN"/>
              </w:rPr>
              <w:t>。</w:t>
            </w:r>
          </w:p>
        </w:tc>
      </w:tr>
      <w:tr w14:paraId="43F59651">
        <w:tblPrEx>
          <w:tblCellMar>
            <w:top w:w="0" w:type="dxa"/>
            <w:left w:w="108" w:type="dxa"/>
            <w:bottom w:w="0" w:type="dxa"/>
            <w:right w:w="108" w:type="dxa"/>
          </w:tblCellMar>
        </w:tblPrEx>
        <w:trPr>
          <w:trHeight w:val="684" w:hRule="exact"/>
        </w:trPr>
        <w:tc>
          <w:tcPr>
            <w:tcW w:w="8520" w:type="dxa"/>
            <w:tcBorders>
              <w:top w:val="single" w:color="auto" w:sz="4" w:space="0"/>
              <w:left w:val="single" w:color="auto" w:sz="4" w:space="0"/>
              <w:bottom w:val="single" w:color="auto" w:sz="4" w:space="0"/>
              <w:right w:val="single" w:color="auto" w:sz="4" w:space="0"/>
            </w:tcBorders>
            <w:vAlign w:val="center"/>
          </w:tcPr>
          <w:p w14:paraId="41150D25">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严禁坐在罐笼内，必须站立；合理站位，严禁身体部位超出罐笼防护栏。井下作业时确保.。顶帮支护完好，脚下无松动矸石</w:t>
            </w:r>
            <w:r>
              <w:rPr>
                <w:rFonts w:hint="eastAsia" w:ascii="仿宋" w:hAnsi="仿宋" w:eastAsia="仿宋" w:cs="仿宋"/>
                <w:color w:val="auto"/>
                <w:kern w:val="0"/>
                <w:sz w:val="21"/>
                <w:szCs w:val="21"/>
                <w:highlight w:val="none"/>
                <w:lang w:eastAsia="zh-CN"/>
              </w:rPr>
              <w:t>、物料等</w:t>
            </w:r>
            <w:r>
              <w:rPr>
                <w:rFonts w:hint="eastAsia" w:ascii="仿宋" w:hAnsi="仿宋" w:eastAsia="仿宋" w:cs="仿宋"/>
                <w:color w:val="auto"/>
                <w:kern w:val="0"/>
                <w:sz w:val="21"/>
                <w:szCs w:val="21"/>
                <w:highlight w:val="none"/>
                <w:lang w:val="en-US" w:eastAsia="zh-CN"/>
              </w:rPr>
              <w:t>。</w:t>
            </w:r>
          </w:p>
        </w:tc>
      </w:tr>
      <w:tr w14:paraId="407EF85B">
        <w:tblPrEx>
          <w:tblCellMar>
            <w:top w:w="0" w:type="dxa"/>
            <w:left w:w="108" w:type="dxa"/>
            <w:bottom w:w="0" w:type="dxa"/>
            <w:right w:w="108" w:type="dxa"/>
          </w:tblCellMar>
        </w:tblPrEx>
        <w:trPr>
          <w:trHeight w:val="422" w:hRule="exact"/>
        </w:trPr>
        <w:tc>
          <w:tcPr>
            <w:tcW w:w="8520" w:type="dxa"/>
            <w:tcBorders>
              <w:top w:val="single" w:color="auto" w:sz="4" w:space="0"/>
              <w:left w:val="single" w:color="auto" w:sz="4" w:space="0"/>
              <w:bottom w:val="single" w:color="auto" w:sz="4" w:space="0"/>
              <w:right w:val="single" w:color="auto" w:sz="4" w:space="0"/>
            </w:tcBorders>
            <w:vAlign w:val="center"/>
          </w:tcPr>
          <w:p w14:paraId="491B15C6">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val="en-US" w:eastAsia="zh-CN"/>
              </w:rPr>
              <w:t>井下作业时确保站位上方顶帮支护完好。顶帮支护完好。</w:t>
            </w:r>
          </w:p>
        </w:tc>
      </w:tr>
      <w:tr w14:paraId="5EE951C9">
        <w:tblPrEx>
          <w:tblCellMar>
            <w:top w:w="0" w:type="dxa"/>
            <w:left w:w="108" w:type="dxa"/>
            <w:bottom w:w="0" w:type="dxa"/>
            <w:right w:w="108" w:type="dxa"/>
          </w:tblCellMar>
        </w:tblPrEx>
        <w:trPr>
          <w:trHeight w:val="437" w:hRule="exact"/>
        </w:trPr>
        <w:tc>
          <w:tcPr>
            <w:tcW w:w="8520" w:type="dxa"/>
            <w:tcBorders>
              <w:top w:val="single" w:color="auto" w:sz="4" w:space="0"/>
              <w:left w:val="single" w:color="auto" w:sz="4" w:space="0"/>
              <w:bottom w:val="single" w:color="auto" w:sz="4" w:space="0"/>
              <w:right w:val="single" w:color="auto" w:sz="4" w:space="0"/>
            </w:tcBorders>
            <w:vAlign w:val="center"/>
          </w:tcPr>
          <w:p w14:paraId="070E15C1">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eastAsia="zh-CN"/>
              </w:rPr>
              <w:t>执行敲帮问顶制度。</w:t>
            </w:r>
          </w:p>
        </w:tc>
      </w:tr>
      <w:tr w14:paraId="2893768F">
        <w:tblPrEx>
          <w:tblCellMar>
            <w:top w:w="0" w:type="dxa"/>
            <w:left w:w="108" w:type="dxa"/>
            <w:bottom w:w="0" w:type="dxa"/>
            <w:right w:w="108" w:type="dxa"/>
          </w:tblCellMar>
        </w:tblPrEx>
        <w:trPr>
          <w:trHeight w:val="675" w:hRule="exact"/>
        </w:trPr>
        <w:tc>
          <w:tcPr>
            <w:tcW w:w="8520" w:type="dxa"/>
            <w:tcBorders>
              <w:top w:val="single" w:color="auto" w:sz="4" w:space="0"/>
              <w:left w:val="single" w:color="auto" w:sz="4" w:space="0"/>
              <w:bottom w:val="single" w:color="auto" w:sz="4" w:space="0"/>
              <w:right w:val="single" w:color="auto" w:sz="4" w:space="0"/>
            </w:tcBorders>
            <w:vAlign w:val="center"/>
          </w:tcPr>
          <w:p w14:paraId="67E415AA">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走人行道，执行好“一停、二看、三通过”制度及“行车不行人，行人不行车”制度；沿行人道行走，严禁走轨道；远离架空运输装置或及时躲入躲避硐内。</w:t>
            </w:r>
          </w:p>
        </w:tc>
      </w:tr>
      <w:tr w14:paraId="30E8BCDE">
        <w:tblPrEx>
          <w:tblCellMar>
            <w:top w:w="0" w:type="dxa"/>
            <w:left w:w="108" w:type="dxa"/>
            <w:bottom w:w="0" w:type="dxa"/>
            <w:right w:w="108" w:type="dxa"/>
          </w:tblCellMar>
        </w:tblPrEx>
        <w:trPr>
          <w:trHeight w:val="422" w:hRule="exact"/>
        </w:trPr>
        <w:tc>
          <w:tcPr>
            <w:tcW w:w="8520" w:type="dxa"/>
            <w:tcBorders>
              <w:top w:val="single" w:color="auto" w:sz="4" w:space="0"/>
              <w:left w:val="single" w:color="auto" w:sz="4" w:space="0"/>
              <w:bottom w:val="single" w:color="auto" w:sz="4" w:space="0"/>
              <w:right w:val="single" w:color="auto" w:sz="4" w:space="0"/>
            </w:tcBorders>
            <w:vAlign w:val="center"/>
          </w:tcPr>
          <w:p w14:paraId="3D67B418">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6.</w:t>
            </w:r>
            <w:r>
              <w:rPr>
                <w:rFonts w:hint="eastAsia" w:ascii="仿宋" w:hAnsi="仿宋" w:eastAsia="仿宋" w:cs="仿宋"/>
                <w:color w:val="auto"/>
                <w:kern w:val="0"/>
                <w:sz w:val="21"/>
                <w:szCs w:val="21"/>
                <w:highlight w:val="none"/>
                <w:lang w:val="en-US" w:eastAsia="zh-CN"/>
              </w:rPr>
              <w:t>严禁扒、蹬、跳、坐皮带。</w:t>
            </w:r>
          </w:p>
        </w:tc>
      </w:tr>
      <w:tr w14:paraId="7FB67BD0">
        <w:tblPrEx>
          <w:tblCellMar>
            <w:top w:w="0" w:type="dxa"/>
            <w:left w:w="108" w:type="dxa"/>
            <w:bottom w:w="0" w:type="dxa"/>
            <w:right w:w="108" w:type="dxa"/>
          </w:tblCellMar>
        </w:tblPrEx>
        <w:trPr>
          <w:trHeight w:val="422" w:hRule="exact"/>
        </w:trPr>
        <w:tc>
          <w:tcPr>
            <w:tcW w:w="8520" w:type="dxa"/>
            <w:tcBorders>
              <w:top w:val="single" w:color="auto" w:sz="4" w:space="0"/>
              <w:left w:val="single" w:color="auto" w:sz="4" w:space="0"/>
              <w:bottom w:val="single" w:color="auto" w:sz="4" w:space="0"/>
              <w:right w:val="single" w:color="auto" w:sz="4" w:space="0"/>
            </w:tcBorders>
            <w:vAlign w:val="center"/>
          </w:tcPr>
          <w:p w14:paraId="7B7D34A6">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7</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eastAsia="zh-CN"/>
              </w:rPr>
              <w:t>井下作业时，</w:t>
            </w:r>
            <w:r>
              <w:rPr>
                <w:rFonts w:hint="eastAsia" w:ascii="仿宋" w:hAnsi="仿宋" w:eastAsia="仿宋" w:cs="仿宋"/>
                <w:color w:val="auto"/>
                <w:kern w:val="0"/>
                <w:sz w:val="21"/>
                <w:szCs w:val="21"/>
                <w:highlight w:val="none"/>
                <w:lang w:val="en-US" w:eastAsia="zh-CN"/>
              </w:rPr>
              <w:t>确认周围综掘机、耙装机等设备已停机闭锁。</w:t>
            </w:r>
          </w:p>
        </w:tc>
      </w:tr>
      <w:tr w14:paraId="554EC190">
        <w:tblPrEx>
          <w:tblCellMar>
            <w:top w:w="0" w:type="dxa"/>
            <w:left w:w="108" w:type="dxa"/>
            <w:bottom w:w="0" w:type="dxa"/>
            <w:right w:w="108" w:type="dxa"/>
          </w:tblCellMar>
        </w:tblPrEx>
        <w:trPr>
          <w:trHeight w:val="437" w:hRule="exact"/>
        </w:trPr>
        <w:tc>
          <w:tcPr>
            <w:tcW w:w="8520" w:type="dxa"/>
            <w:tcBorders>
              <w:top w:val="single" w:color="auto" w:sz="4" w:space="0"/>
              <w:left w:val="single" w:color="auto" w:sz="4" w:space="0"/>
              <w:bottom w:val="single" w:color="auto" w:sz="4" w:space="0"/>
              <w:right w:val="single" w:color="auto" w:sz="4" w:space="0"/>
            </w:tcBorders>
            <w:vAlign w:val="center"/>
          </w:tcPr>
          <w:p w14:paraId="39F58F87">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8</w:t>
            </w:r>
            <w:r>
              <w:rPr>
                <w:rFonts w:hint="eastAsia" w:ascii="仿宋" w:hAnsi="仿宋" w:eastAsia="仿宋" w:cs="仿宋"/>
                <w:color w:val="auto"/>
                <w:kern w:val="0"/>
                <w:sz w:val="21"/>
                <w:szCs w:val="21"/>
                <w:highlight w:val="none"/>
              </w:rPr>
              <w:t>.将</w:t>
            </w:r>
            <w:r>
              <w:rPr>
                <w:rFonts w:hint="eastAsia" w:ascii="仿宋" w:hAnsi="仿宋" w:eastAsia="仿宋" w:cs="仿宋"/>
                <w:color w:val="auto"/>
                <w:kern w:val="0"/>
                <w:sz w:val="21"/>
                <w:szCs w:val="21"/>
                <w:highlight w:val="none"/>
                <w:lang w:eastAsia="zh-CN"/>
              </w:rPr>
              <w:t>后退路线上</w:t>
            </w:r>
            <w:r>
              <w:rPr>
                <w:rFonts w:hint="eastAsia" w:ascii="仿宋" w:hAnsi="仿宋" w:eastAsia="仿宋" w:cs="仿宋"/>
                <w:color w:val="auto"/>
                <w:kern w:val="0"/>
                <w:sz w:val="21"/>
                <w:szCs w:val="21"/>
                <w:highlight w:val="none"/>
              </w:rPr>
              <w:t>材料清理干净，保证人行道畅通</w:t>
            </w:r>
            <w:r>
              <w:rPr>
                <w:rFonts w:hint="eastAsia" w:ascii="仿宋" w:hAnsi="仿宋" w:eastAsia="仿宋" w:cs="仿宋"/>
                <w:color w:val="auto"/>
                <w:kern w:val="0"/>
                <w:sz w:val="21"/>
                <w:szCs w:val="21"/>
                <w:highlight w:val="none"/>
                <w:lang w:eastAsia="zh-CN"/>
              </w:rPr>
              <w:t>。</w:t>
            </w:r>
          </w:p>
        </w:tc>
      </w:tr>
    </w:tbl>
    <w:p w14:paraId="1EE354F7">
      <w:pPr>
        <w:keepNext w:val="0"/>
        <w:keepLines w:val="0"/>
        <w:pageBreakBefore w:val="0"/>
        <w:kinsoku/>
        <w:wordWrap/>
        <w:overflowPunct/>
        <w:topLinePunct w:val="0"/>
        <w:autoSpaceDE/>
        <w:autoSpaceDN/>
        <w:bidi w:val="0"/>
        <w:adjustRightInd/>
        <w:spacing w:line="500" w:lineRule="exact"/>
        <w:outlineLvl w:val="9"/>
        <w:rPr>
          <w:rFonts w:hint="eastAsia" w:ascii="仿宋" w:hAnsi="仿宋" w:eastAsia="仿宋" w:cs="仿宋"/>
          <w:b/>
          <w:color w:val="auto"/>
          <w:sz w:val="28"/>
          <w:szCs w:val="28"/>
          <w:highlight w:val="none"/>
        </w:rPr>
      </w:pPr>
    </w:p>
    <w:tbl>
      <w:tblPr>
        <w:tblStyle w:val="12"/>
        <w:tblW w:w="8480" w:type="dxa"/>
        <w:tblInd w:w="1" w:type="dxa"/>
        <w:tblLayout w:type="fixed"/>
        <w:tblCellMar>
          <w:top w:w="0" w:type="dxa"/>
          <w:left w:w="108" w:type="dxa"/>
          <w:bottom w:w="0" w:type="dxa"/>
          <w:right w:w="108" w:type="dxa"/>
        </w:tblCellMar>
      </w:tblPr>
      <w:tblGrid>
        <w:gridCol w:w="1610"/>
        <w:gridCol w:w="2154"/>
        <w:gridCol w:w="4716"/>
      </w:tblGrid>
      <w:tr w14:paraId="6C065485">
        <w:tblPrEx>
          <w:tblCellMar>
            <w:top w:w="0" w:type="dxa"/>
            <w:left w:w="108" w:type="dxa"/>
            <w:bottom w:w="0" w:type="dxa"/>
            <w:right w:w="108" w:type="dxa"/>
          </w:tblCellMar>
        </w:tblPrEx>
        <w:trPr>
          <w:trHeight w:val="383" w:hRule="atLeast"/>
        </w:trPr>
        <w:tc>
          <w:tcPr>
            <w:tcW w:w="8480" w:type="dxa"/>
            <w:gridSpan w:val="3"/>
            <w:tcBorders>
              <w:top w:val="single" w:color="000000" w:sz="4" w:space="0"/>
              <w:left w:val="single" w:color="000000" w:sz="4" w:space="0"/>
              <w:bottom w:val="single" w:color="000000" w:sz="4" w:space="0"/>
              <w:right w:val="single" w:color="000000" w:sz="4" w:space="0"/>
            </w:tcBorders>
            <w:vAlign w:val="center"/>
          </w:tcPr>
          <w:p w14:paraId="7B4CE7C7">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8"/>
                <w:szCs w:val="28"/>
                <w:highlight w:val="none"/>
                <w:u w:val="none"/>
              </w:rPr>
            </w:pPr>
            <w:r>
              <w:rPr>
                <w:rFonts w:hint="eastAsia" w:ascii="仿宋" w:hAnsi="仿宋" w:eastAsia="仿宋" w:cs="仿宋"/>
                <w:b/>
                <w:bCs/>
                <w:color w:val="auto"/>
                <w:kern w:val="0"/>
                <w:sz w:val="21"/>
                <w:szCs w:val="21"/>
                <w:highlight w:val="none"/>
                <w:lang w:val="en-US" w:eastAsia="zh-CN"/>
              </w:rPr>
              <w:t>测量工操作过程注意事项</w:t>
            </w:r>
          </w:p>
        </w:tc>
      </w:tr>
      <w:tr w14:paraId="434EB518">
        <w:tblPrEx>
          <w:tblCellMar>
            <w:top w:w="0" w:type="dxa"/>
            <w:left w:w="108" w:type="dxa"/>
            <w:bottom w:w="0" w:type="dxa"/>
            <w:right w:w="108" w:type="dxa"/>
          </w:tblCellMar>
        </w:tblPrEx>
        <w:trPr>
          <w:trHeight w:val="195" w:hRule="atLeast"/>
        </w:trPr>
        <w:tc>
          <w:tcPr>
            <w:tcW w:w="1610" w:type="dxa"/>
            <w:tcBorders>
              <w:top w:val="single" w:color="000000" w:sz="4" w:space="0"/>
              <w:left w:val="single" w:color="000000" w:sz="4" w:space="0"/>
              <w:bottom w:val="single" w:color="000000" w:sz="4" w:space="0"/>
              <w:right w:val="single" w:color="000000" w:sz="4" w:space="0"/>
            </w:tcBorders>
            <w:vAlign w:val="center"/>
          </w:tcPr>
          <w:p w14:paraId="64A752A9">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2154" w:type="dxa"/>
            <w:tcBorders>
              <w:top w:val="single" w:color="000000" w:sz="4" w:space="0"/>
              <w:left w:val="single" w:color="000000" w:sz="4" w:space="0"/>
              <w:bottom w:val="single" w:color="000000" w:sz="4" w:space="0"/>
              <w:right w:val="single" w:color="000000" w:sz="4" w:space="0"/>
            </w:tcBorders>
            <w:vAlign w:val="center"/>
          </w:tcPr>
          <w:p w14:paraId="0E5F7604">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4716" w:type="dxa"/>
            <w:tcBorders>
              <w:top w:val="single" w:color="000000" w:sz="4" w:space="0"/>
              <w:left w:val="single" w:color="000000" w:sz="4" w:space="0"/>
              <w:bottom w:val="single" w:color="000000" w:sz="4" w:space="0"/>
              <w:right w:val="single" w:color="000000" w:sz="4" w:space="0"/>
            </w:tcBorders>
            <w:vAlign w:val="center"/>
          </w:tcPr>
          <w:p w14:paraId="4409DF6A">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14:paraId="79AD5B59">
        <w:tblPrEx>
          <w:tblCellMar>
            <w:top w:w="0" w:type="dxa"/>
            <w:left w:w="108" w:type="dxa"/>
            <w:bottom w:w="0" w:type="dxa"/>
            <w:right w:w="108" w:type="dxa"/>
          </w:tblCellMar>
        </w:tblPrEx>
        <w:trPr>
          <w:trHeight w:val="760" w:hRule="atLeast"/>
        </w:trPr>
        <w:tc>
          <w:tcPr>
            <w:tcW w:w="1610" w:type="dxa"/>
            <w:vMerge w:val="restart"/>
            <w:tcBorders>
              <w:top w:val="single" w:color="000000" w:sz="4" w:space="0"/>
              <w:left w:val="single" w:color="000000" w:sz="4" w:space="0"/>
              <w:bottom w:val="single" w:color="000000" w:sz="4" w:space="0"/>
              <w:right w:val="single" w:color="000000" w:sz="4" w:space="0"/>
            </w:tcBorders>
            <w:vAlign w:val="center"/>
          </w:tcPr>
          <w:p w14:paraId="7DD9634C">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测量</w:t>
            </w:r>
          </w:p>
        </w:tc>
        <w:tc>
          <w:tcPr>
            <w:tcW w:w="2154" w:type="dxa"/>
            <w:tcBorders>
              <w:top w:val="single" w:color="000000" w:sz="4" w:space="0"/>
              <w:left w:val="single" w:color="000000" w:sz="4" w:space="0"/>
              <w:bottom w:val="single" w:color="000000" w:sz="4" w:space="0"/>
              <w:right w:val="single" w:color="000000" w:sz="4" w:space="0"/>
            </w:tcBorders>
            <w:vAlign w:val="center"/>
          </w:tcPr>
          <w:p w14:paraId="421570C7">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4716" w:type="dxa"/>
            <w:tcBorders>
              <w:top w:val="single" w:color="000000" w:sz="4" w:space="0"/>
              <w:left w:val="single" w:color="000000" w:sz="4" w:space="0"/>
              <w:bottom w:val="single" w:color="000000" w:sz="4" w:space="0"/>
              <w:right w:val="single" w:color="000000" w:sz="4" w:space="0"/>
            </w:tcBorders>
            <w:vAlign w:val="center"/>
          </w:tcPr>
          <w:p w14:paraId="6C166AAB">
            <w:pPr>
              <w:keepNext w:val="0"/>
              <w:keepLines w:val="0"/>
              <w:pageBreakBefore w:val="0"/>
              <w:widowControl/>
              <w:numPr>
                <w:ilvl w:val="0"/>
                <w:numId w:val="23"/>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检查顶帮完好；</w:t>
            </w:r>
          </w:p>
          <w:p w14:paraId="4590943C">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sz w:val="21"/>
                <w:szCs w:val="21"/>
                <w:highlight w:val="none"/>
                <w:u w:val="none"/>
                <w:lang w:eastAsia="zh-CN"/>
              </w:rPr>
            </w:pPr>
            <w:r>
              <w:rPr>
                <w:rFonts w:hint="eastAsia" w:ascii="仿宋" w:hAnsi="仿宋" w:eastAsia="仿宋" w:cs="仿宋"/>
                <w:i w:val="0"/>
                <w:iCs w:val="0"/>
                <w:color w:val="auto"/>
                <w:kern w:val="0"/>
                <w:sz w:val="21"/>
                <w:szCs w:val="21"/>
                <w:highlight w:val="none"/>
                <w:u w:val="none"/>
                <w:lang w:val="en-US" w:eastAsia="zh-CN" w:bidi="ar"/>
              </w:rPr>
              <w:t>2.检查脚下无松动矸石</w:t>
            </w:r>
            <w:r>
              <w:rPr>
                <w:rFonts w:hint="eastAsia" w:ascii="仿宋" w:hAnsi="仿宋" w:eastAsia="仿宋" w:cs="仿宋"/>
                <w:color w:val="auto"/>
                <w:kern w:val="0"/>
                <w:sz w:val="21"/>
                <w:szCs w:val="21"/>
                <w:highlight w:val="none"/>
                <w:lang w:eastAsia="zh-CN"/>
              </w:rPr>
              <w:t>、物料等；</w:t>
            </w:r>
          </w:p>
          <w:p w14:paraId="0037BA97">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lang w:eastAsia="zh-CN"/>
              </w:rPr>
              <w:t>确保</w:t>
            </w:r>
            <w:r>
              <w:rPr>
                <w:rFonts w:hint="eastAsia" w:ascii="仿宋" w:hAnsi="仿宋" w:eastAsia="仿宋" w:cs="仿宋"/>
                <w:color w:val="auto"/>
                <w:kern w:val="0"/>
                <w:sz w:val="21"/>
                <w:szCs w:val="21"/>
                <w:highlight w:val="none"/>
              </w:rPr>
              <w:t>后退路</w:t>
            </w:r>
            <w:r>
              <w:rPr>
                <w:rFonts w:hint="eastAsia" w:ascii="仿宋" w:hAnsi="仿宋" w:eastAsia="仿宋" w:cs="仿宋"/>
                <w:color w:val="auto"/>
                <w:kern w:val="0"/>
                <w:sz w:val="21"/>
                <w:szCs w:val="21"/>
                <w:highlight w:val="none"/>
                <w:lang w:eastAsia="zh-CN"/>
              </w:rPr>
              <w:t>线</w:t>
            </w:r>
            <w:r>
              <w:rPr>
                <w:rFonts w:hint="eastAsia" w:ascii="仿宋" w:hAnsi="仿宋" w:eastAsia="仿宋" w:cs="仿宋"/>
                <w:color w:val="auto"/>
                <w:kern w:val="0"/>
                <w:sz w:val="21"/>
                <w:szCs w:val="21"/>
                <w:highlight w:val="none"/>
              </w:rPr>
              <w:t>畅通</w:t>
            </w:r>
            <w:r>
              <w:rPr>
                <w:rFonts w:hint="eastAsia" w:ascii="仿宋" w:hAnsi="仿宋" w:eastAsia="仿宋" w:cs="仿宋"/>
                <w:color w:val="auto"/>
                <w:kern w:val="0"/>
                <w:sz w:val="21"/>
                <w:szCs w:val="21"/>
                <w:highlight w:val="none"/>
                <w:lang w:eastAsia="zh-CN"/>
              </w:rPr>
              <w:t>；</w:t>
            </w:r>
          </w:p>
          <w:p w14:paraId="60849FCC">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sz w:val="21"/>
                <w:szCs w:val="21"/>
                <w:highlight w:val="none"/>
                <w:u w:val="none"/>
                <w:lang w:eastAsia="zh-CN"/>
              </w:rPr>
            </w:pPr>
            <w:r>
              <w:rPr>
                <w:rFonts w:hint="eastAsia" w:ascii="仿宋" w:hAnsi="仿宋" w:eastAsia="仿宋" w:cs="仿宋"/>
                <w:color w:val="auto"/>
                <w:kern w:val="0"/>
                <w:sz w:val="21"/>
                <w:szCs w:val="21"/>
                <w:highlight w:val="none"/>
                <w:lang w:val="en-US" w:eastAsia="zh-CN"/>
              </w:rPr>
              <w:t>4.确认周围综掘机、耙装机等设备已停机闭锁。</w:t>
            </w:r>
          </w:p>
        </w:tc>
      </w:tr>
      <w:tr w14:paraId="40454D3D">
        <w:trPr>
          <w:trHeight w:val="195" w:hRule="atLeast"/>
        </w:trPr>
        <w:tc>
          <w:tcPr>
            <w:tcW w:w="1610" w:type="dxa"/>
            <w:vMerge w:val="continue"/>
            <w:tcBorders>
              <w:top w:val="single" w:color="000000" w:sz="4" w:space="0"/>
              <w:left w:val="single" w:color="000000" w:sz="4" w:space="0"/>
              <w:bottom w:val="single" w:color="000000" w:sz="4" w:space="0"/>
              <w:right w:val="single" w:color="000000" w:sz="4" w:space="0"/>
            </w:tcBorders>
            <w:vAlign w:val="center"/>
          </w:tcPr>
          <w:p w14:paraId="6C0E3B49">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54" w:type="dxa"/>
            <w:tcBorders>
              <w:top w:val="single" w:color="000000" w:sz="4" w:space="0"/>
              <w:left w:val="single" w:color="000000" w:sz="4" w:space="0"/>
              <w:bottom w:val="single" w:color="000000" w:sz="4" w:space="0"/>
              <w:right w:val="single" w:color="000000" w:sz="4" w:space="0"/>
            </w:tcBorders>
            <w:vAlign w:val="center"/>
          </w:tcPr>
          <w:p w14:paraId="08C65BD6">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查仪器</w:t>
            </w:r>
          </w:p>
        </w:tc>
        <w:tc>
          <w:tcPr>
            <w:tcW w:w="4716" w:type="dxa"/>
            <w:tcBorders>
              <w:top w:val="single" w:color="000000" w:sz="4" w:space="0"/>
              <w:left w:val="single" w:color="000000" w:sz="4" w:space="0"/>
              <w:bottom w:val="single" w:color="000000" w:sz="4" w:space="0"/>
              <w:right w:val="single" w:color="000000" w:sz="4" w:space="0"/>
            </w:tcBorders>
            <w:vAlign w:val="center"/>
          </w:tcPr>
          <w:p w14:paraId="576478E3">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工具齐全完好，精度符合要求。</w:t>
            </w:r>
          </w:p>
        </w:tc>
      </w:tr>
      <w:tr w14:paraId="216784CE">
        <w:tblPrEx>
          <w:tblCellMar>
            <w:top w:w="0" w:type="dxa"/>
            <w:left w:w="108" w:type="dxa"/>
            <w:bottom w:w="0" w:type="dxa"/>
            <w:right w:w="108" w:type="dxa"/>
          </w:tblCellMar>
        </w:tblPrEx>
        <w:trPr>
          <w:trHeight w:val="760" w:hRule="atLeast"/>
        </w:trPr>
        <w:tc>
          <w:tcPr>
            <w:tcW w:w="1610" w:type="dxa"/>
            <w:vMerge w:val="continue"/>
            <w:tcBorders>
              <w:top w:val="single" w:color="000000" w:sz="4" w:space="0"/>
              <w:left w:val="single" w:color="000000" w:sz="4" w:space="0"/>
              <w:bottom w:val="single" w:color="000000" w:sz="4" w:space="0"/>
              <w:right w:val="single" w:color="000000" w:sz="4" w:space="0"/>
            </w:tcBorders>
            <w:vAlign w:val="center"/>
          </w:tcPr>
          <w:p w14:paraId="68DDA707">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54" w:type="dxa"/>
            <w:tcBorders>
              <w:top w:val="single" w:color="000000" w:sz="4" w:space="0"/>
              <w:left w:val="single" w:color="000000" w:sz="4" w:space="0"/>
              <w:bottom w:val="single" w:color="000000" w:sz="4" w:space="0"/>
              <w:right w:val="single" w:color="000000" w:sz="4" w:space="0"/>
            </w:tcBorders>
            <w:vAlign w:val="center"/>
          </w:tcPr>
          <w:p w14:paraId="1BA3D3BF">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精操作</w:t>
            </w:r>
          </w:p>
        </w:tc>
        <w:tc>
          <w:tcPr>
            <w:tcW w:w="4716" w:type="dxa"/>
            <w:tcBorders>
              <w:top w:val="single" w:color="000000" w:sz="4" w:space="0"/>
              <w:left w:val="single" w:color="000000" w:sz="4" w:space="0"/>
              <w:bottom w:val="single" w:color="000000" w:sz="4" w:space="0"/>
              <w:right w:val="single" w:color="000000" w:sz="4" w:space="0"/>
            </w:tcBorders>
            <w:vAlign w:val="center"/>
          </w:tcPr>
          <w:p w14:paraId="03706DB7">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1.观测选点准确，人员站位得当；</w:t>
            </w:r>
          </w:p>
          <w:p w14:paraId="61971F9F">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2.架设仪器安全牢固，打桩桩绳稳固可靠；</w:t>
            </w:r>
          </w:p>
          <w:p w14:paraId="657E8179">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3.严格按照测量安全技术操作规程进行观测；</w:t>
            </w:r>
          </w:p>
          <w:p w14:paraId="7631BC3C">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4.进行复测校验，现场记录写实。</w:t>
            </w:r>
          </w:p>
        </w:tc>
      </w:tr>
      <w:tr w14:paraId="4111A85A">
        <w:trPr>
          <w:trHeight w:val="766" w:hRule="atLeast"/>
        </w:trPr>
        <w:tc>
          <w:tcPr>
            <w:tcW w:w="1610" w:type="dxa"/>
            <w:vMerge w:val="continue"/>
            <w:tcBorders>
              <w:top w:val="single" w:color="000000" w:sz="4" w:space="0"/>
              <w:left w:val="single" w:color="000000" w:sz="4" w:space="0"/>
              <w:bottom w:val="single" w:color="000000" w:sz="4" w:space="0"/>
              <w:right w:val="single" w:color="000000" w:sz="4" w:space="0"/>
            </w:tcBorders>
            <w:vAlign w:val="center"/>
          </w:tcPr>
          <w:p w14:paraId="2F76D7C0">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54" w:type="dxa"/>
            <w:tcBorders>
              <w:top w:val="single" w:color="000000" w:sz="4" w:space="0"/>
              <w:left w:val="single" w:color="000000" w:sz="4" w:space="0"/>
              <w:bottom w:val="single" w:color="000000" w:sz="4" w:space="0"/>
              <w:right w:val="single" w:color="000000" w:sz="4" w:space="0"/>
            </w:tcBorders>
            <w:vAlign w:val="center"/>
          </w:tcPr>
          <w:p w14:paraId="2A64B21C">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做尾功</w:t>
            </w:r>
          </w:p>
        </w:tc>
        <w:tc>
          <w:tcPr>
            <w:tcW w:w="4716" w:type="dxa"/>
            <w:tcBorders>
              <w:top w:val="single" w:color="000000" w:sz="4" w:space="0"/>
              <w:left w:val="single" w:color="000000" w:sz="4" w:space="0"/>
              <w:bottom w:val="single" w:color="000000" w:sz="4" w:space="0"/>
              <w:right w:val="single" w:color="000000" w:sz="4" w:space="0"/>
            </w:tcBorders>
            <w:vAlign w:val="center"/>
          </w:tcPr>
          <w:p w14:paraId="6645B228">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1.测量完成后，按照拆卸顺序，将仪器放入仪器箱和工具包；</w:t>
            </w:r>
          </w:p>
          <w:p w14:paraId="4932103D">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2.清除记录本上粉尘，放入专用工具包内，由专人保送上井；</w:t>
            </w:r>
          </w:p>
          <w:p w14:paraId="3ABFC008">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3.清点工器具，集体排队升井。</w:t>
            </w:r>
          </w:p>
        </w:tc>
      </w:tr>
    </w:tbl>
    <w:p w14:paraId="25CDDB7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471" w:name="_Toc12153"/>
      <w:r>
        <w:rPr>
          <w:rFonts w:hint="eastAsia" w:ascii="仿宋" w:hAnsi="仿宋" w:eastAsia="仿宋" w:cs="仿宋"/>
          <w:b/>
          <w:color w:val="auto"/>
          <w:sz w:val="28"/>
          <w:szCs w:val="28"/>
          <w:highlight w:val="none"/>
        </w:rPr>
        <w:t>一、一般规定</w:t>
      </w:r>
      <w:bookmarkEnd w:id="471"/>
    </w:p>
    <w:p w14:paraId="091D6C6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14:paraId="05686F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）乘坐罐笼按顺序上下，不可拥挤和打闹；罐笼运行中，不要把头和手脚伸到罐外；不准向井筒里扔东西。</w:t>
      </w:r>
    </w:p>
    <w:p w14:paraId="18A08B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三</w:t>
      </w:r>
      <w:r>
        <w:rPr>
          <w:rFonts w:hint="eastAsia" w:ascii="仿宋" w:hAnsi="仿宋" w:eastAsia="仿宋" w:cs="仿宋"/>
          <w:b w:val="0"/>
          <w:bCs/>
          <w:color w:val="auto"/>
          <w:sz w:val="28"/>
          <w:szCs w:val="28"/>
          <w:highlight w:val="none"/>
        </w:rPr>
        <w:t>）严格执行行车不行人制度，斜巷行人遇行车时立即进入躲避硐。</w:t>
      </w:r>
    </w:p>
    <w:p w14:paraId="44E8A8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）在井下行走要走人行道，横穿巷道，过弯道、交叉口时，要做到一停、二看、三确认安全后通过。</w:t>
      </w:r>
    </w:p>
    <w:p w14:paraId="7140C6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）乘坐架空乘人装置时必须在规定候车区域等候，按顺序乘坐，不得在绳下穿越。</w:t>
      </w:r>
    </w:p>
    <w:p w14:paraId="7105AF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）人员严禁站在起吊的重物下方或重物可能倒向的位置。严禁站在提升物体的绳道内、运行的设备或带电体上。</w:t>
      </w:r>
    </w:p>
    <w:p w14:paraId="564A89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七</w:t>
      </w:r>
      <w:r>
        <w:rPr>
          <w:rFonts w:hint="eastAsia" w:ascii="仿宋" w:hAnsi="仿宋" w:eastAsia="仿宋" w:cs="仿宋"/>
          <w:b w:val="0"/>
          <w:bCs/>
          <w:color w:val="auto"/>
          <w:sz w:val="28"/>
          <w:szCs w:val="28"/>
          <w:highlight w:val="none"/>
        </w:rPr>
        <w:t>）严禁随意打开密闭、栅栏进入盲巷；严禁随意进入工作面隅角。</w:t>
      </w:r>
    </w:p>
    <w:p w14:paraId="7D65EA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八</w:t>
      </w:r>
      <w:r>
        <w:rPr>
          <w:rFonts w:hint="eastAsia" w:ascii="仿宋" w:hAnsi="仿宋" w:eastAsia="仿宋" w:cs="仿宋"/>
          <w:b w:val="0"/>
          <w:bCs/>
          <w:color w:val="auto"/>
          <w:sz w:val="28"/>
          <w:szCs w:val="28"/>
          <w:highlight w:val="none"/>
        </w:rPr>
        <w:t>）严禁同时打开两道风门，严禁随意调节风窗。</w:t>
      </w:r>
    </w:p>
    <w:p w14:paraId="5508E9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九</w:t>
      </w:r>
      <w:r>
        <w:rPr>
          <w:rFonts w:hint="eastAsia" w:ascii="仿宋" w:hAnsi="仿宋" w:eastAsia="仿宋" w:cs="仿宋"/>
          <w:b w:val="0"/>
          <w:bCs/>
          <w:color w:val="auto"/>
          <w:sz w:val="28"/>
          <w:szCs w:val="28"/>
          <w:highlight w:val="none"/>
        </w:rPr>
        <w:t>）严禁扒车、跳车和坐矿车，当车辆经过时，人员要及时躲避。</w:t>
      </w:r>
    </w:p>
    <w:p w14:paraId="17F4B6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（十）跨越皮带时要走过桥，严禁直接蹬、坐皮带。严禁触及运行中的机电运输设备。</w:t>
      </w:r>
    </w:p>
    <w:p w14:paraId="5B4249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一</w:t>
      </w:r>
      <w:r>
        <w:rPr>
          <w:rFonts w:hint="eastAsia" w:ascii="仿宋" w:hAnsi="仿宋" w:eastAsia="仿宋" w:cs="仿宋"/>
          <w:b w:val="0"/>
          <w:bCs/>
          <w:color w:val="auto"/>
          <w:sz w:val="28"/>
          <w:szCs w:val="28"/>
          <w:highlight w:val="none"/>
        </w:rPr>
        <w:t>）工作（休息）时必须随时检查自己周围顶帮、机械及车辆等安全情况，发现险情及时躲避或处理。施工人员不得在以下地点逗留：巷道高度不够处、人行道安全间隙不够处、锚杆（索）失效等其它支护薄弱地点。</w:t>
      </w:r>
    </w:p>
    <w:p w14:paraId="486875A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）严禁在井下车场、各巷道口及下山片盘口蹲坐休息。</w:t>
      </w:r>
    </w:p>
    <w:p w14:paraId="4B3B39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三</w:t>
      </w:r>
      <w:r>
        <w:rPr>
          <w:rFonts w:hint="eastAsia" w:ascii="仿宋" w:hAnsi="仿宋" w:eastAsia="仿宋" w:cs="仿宋"/>
          <w:b w:val="0"/>
          <w:bCs/>
          <w:color w:val="auto"/>
          <w:sz w:val="28"/>
          <w:szCs w:val="28"/>
          <w:highlight w:val="none"/>
        </w:rPr>
        <w:t>）不得在产生噪声、辐射等危害的设备附近逗留。</w:t>
      </w:r>
    </w:p>
    <w:p w14:paraId="25F581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）发现有冒顶、透水预兆时，必须停止作业，立即撤出。</w:t>
      </w:r>
    </w:p>
    <w:p w14:paraId="5CC2A1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）严格执行入井前安全确认制度。</w:t>
      </w:r>
    </w:p>
    <w:p w14:paraId="172A85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）在高度大于</w:t>
      </w:r>
      <w:r>
        <w:rPr>
          <w:rFonts w:hint="eastAsia" w:ascii="仿宋" w:hAnsi="仿宋" w:eastAsia="仿宋" w:cs="仿宋"/>
          <w:b w:val="0"/>
          <w:bCs/>
          <w:color w:val="auto"/>
          <w:sz w:val="28"/>
          <w:szCs w:val="28"/>
          <w:highlight w:val="none"/>
          <w:lang w:val="en-US" w:eastAsia="zh-CN"/>
        </w:rPr>
        <w:t>1.5</w:t>
      </w:r>
      <w:r>
        <w:rPr>
          <w:rFonts w:hint="eastAsia" w:ascii="仿宋" w:hAnsi="仿宋" w:eastAsia="仿宋" w:cs="仿宋"/>
          <w:b w:val="0"/>
          <w:bCs/>
          <w:color w:val="auto"/>
          <w:sz w:val="28"/>
          <w:szCs w:val="28"/>
          <w:highlight w:val="none"/>
        </w:rPr>
        <w:t>米以上高空作业时，必须拴好安全带。</w:t>
      </w:r>
    </w:p>
    <w:p w14:paraId="789005F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472" w:name="_Toc10593"/>
      <w:r>
        <w:rPr>
          <w:rFonts w:hint="eastAsia" w:ascii="仿宋" w:hAnsi="仿宋" w:eastAsia="仿宋" w:cs="仿宋"/>
          <w:b/>
          <w:bCs w:val="0"/>
          <w:color w:val="auto"/>
          <w:sz w:val="28"/>
          <w:szCs w:val="28"/>
          <w:highlight w:val="none"/>
        </w:rPr>
        <w:t>二、薄弱人物排查治理办法</w:t>
      </w:r>
      <w:bookmarkEnd w:id="472"/>
    </w:p>
    <w:p w14:paraId="3BEEAFB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60D409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127E64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59D603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1A4298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6EE595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71D4FB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74CA1F3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291748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75204FA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416443E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757517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1E47EC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569608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3D3AE7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654618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243BB3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7CDEE1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240C5C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743C056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4ABEAEB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216BE42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58A797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5ED4C8D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62DCB6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AF10E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4FDEC8D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61C6D8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25FF42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7489BC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2208788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0E76FA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7D73AC4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35FC0DA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60671C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3146155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1F7BC83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3CCFF11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26DA59A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303AF0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1421490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101013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7D5DA7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5F55DB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5EA3D2C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4BE12A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53C7C64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3972C37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473" w:name="_Toc31762"/>
      <w:r>
        <w:rPr>
          <w:rFonts w:hint="eastAsia" w:ascii="仿宋" w:hAnsi="仿宋" w:eastAsia="仿宋" w:cs="仿宋"/>
          <w:b/>
          <w:color w:val="auto"/>
          <w:sz w:val="28"/>
          <w:szCs w:val="28"/>
          <w:highlight w:val="none"/>
        </w:rPr>
        <w:t>三、安全风险辨识与管控措施</w:t>
      </w:r>
      <w:bookmarkEnd w:id="473"/>
    </w:p>
    <w:p w14:paraId="19B590C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14:paraId="5204E78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工作面两端头采空区有时存在未及时垮落情况，留有漏风通道，采空区遗煤氧化蓄热，存在自然发火风险。</w:t>
      </w:r>
    </w:p>
    <w:p w14:paraId="5DCA30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管控措施：回采过程中不得任意留设顶底煤，落实工作面回采率考核，减少架后遗煤</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合理调配工作面风量，进回风隅角处常设挡风帘，减少采空区漏风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每天采取对采空区进行注氮、两端头喷洒阻化剂等预防性措施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根据作业规程要求，工作面两端头及时采用退锚措施，确保两端头采空区顶板垮落，悬顶面积超过规定及时采取措施强制放顶或施工隔离墙封堵两端头采空区，减少漏风通道。</w:t>
      </w:r>
    </w:p>
    <w:p w14:paraId="1DC56E4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工作面临近老空积水区，受采动、矿压等影响，可能存在老空出水风险。</w:t>
      </w:r>
    </w:p>
    <w:p w14:paraId="60D1BF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管控措施：按照预计最大涌水量安设排水系统，并保证排水系统畅通完善，巷道积水及时排出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按要求进行涌水量观测</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普及井下职工防治水知识，了解突水征兆，熟悉逃生路线和避灾方法。</w:t>
      </w:r>
    </w:p>
    <w:p w14:paraId="3EAC3DC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经鉴定我矿煤尘具有爆炸危险性，煤尘管理不到位可能引发煤尘爆炸风险。</w:t>
      </w:r>
    </w:p>
    <w:p w14:paraId="4D0E29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现场严格落实采煤工作面综合防尘管理措施，确保割煤机内外喷雾完好，压力满足要求，定期冲刷巷道积尘，减少采空区浮煤；各转载点、进回风巷防尘设施按要求安装、使用；加强煤尘浓度检测，浓度超标时立即采取措施降尘</w:t>
      </w:r>
      <w:r>
        <w:rPr>
          <w:rFonts w:hint="eastAsia" w:ascii="仿宋" w:hAnsi="仿宋" w:eastAsia="仿宋" w:cs="仿宋"/>
          <w:color w:val="auto"/>
          <w:sz w:val="28"/>
          <w:szCs w:val="28"/>
          <w:highlight w:val="none"/>
          <w:lang w:eastAsia="zh-CN"/>
        </w:rPr>
        <w:t>。</w:t>
      </w:r>
    </w:p>
    <w:p w14:paraId="0DDBE9A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）专用</w:t>
      </w:r>
      <w:r>
        <w:rPr>
          <w:rFonts w:hint="eastAsia" w:ascii="仿宋" w:hAnsi="仿宋" w:eastAsia="仿宋" w:cs="仿宋"/>
          <w:b/>
          <w:bCs/>
          <w:color w:val="auto"/>
          <w:sz w:val="28"/>
          <w:szCs w:val="28"/>
          <w:highlight w:val="none"/>
          <w:lang w:val="en-US" w:eastAsia="zh-CN"/>
        </w:rPr>
        <w:t>部分</w:t>
      </w:r>
    </w:p>
    <w:p w14:paraId="2DE0A4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1.测量操作前：</w:t>
      </w:r>
    </w:p>
    <w:p w14:paraId="0FB55A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68FFB4E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w:t>
      </w:r>
      <w:r>
        <w:rPr>
          <w:rFonts w:hint="eastAsia" w:ascii="仿宋" w:hAnsi="仿宋" w:eastAsia="仿宋" w:cs="仿宋"/>
          <w:color w:val="auto"/>
          <w:sz w:val="28"/>
          <w:szCs w:val="28"/>
          <w:highlight w:val="none"/>
          <w:lang w:eastAsia="zh-CN"/>
        </w:rPr>
        <w:t>。</w:t>
      </w:r>
    </w:p>
    <w:p w14:paraId="53DAED24">
      <w:pPr>
        <w:keepNext w:val="0"/>
        <w:keepLines w:val="0"/>
        <w:pageBreakBefore w:val="0"/>
        <w:widowControl/>
        <w:numPr>
          <w:ilvl w:val="0"/>
          <w:numId w:val="0"/>
        </w:numPr>
        <w:suppressLineNumbers w:val="0"/>
        <w:kinsoku/>
        <w:wordWrap/>
        <w:overflowPunct/>
        <w:topLinePunct w:val="0"/>
        <w:autoSpaceDE/>
        <w:autoSpaceDN/>
        <w:bidi w:val="0"/>
        <w:adjustRightInd/>
        <w:spacing w:line="500" w:lineRule="exact"/>
        <w:ind w:firstLine="560" w:firstLineChars="200"/>
        <w:jc w:val="left"/>
        <w:textAlignment w:val="center"/>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巷道底板有松动矸石</w:t>
      </w:r>
      <w:r>
        <w:rPr>
          <w:rFonts w:hint="eastAsia" w:ascii="仿宋" w:hAnsi="仿宋" w:eastAsia="仿宋" w:cs="仿宋"/>
          <w:color w:val="auto"/>
          <w:sz w:val="28"/>
          <w:szCs w:val="28"/>
          <w:highlight w:val="none"/>
          <w:lang w:eastAsia="zh-CN"/>
        </w:rPr>
        <w:t>、物料等，易出现人员摔伤风险。</w:t>
      </w:r>
    </w:p>
    <w:p w14:paraId="38130A5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测量操作前</w:t>
      </w:r>
      <w:r>
        <w:rPr>
          <w:rFonts w:hint="eastAsia" w:ascii="仿宋" w:hAnsi="仿宋" w:eastAsia="仿宋" w:cs="仿宋"/>
          <w:color w:val="auto"/>
          <w:sz w:val="28"/>
          <w:szCs w:val="28"/>
          <w:highlight w:val="none"/>
        </w:rPr>
        <w:t>，必须</w:t>
      </w:r>
      <w:r>
        <w:rPr>
          <w:rFonts w:hint="eastAsia" w:ascii="仿宋" w:hAnsi="仿宋" w:eastAsia="仿宋" w:cs="仿宋"/>
          <w:color w:val="auto"/>
          <w:sz w:val="28"/>
          <w:szCs w:val="28"/>
          <w:highlight w:val="none"/>
          <w:lang w:eastAsia="zh-CN"/>
        </w:rPr>
        <w:t>检查确认测量站位处底板没有松动矸石、物料等。</w:t>
      </w:r>
    </w:p>
    <w:p w14:paraId="1BC14058">
      <w:pPr>
        <w:keepNext w:val="0"/>
        <w:keepLines w:val="0"/>
        <w:pageBreakBefore w:val="0"/>
        <w:widowControl/>
        <w:numPr>
          <w:ilvl w:val="0"/>
          <w:numId w:val="0"/>
        </w:numPr>
        <w:suppressLineNumbers w:val="0"/>
        <w:kinsoku/>
        <w:wordWrap/>
        <w:overflowPunct/>
        <w:topLinePunct w:val="0"/>
        <w:autoSpaceDE/>
        <w:autoSpaceDN/>
        <w:bidi w:val="0"/>
        <w:adjustRightInd/>
        <w:spacing w:line="500" w:lineRule="exact"/>
        <w:ind w:firstLine="560" w:firstLineChars="200"/>
        <w:jc w:val="left"/>
        <w:textAlignment w:val="center"/>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后退路线上有杂物，易造成紧急情况下人员不能及时撤出。</w:t>
      </w:r>
    </w:p>
    <w:p w14:paraId="1253E44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确认后退路线上无物料等杂物。</w:t>
      </w:r>
    </w:p>
    <w:p w14:paraId="39BFD36E">
      <w:pPr>
        <w:keepNext w:val="0"/>
        <w:keepLines w:val="0"/>
        <w:pageBreakBefore w:val="0"/>
        <w:widowControl/>
        <w:numPr>
          <w:ilvl w:val="0"/>
          <w:numId w:val="0"/>
        </w:numPr>
        <w:suppressLineNumbers w:val="0"/>
        <w:kinsoku/>
        <w:wordWrap/>
        <w:overflowPunct/>
        <w:topLinePunct w:val="0"/>
        <w:autoSpaceDE/>
        <w:autoSpaceDN/>
        <w:bidi w:val="0"/>
        <w:adjustRightInd/>
        <w:spacing w:line="500" w:lineRule="exact"/>
        <w:ind w:firstLine="560" w:firstLineChars="200"/>
        <w:jc w:val="left"/>
        <w:textAlignment w:val="center"/>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④</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周围设备未停机闭锁，对人员造成伤害。</w:t>
      </w:r>
    </w:p>
    <w:p w14:paraId="4FAD264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确保周围综掘机、耙装机等设备已停机闭锁。</w:t>
      </w:r>
    </w:p>
    <w:p w14:paraId="1C99A04A">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w:t>
      </w:r>
    </w:p>
    <w:p w14:paraId="29C83A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5D3168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w:t>
      </w:r>
      <w:r>
        <w:rPr>
          <w:rFonts w:hint="eastAsia" w:ascii="仿宋" w:hAnsi="仿宋" w:eastAsia="仿宋" w:cs="仿宋"/>
          <w:color w:val="auto"/>
          <w:sz w:val="28"/>
          <w:szCs w:val="28"/>
          <w:highlight w:val="none"/>
          <w:lang w:eastAsia="zh-CN"/>
        </w:rPr>
        <w:t>。</w:t>
      </w:r>
    </w:p>
    <w:p w14:paraId="504122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测量设备倾倒，造成人员伤害</w:t>
      </w:r>
      <w:r>
        <w:rPr>
          <w:rFonts w:hint="eastAsia" w:ascii="仿宋" w:hAnsi="仿宋" w:eastAsia="仿宋" w:cs="仿宋"/>
          <w:color w:val="auto"/>
          <w:sz w:val="28"/>
          <w:szCs w:val="28"/>
          <w:highlight w:val="none"/>
          <w:lang w:eastAsia="zh-CN"/>
        </w:rPr>
        <w:t>。</w:t>
      </w:r>
    </w:p>
    <w:p w14:paraId="25BDFD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架设仪器安全牢固，打桩桩绳稳固可靠</w:t>
      </w:r>
      <w:r>
        <w:rPr>
          <w:rFonts w:hint="eastAsia" w:ascii="仿宋" w:hAnsi="仿宋" w:eastAsia="仿宋" w:cs="仿宋"/>
          <w:color w:val="auto"/>
          <w:sz w:val="28"/>
          <w:szCs w:val="28"/>
          <w:highlight w:val="none"/>
          <w:lang w:val="en-US" w:eastAsia="zh-CN"/>
        </w:rPr>
        <w:t>。</w:t>
      </w:r>
    </w:p>
    <w:p w14:paraId="205B071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使用存在隐患的工具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造成伤人风险</w:t>
      </w:r>
      <w:r>
        <w:rPr>
          <w:rFonts w:hint="eastAsia" w:ascii="仿宋" w:hAnsi="仿宋" w:eastAsia="仿宋" w:cs="仿宋"/>
          <w:color w:val="auto"/>
          <w:sz w:val="28"/>
          <w:szCs w:val="28"/>
          <w:highlight w:val="none"/>
          <w:lang w:eastAsia="zh-CN"/>
        </w:rPr>
        <w:t>。</w:t>
      </w:r>
    </w:p>
    <w:p w14:paraId="6EC19E4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严禁使用掉头大锤，使用其他工器具时，严格检查工器具是否完好。</w:t>
      </w:r>
    </w:p>
    <w:p w14:paraId="7C91D1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④</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登高作业</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存在摔伤风险</w:t>
      </w:r>
      <w:r>
        <w:rPr>
          <w:rFonts w:hint="eastAsia" w:ascii="仿宋" w:hAnsi="仿宋" w:eastAsia="仿宋" w:cs="仿宋"/>
          <w:color w:val="auto"/>
          <w:sz w:val="28"/>
          <w:szCs w:val="28"/>
          <w:highlight w:val="none"/>
          <w:lang w:eastAsia="zh-CN"/>
        </w:rPr>
        <w:t>。</w:t>
      </w:r>
    </w:p>
    <w:p w14:paraId="2B13FB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更高作业须有专人监护，登高高度超过</w:t>
      </w:r>
      <w:r>
        <w:rPr>
          <w:rFonts w:hint="eastAsia" w:ascii="仿宋" w:hAnsi="仿宋" w:eastAsia="仿宋" w:cs="仿宋"/>
          <w:color w:val="auto"/>
          <w:sz w:val="28"/>
          <w:szCs w:val="28"/>
          <w:highlight w:val="none"/>
          <w:lang w:val="en-US" w:eastAsia="zh-CN"/>
        </w:rPr>
        <w:t>1.5m，需佩戴安全带</w:t>
      </w:r>
      <w:r>
        <w:rPr>
          <w:rFonts w:hint="eastAsia" w:ascii="仿宋" w:hAnsi="仿宋" w:eastAsia="仿宋" w:cs="仿宋"/>
          <w:color w:val="auto"/>
          <w:sz w:val="28"/>
          <w:szCs w:val="28"/>
          <w:highlight w:val="none"/>
          <w:lang w:eastAsia="zh-CN"/>
        </w:rPr>
        <w:t>。</w:t>
      </w:r>
    </w:p>
    <w:p w14:paraId="1746D00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3.测量操作后：</w:t>
      </w:r>
    </w:p>
    <w:p w14:paraId="3E6F2F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14:paraId="2C60D6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color w:val="auto"/>
          <w:sz w:val="28"/>
          <w:szCs w:val="28"/>
          <w:highlight w:val="none"/>
        </w:rPr>
        <w:t>管控措施：经常性的检查顶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w:t>
      </w:r>
      <w:r>
        <w:rPr>
          <w:rFonts w:hint="eastAsia" w:ascii="仿宋" w:hAnsi="仿宋" w:eastAsia="仿宋" w:cs="仿宋"/>
          <w:color w:val="auto"/>
          <w:sz w:val="28"/>
          <w:szCs w:val="28"/>
          <w:highlight w:val="none"/>
          <w:lang w:eastAsia="zh-CN"/>
        </w:rPr>
        <w:t>。</w:t>
      </w:r>
    </w:p>
    <w:p w14:paraId="67F15C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撤离升井存在运输车辆碰伤风险</w:t>
      </w:r>
      <w:r>
        <w:rPr>
          <w:rFonts w:hint="eastAsia" w:ascii="仿宋" w:hAnsi="仿宋" w:eastAsia="仿宋" w:cs="仿宋"/>
          <w:color w:val="auto"/>
          <w:sz w:val="28"/>
          <w:szCs w:val="28"/>
          <w:highlight w:val="none"/>
          <w:lang w:eastAsia="zh-CN"/>
        </w:rPr>
        <w:t>。</w:t>
      </w:r>
    </w:p>
    <w:p w14:paraId="29ABCA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不急不躁</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执行行车不行人制度。</w:t>
      </w:r>
    </w:p>
    <w:p w14:paraId="6C72866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474" w:name="_Toc27316"/>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）测量前</w:t>
      </w:r>
      <w:r>
        <w:rPr>
          <w:rFonts w:hint="eastAsia" w:ascii="仿宋" w:hAnsi="仿宋" w:eastAsia="仿宋" w:cs="仿宋"/>
          <w:b/>
          <w:color w:val="auto"/>
          <w:sz w:val="28"/>
          <w:szCs w:val="28"/>
          <w:highlight w:val="none"/>
        </w:rPr>
        <w:t>检查</w:t>
      </w:r>
      <w:bookmarkEnd w:id="474"/>
    </w:p>
    <w:p w14:paraId="2779914F">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8"/>
          <w:szCs w:val="28"/>
          <w:highlight w:val="none"/>
        </w:rPr>
        <w:t>1</w:t>
      </w:r>
      <w:r>
        <w:rPr>
          <w:rFonts w:hint="eastAsia" w:ascii="仿宋" w:hAnsi="仿宋" w:eastAsia="仿宋" w:cs="仿宋"/>
          <w:b w:val="0"/>
          <w:bCs/>
          <w:color w:val="auto"/>
          <w:sz w:val="28"/>
          <w:szCs w:val="28"/>
          <w:highlight w:val="none"/>
          <w:lang w:eastAsia="zh-CN"/>
        </w:rPr>
        <w:t>.</w:t>
      </w:r>
      <w:r>
        <w:rPr>
          <w:rFonts w:hint="eastAsia" w:ascii="仿宋" w:hAnsi="仿宋" w:eastAsia="仿宋" w:cs="仿宋"/>
          <w:color w:val="auto"/>
          <w:sz w:val="28"/>
          <w:szCs w:val="28"/>
          <w:highlight w:val="none"/>
          <w:lang w:eastAsia="zh-CN"/>
        </w:rPr>
        <w:t>确认顶帮支护完好，执行敲帮问顶制度，确认测量站位地点底板无松动矸石、物料等</w:t>
      </w:r>
      <w:r>
        <w:rPr>
          <w:rFonts w:hint="eastAsia" w:ascii="仿宋" w:hAnsi="仿宋" w:eastAsia="仿宋" w:cs="仿宋"/>
          <w:color w:val="auto"/>
          <w:sz w:val="28"/>
          <w:szCs w:val="28"/>
          <w:highlight w:val="none"/>
        </w:rPr>
        <w:t>。</w:t>
      </w:r>
    </w:p>
    <w:p w14:paraId="04A9C52C">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确认后退路线上无物料等杂物。</w:t>
      </w:r>
    </w:p>
    <w:p w14:paraId="54D37182">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确保周围综掘机、耙装机等设备已停机闭锁。</w:t>
      </w:r>
    </w:p>
    <w:p w14:paraId="7C0C089C">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lang w:eastAsia="zh-CN"/>
        </w:rPr>
        <w:t>.佩戴好个人防护用品。</w:t>
      </w:r>
    </w:p>
    <w:p w14:paraId="33632F97">
      <w:pPr>
        <w:keepNext w:val="0"/>
        <w:keepLines w:val="0"/>
        <w:pageBreakBefore w:val="0"/>
        <w:kinsoku/>
        <w:wordWrap/>
        <w:overflowPunct/>
        <w:topLinePunct w:val="0"/>
        <w:autoSpaceDE/>
        <w:autoSpaceDN/>
        <w:bidi w:val="0"/>
        <w:adjustRightInd/>
        <w:spacing w:line="500" w:lineRule="exact"/>
        <w:ind w:firstLine="562" w:firstLineChars="200"/>
        <w:jc w:val="left"/>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）测量操作中</w:t>
      </w:r>
      <w:r>
        <w:rPr>
          <w:rFonts w:hint="eastAsia" w:ascii="仿宋" w:hAnsi="仿宋" w:eastAsia="仿宋" w:cs="仿宋"/>
          <w:b/>
          <w:bCs/>
          <w:color w:val="auto"/>
          <w:sz w:val="28"/>
          <w:szCs w:val="28"/>
          <w:highlight w:val="none"/>
        </w:rPr>
        <w:t>确认</w:t>
      </w:r>
    </w:p>
    <w:p w14:paraId="39B3FB54">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1.</w:t>
      </w:r>
      <w:r>
        <w:rPr>
          <w:rFonts w:hint="eastAsia" w:ascii="仿宋" w:hAnsi="仿宋" w:eastAsia="仿宋" w:cs="仿宋"/>
          <w:color w:val="auto"/>
          <w:sz w:val="28"/>
          <w:szCs w:val="28"/>
          <w:highlight w:val="none"/>
          <w:lang w:val="en-US" w:eastAsia="zh-CN"/>
        </w:rPr>
        <w:t>工具齐全完好，精度符合要求。</w:t>
      </w:r>
    </w:p>
    <w:p w14:paraId="5B0C075F">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2.观测选点准确，人员站位得当。</w:t>
      </w:r>
    </w:p>
    <w:p w14:paraId="374A7257">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lang w:eastAsia="zh-CN"/>
        </w:rPr>
        <w:t>架设仪器安全牢固，打桩桩绳稳固可靠</w:t>
      </w:r>
      <w:r>
        <w:rPr>
          <w:rFonts w:hint="eastAsia" w:ascii="仿宋" w:hAnsi="仿宋" w:eastAsia="仿宋" w:cs="仿宋"/>
          <w:color w:val="auto"/>
          <w:sz w:val="28"/>
          <w:szCs w:val="28"/>
          <w:highlight w:val="none"/>
          <w:lang w:val="en-US" w:eastAsia="zh-CN"/>
        </w:rPr>
        <w:t>。</w:t>
      </w:r>
    </w:p>
    <w:p w14:paraId="539715D9">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4.严格按照测量安全技术操作规程进行观测。</w:t>
      </w:r>
    </w:p>
    <w:p w14:paraId="00BECB7D">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5.进行复测校验，现场记录写实。</w:t>
      </w:r>
    </w:p>
    <w:p w14:paraId="594E4033">
      <w:pPr>
        <w:keepNext w:val="0"/>
        <w:keepLines w:val="0"/>
        <w:pageBreakBefore w:val="0"/>
        <w:kinsoku/>
        <w:wordWrap/>
        <w:overflowPunct/>
        <w:topLinePunct w:val="0"/>
        <w:autoSpaceDE/>
        <w:autoSpaceDN/>
        <w:bidi w:val="0"/>
        <w:adjustRightInd/>
        <w:spacing w:line="500" w:lineRule="exact"/>
        <w:ind w:firstLine="562" w:firstLineChars="200"/>
        <w:jc w:val="left"/>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（三）测量结束后注意</w:t>
      </w:r>
    </w:p>
    <w:p w14:paraId="67F980EB">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1.测量完成后，按照拆卸顺序，将仪器放入仪器箱和工具包。</w:t>
      </w:r>
    </w:p>
    <w:p w14:paraId="7CC8A04B">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2.清除记录本上粉尘，放入专用工具包内，由专人保送上井。</w:t>
      </w:r>
    </w:p>
    <w:p w14:paraId="280C246A">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3.清点工器具，集体排队升井。</w:t>
      </w:r>
    </w:p>
    <w:p w14:paraId="59D3DD58">
      <w:pPr>
        <w:keepNext w:val="0"/>
        <w:keepLines w:val="0"/>
        <w:pageBreakBefore w:val="0"/>
        <w:kinsoku/>
        <w:wordWrap/>
        <w:overflowPunct/>
        <w:topLinePunct w:val="0"/>
        <w:autoSpaceDE/>
        <w:autoSpaceDN/>
        <w:bidi w:val="0"/>
        <w:adjustRightInd/>
        <w:snapToGrid w:val="0"/>
        <w:spacing w:line="500" w:lineRule="exact"/>
        <w:ind w:firstLine="562" w:firstLineChars="200"/>
        <w:outlineLvl w:val="9"/>
        <w:rPr>
          <w:rFonts w:hint="eastAsia" w:ascii="仿宋" w:hAnsi="仿宋" w:eastAsia="仿宋" w:cs="仿宋"/>
          <w:b/>
          <w:color w:val="auto"/>
          <w:sz w:val="28"/>
          <w:szCs w:val="28"/>
          <w:highlight w:val="none"/>
        </w:rPr>
      </w:pPr>
      <w:bookmarkStart w:id="475" w:name="_Toc13024"/>
      <w:r>
        <w:rPr>
          <w:rFonts w:hint="eastAsia" w:ascii="仿宋" w:hAnsi="仿宋" w:eastAsia="仿宋" w:cs="仿宋"/>
          <w:b/>
          <w:color w:val="auto"/>
          <w:sz w:val="28"/>
          <w:szCs w:val="28"/>
          <w:highlight w:val="none"/>
        </w:rPr>
        <w:t>五、</w:t>
      </w:r>
      <w:r>
        <w:rPr>
          <w:rFonts w:hint="eastAsia" w:ascii="仿宋" w:hAnsi="仿宋" w:eastAsia="仿宋" w:cs="仿宋"/>
          <w:b/>
          <w:color w:val="auto"/>
          <w:sz w:val="28"/>
          <w:szCs w:val="28"/>
          <w:highlight w:val="none"/>
          <w:lang w:eastAsia="zh-CN"/>
        </w:rPr>
        <w:t>测量工</w:t>
      </w:r>
      <w:r>
        <w:rPr>
          <w:rFonts w:hint="eastAsia" w:ascii="仿宋" w:hAnsi="仿宋" w:eastAsia="仿宋" w:cs="仿宋"/>
          <w:b/>
          <w:color w:val="auto"/>
          <w:sz w:val="28"/>
          <w:szCs w:val="28"/>
          <w:highlight w:val="none"/>
        </w:rPr>
        <w:t>正规操作</w:t>
      </w:r>
      <w:bookmarkEnd w:id="475"/>
    </w:p>
    <w:p w14:paraId="57832284">
      <w:pPr>
        <w:keepNext w:val="0"/>
        <w:keepLines w:val="0"/>
        <w:pageBreakBefore w:val="0"/>
        <w:kinsoku/>
        <w:wordWrap/>
        <w:overflowPunct/>
        <w:topLinePunct w:val="0"/>
        <w:autoSpaceDE/>
        <w:autoSpaceDN/>
        <w:bidi w:val="0"/>
        <w:adjustRightInd/>
        <w:snapToGrid w:val="0"/>
        <w:spacing w:line="500" w:lineRule="exact"/>
        <w:ind w:firstLine="562" w:firstLineChars="200"/>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eastAsia="zh-CN"/>
        </w:rPr>
        <w:t>测量</w:t>
      </w:r>
      <w:r>
        <w:rPr>
          <w:rFonts w:hint="eastAsia" w:ascii="仿宋" w:hAnsi="仿宋" w:eastAsia="仿宋" w:cs="仿宋"/>
          <w:b/>
          <w:color w:val="auto"/>
          <w:sz w:val="28"/>
          <w:szCs w:val="28"/>
          <w:highlight w:val="none"/>
        </w:rPr>
        <w:t>操作顺序：</w:t>
      </w:r>
    </w:p>
    <w:p w14:paraId="79A07A13">
      <w:pPr>
        <w:keepNext w:val="0"/>
        <w:keepLines w:val="0"/>
        <w:pageBreakBefore w:val="0"/>
        <w:kinsoku/>
        <w:wordWrap/>
        <w:overflowPunct/>
        <w:topLinePunct w:val="0"/>
        <w:autoSpaceDE/>
        <w:autoSpaceDN/>
        <w:bidi w:val="0"/>
        <w:adjustRightInd/>
        <w:snapToGrid w:val="0"/>
        <w:spacing w:line="500" w:lineRule="exact"/>
        <w:ind w:firstLine="560" w:firstLineChars="200"/>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检查</w:t>
      </w:r>
      <w:r>
        <w:rPr>
          <w:rFonts w:hint="eastAsia" w:ascii="仿宋" w:hAnsi="仿宋" w:eastAsia="仿宋" w:cs="仿宋"/>
          <w:color w:val="auto"/>
          <w:sz w:val="28"/>
          <w:szCs w:val="28"/>
          <w:highlight w:val="none"/>
          <w:lang w:eastAsia="zh-CN"/>
        </w:rPr>
        <w:t>环境</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检查仪器</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架设仪器</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测量</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校验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记录</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整理仪器、记录资料</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测量完成</w:t>
      </w:r>
      <w:r>
        <w:rPr>
          <w:rFonts w:hint="eastAsia" w:ascii="仿宋" w:hAnsi="仿宋" w:eastAsia="仿宋" w:cs="仿宋"/>
          <w:color w:val="auto"/>
          <w:sz w:val="28"/>
          <w:szCs w:val="28"/>
          <w:highlight w:val="none"/>
        </w:rPr>
        <w:t>。</w:t>
      </w:r>
    </w:p>
    <w:p w14:paraId="740EDCA6">
      <w:pPr>
        <w:keepNext w:val="0"/>
        <w:keepLines w:val="0"/>
        <w:pageBreakBefore w:val="0"/>
        <w:kinsoku/>
        <w:wordWrap/>
        <w:overflowPunct/>
        <w:topLinePunct w:val="0"/>
        <w:autoSpaceDE/>
        <w:autoSpaceDN/>
        <w:bidi w:val="0"/>
        <w:adjustRightInd/>
        <w:snapToGrid w:val="0"/>
        <w:spacing w:line="500" w:lineRule="exact"/>
        <w:ind w:firstLine="562" w:firstLineChars="200"/>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w:t>
      </w:r>
      <w:r>
        <w:rPr>
          <w:rFonts w:hint="eastAsia" w:ascii="仿宋" w:hAnsi="仿宋" w:eastAsia="仿宋" w:cs="仿宋"/>
          <w:b/>
          <w:color w:val="auto"/>
          <w:sz w:val="28"/>
          <w:szCs w:val="28"/>
          <w:highlight w:val="none"/>
          <w:lang w:eastAsia="zh-CN"/>
        </w:rPr>
        <w:t>测量</w:t>
      </w:r>
      <w:r>
        <w:rPr>
          <w:rFonts w:hint="eastAsia" w:ascii="仿宋" w:hAnsi="仿宋" w:eastAsia="仿宋" w:cs="仿宋"/>
          <w:b/>
          <w:color w:val="auto"/>
          <w:sz w:val="28"/>
          <w:szCs w:val="28"/>
          <w:highlight w:val="none"/>
        </w:rPr>
        <w:t>正规操作：</w:t>
      </w:r>
    </w:p>
    <w:p w14:paraId="42ED2D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1.检查</w:t>
      </w:r>
      <w:r>
        <w:rPr>
          <w:rFonts w:hint="eastAsia" w:ascii="仿宋" w:hAnsi="仿宋" w:eastAsia="仿宋" w:cs="仿宋"/>
          <w:color w:val="auto"/>
          <w:sz w:val="28"/>
          <w:szCs w:val="28"/>
          <w:highlight w:val="none"/>
          <w:lang w:eastAsia="zh-CN"/>
        </w:rPr>
        <w:t>环境</w:t>
      </w:r>
      <w:r>
        <w:rPr>
          <w:rFonts w:hint="eastAsia" w:ascii="仿宋" w:hAnsi="仿宋" w:eastAsia="仿宋" w:cs="仿宋"/>
          <w:color w:val="auto"/>
          <w:sz w:val="28"/>
          <w:szCs w:val="28"/>
          <w:highlight w:val="none"/>
        </w:rPr>
        <w:t>：严格执行“敲帮问顶”制度，经常性的检查顶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w:t>
      </w:r>
      <w:r>
        <w:rPr>
          <w:rFonts w:hint="eastAsia" w:ascii="仿宋" w:hAnsi="仿宋" w:eastAsia="仿宋" w:cs="仿宋"/>
          <w:color w:val="auto"/>
          <w:sz w:val="28"/>
          <w:szCs w:val="28"/>
          <w:highlight w:val="none"/>
          <w:lang w:eastAsia="zh-CN"/>
        </w:rPr>
        <w:t>；检查确认测量站位处底板没有松动矸石、物料等；确认后退路线上无物料等杂物；确保周围综掘机、耙装机等设备已停机闭锁。</w:t>
      </w:r>
    </w:p>
    <w:p w14:paraId="51786E00">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检查仪器</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工具齐全完好，精度符合要求。</w:t>
      </w:r>
    </w:p>
    <w:p w14:paraId="17F2B231">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3.架设仪器：</w:t>
      </w:r>
      <w:r>
        <w:rPr>
          <w:rFonts w:hint="eastAsia" w:ascii="仿宋" w:hAnsi="仿宋" w:eastAsia="仿宋" w:cs="仿宋"/>
          <w:color w:val="auto"/>
          <w:sz w:val="28"/>
          <w:szCs w:val="28"/>
          <w:highlight w:val="none"/>
          <w:lang w:eastAsia="zh-CN"/>
        </w:rPr>
        <w:t>架设仪器安全牢固，打桩桩绳稳固可靠</w:t>
      </w:r>
      <w:r>
        <w:rPr>
          <w:rFonts w:hint="eastAsia" w:ascii="仿宋" w:hAnsi="仿宋" w:eastAsia="仿宋" w:cs="仿宋"/>
          <w:color w:val="auto"/>
          <w:sz w:val="28"/>
          <w:szCs w:val="28"/>
          <w:highlight w:val="none"/>
          <w:lang w:val="en-US" w:eastAsia="zh-CN"/>
        </w:rPr>
        <w:t>。</w:t>
      </w:r>
    </w:p>
    <w:p w14:paraId="7616F48F">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4.测量：严格按照测量安全技术操作规程进行观测。</w:t>
      </w:r>
    </w:p>
    <w:p w14:paraId="5CB0C2CF">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5.校验：进行复测校验。</w:t>
      </w:r>
    </w:p>
    <w:p w14:paraId="70746953">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6.记录：现场记录写实。</w:t>
      </w:r>
    </w:p>
    <w:p w14:paraId="2AC57ADB">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lang w:eastAsia="zh-CN"/>
        </w:rPr>
        <w:t>整理仪器、记录资料：</w:t>
      </w:r>
      <w:r>
        <w:rPr>
          <w:rFonts w:hint="eastAsia" w:ascii="仿宋" w:hAnsi="仿宋" w:eastAsia="仿宋" w:cs="仿宋"/>
          <w:color w:val="auto"/>
          <w:sz w:val="28"/>
          <w:szCs w:val="28"/>
          <w:highlight w:val="none"/>
          <w:lang w:val="en-US" w:eastAsia="zh-CN"/>
        </w:rPr>
        <w:t>测量完成后，按照拆卸顺序，将仪器放入仪器箱和工具包；清除记录本上粉尘，放入专用工具包内，由专人保送上井。</w:t>
      </w:r>
    </w:p>
    <w:p w14:paraId="1465E306">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lang w:eastAsia="zh-CN"/>
        </w:rPr>
        <w:t>测量完成：</w:t>
      </w:r>
      <w:r>
        <w:rPr>
          <w:rFonts w:hint="eastAsia" w:ascii="仿宋" w:hAnsi="仿宋" w:eastAsia="仿宋" w:cs="仿宋"/>
          <w:color w:val="auto"/>
          <w:sz w:val="28"/>
          <w:szCs w:val="28"/>
          <w:highlight w:val="none"/>
          <w:lang w:val="en-US" w:eastAsia="zh-CN"/>
        </w:rPr>
        <w:t>清点工器具，集体排队升井。</w:t>
      </w:r>
    </w:p>
    <w:p w14:paraId="60173502">
      <w:pPr>
        <w:keepNext w:val="0"/>
        <w:keepLines w:val="0"/>
        <w:pageBreakBefore w:val="0"/>
        <w:kinsoku/>
        <w:wordWrap/>
        <w:overflowPunct/>
        <w:topLinePunct w:val="0"/>
        <w:autoSpaceDE/>
        <w:autoSpaceDN/>
        <w:bidi w:val="0"/>
        <w:adjustRightInd/>
        <w:spacing w:line="500" w:lineRule="exact"/>
        <w:ind w:firstLine="562" w:firstLineChars="200"/>
        <w:jc w:val="left"/>
        <w:outlineLvl w:val="9"/>
        <w:rPr>
          <w:rFonts w:hint="eastAsia" w:ascii="仿宋" w:hAnsi="仿宋" w:eastAsia="仿宋" w:cs="仿宋"/>
          <w:color w:val="auto"/>
          <w:sz w:val="28"/>
          <w:szCs w:val="28"/>
          <w:highlight w:val="none"/>
        </w:rPr>
      </w:pPr>
      <w:bookmarkStart w:id="476" w:name="_Toc1426"/>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eastAsia="zh-CN"/>
        </w:rPr>
        <w:t>测量前</w:t>
      </w:r>
      <w:r>
        <w:rPr>
          <w:rFonts w:hint="eastAsia" w:ascii="仿宋" w:hAnsi="仿宋" w:eastAsia="仿宋" w:cs="仿宋"/>
          <w:b/>
          <w:color w:val="auto"/>
          <w:sz w:val="28"/>
          <w:szCs w:val="28"/>
          <w:highlight w:val="none"/>
        </w:rPr>
        <w:t>操作过程中的安全注意事项</w:t>
      </w:r>
      <w:bookmarkEnd w:id="476"/>
    </w:p>
    <w:p w14:paraId="3526D2CE">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b/>
          <w:color w:val="auto"/>
          <w:sz w:val="28"/>
          <w:szCs w:val="28"/>
          <w:highlight w:val="none"/>
          <w:lang w:eastAsia="zh-CN"/>
        </w:rPr>
      </w:pPr>
      <w:r>
        <w:rPr>
          <w:rFonts w:hint="eastAsia" w:ascii="仿宋" w:hAnsi="仿宋" w:eastAsia="仿宋" w:cs="仿宋"/>
          <w:color w:val="auto"/>
          <w:kern w:val="0"/>
          <w:sz w:val="28"/>
          <w:szCs w:val="28"/>
          <w:highlight w:val="none"/>
        </w:rPr>
        <w:t>检查顶帮</w:t>
      </w:r>
      <w:r>
        <w:rPr>
          <w:rFonts w:hint="eastAsia" w:ascii="仿宋" w:hAnsi="仿宋" w:eastAsia="仿宋" w:cs="仿宋"/>
          <w:color w:val="auto"/>
          <w:kern w:val="0"/>
          <w:sz w:val="28"/>
          <w:szCs w:val="28"/>
          <w:highlight w:val="none"/>
          <w:lang w:eastAsia="zh-CN"/>
        </w:rPr>
        <w:t>及底板情况</w:t>
      </w: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eastAsia="zh-CN"/>
        </w:rPr>
        <w:t>查看后退路线，检查周围设备是否停机闭锁。</w:t>
      </w:r>
    </w:p>
    <w:p w14:paraId="201D8E92">
      <w:pPr>
        <w:keepNext w:val="0"/>
        <w:keepLines w:val="0"/>
        <w:pageBreakBefore w:val="0"/>
        <w:kinsoku/>
        <w:wordWrap/>
        <w:overflowPunct/>
        <w:topLinePunct w:val="0"/>
        <w:autoSpaceDE/>
        <w:autoSpaceDN/>
        <w:bidi w:val="0"/>
        <w:adjustRightInd/>
        <w:spacing w:line="500" w:lineRule="exact"/>
        <w:ind w:firstLine="562" w:firstLineChars="200"/>
        <w:outlineLvl w:val="9"/>
        <w:rPr>
          <w:rFonts w:hint="eastAsia" w:ascii="仿宋" w:hAnsi="仿宋" w:eastAsia="仿宋" w:cs="仿宋"/>
          <w:color w:val="auto"/>
          <w:sz w:val="28"/>
          <w:szCs w:val="28"/>
          <w:highlight w:val="none"/>
        </w:rPr>
      </w:pPr>
      <w:bookmarkStart w:id="477" w:name="_Toc5512"/>
      <w:r>
        <w:rPr>
          <w:rFonts w:hint="eastAsia" w:ascii="仿宋" w:hAnsi="仿宋" w:eastAsia="仿宋" w:cs="仿宋"/>
          <w:b/>
          <w:color w:val="auto"/>
          <w:sz w:val="28"/>
          <w:szCs w:val="28"/>
          <w:highlight w:val="none"/>
        </w:rPr>
        <w:t>七、</w:t>
      </w:r>
      <w:r>
        <w:rPr>
          <w:rFonts w:hint="eastAsia" w:ascii="仿宋" w:hAnsi="仿宋" w:eastAsia="仿宋" w:cs="仿宋"/>
          <w:b/>
          <w:color w:val="auto"/>
          <w:sz w:val="28"/>
          <w:szCs w:val="28"/>
          <w:highlight w:val="none"/>
          <w:lang w:eastAsia="zh-CN"/>
        </w:rPr>
        <w:t>测量过程中安全</w:t>
      </w:r>
      <w:r>
        <w:rPr>
          <w:rFonts w:hint="eastAsia" w:ascii="仿宋" w:hAnsi="仿宋" w:eastAsia="仿宋" w:cs="仿宋"/>
          <w:b/>
          <w:color w:val="auto"/>
          <w:sz w:val="28"/>
          <w:szCs w:val="28"/>
          <w:highlight w:val="none"/>
        </w:rPr>
        <w:t>注意事项</w:t>
      </w:r>
      <w:bookmarkEnd w:id="477"/>
    </w:p>
    <w:p w14:paraId="6829B068">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经常性检查顶帮情况，需登高时注意登高安全事项。</w:t>
      </w:r>
    </w:p>
    <w:p w14:paraId="53F7D509">
      <w:pPr>
        <w:keepNext w:val="0"/>
        <w:keepLines w:val="0"/>
        <w:pageBreakBefore w:val="0"/>
        <w:kinsoku/>
        <w:wordWrap/>
        <w:overflowPunct/>
        <w:topLinePunct w:val="0"/>
        <w:autoSpaceDE/>
        <w:autoSpaceDN/>
        <w:bidi w:val="0"/>
        <w:adjustRightInd/>
        <w:spacing w:line="500" w:lineRule="exact"/>
        <w:ind w:firstLine="562" w:firstLineChars="200"/>
        <w:outlineLvl w:val="9"/>
        <w:rPr>
          <w:rFonts w:hint="eastAsia" w:ascii="仿宋" w:hAnsi="仿宋" w:eastAsia="仿宋" w:cs="仿宋"/>
          <w:b/>
          <w:color w:val="auto"/>
          <w:sz w:val="28"/>
          <w:szCs w:val="28"/>
          <w:highlight w:val="none"/>
          <w:lang w:eastAsia="zh-CN"/>
        </w:rPr>
      </w:pPr>
      <w:bookmarkStart w:id="478" w:name="_Toc28788"/>
      <w:r>
        <w:rPr>
          <w:rFonts w:hint="eastAsia" w:ascii="仿宋" w:hAnsi="仿宋" w:eastAsia="仿宋" w:cs="仿宋"/>
          <w:b/>
          <w:color w:val="auto"/>
          <w:sz w:val="28"/>
          <w:szCs w:val="28"/>
          <w:highlight w:val="none"/>
        </w:rPr>
        <w:t>八、</w:t>
      </w:r>
      <w:r>
        <w:rPr>
          <w:rFonts w:hint="eastAsia" w:ascii="仿宋" w:hAnsi="仿宋" w:eastAsia="仿宋" w:cs="仿宋"/>
          <w:b/>
          <w:color w:val="auto"/>
          <w:sz w:val="28"/>
          <w:szCs w:val="28"/>
          <w:highlight w:val="none"/>
          <w:lang w:eastAsia="zh-CN"/>
        </w:rPr>
        <w:t>测量完成</w:t>
      </w:r>
      <w:r>
        <w:rPr>
          <w:rFonts w:hint="eastAsia" w:ascii="仿宋" w:hAnsi="仿宋" w:eastAsia="仿宋" w:cs="仿宋"/>
          <w:b/>
          <w:color w:val="auto"/>
          <w:sz w:val="28"/>
          <w:szCs w:val="28"/>
          <w:highlight w:val="none"/>
        </w:rPr>
        <w:t>后</w:t>
      </w:r>
      <w:r>
        <w:rPr>
          <w:rFonts w:hint="eastAsia" w:ascii="仿宋" w:hAnsi="仿宋" w:eastAsia="仿宋" w:cs="仿宋"/>
          <w:b/>
          <w:color w:val="auto"/>
          <w:sz w:val="28"/>
          <w:szCs w:val="28"/>
          <w:highlight w:val="none"/>
          <w:lang w:eastAsia="zh-CN"/>
        </w:rPr>
        <w:t>安全注意事项</w:t>
      </w:r>
      <w:bookmarkEnd w:id="478"/>
    </w:p>
    <w:p w14:paraId="60ED5C7F">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不急不躁，有序升井，注意避让车辆。</w:t>
      </w:r>
    </w:p>
    <w:p w14:paraId="52A2AE4A">
      <w:pPr>
        <w:keepNext w:val="0"/>
        <w:keepLines w:val="0"/>
        <w:pageBreakBefore w:val="0"/>
        <w:kinsoku/>
        <w:wordWrap/>
        <w:overflowPunct/>
        <w:topLinePunct w:val="0"/>
        <w:autoSpaceDE/>
        <w:autoSpaceDN/>
        <w:bidi w:val="0"/>
        <w:adjustRightInd/>
        <w:spacing w:line="500" w:lineRule="exact"/>
        <w:ind w:firstLine="562" w:firstLineChars="200"/>
        <w:outlineLvl w:val="9"/>
        <w:rPr>
          <w:rFonts w:hint="eastAsia" w:ascii="仿宋" w:hAnsi="仿宋" w:eastAsia="仿宋" w:cs="仿宋"/>
          <w:b/>
          <w:color w:val="auto"/>
          <w:sz w:val="28"/>
          <w:szCs w:val="28"/>
          <w:highlight w:val="none"/>
        </w:rPr>
      </w:pPr>
      <w:bookmarkStart w:id="479" w:name="_Toc5755"/>
      <w:r>
        <w:rPr>
          <w:rFonts w:hint="eastAsia" w:ascii="仿宋" w:hAnsi="仿宋" w:eastAsia="仿宋" w:cs="仿宋"/>
          <w:b/>
          <w:color w:val="auto"/>
          <w:sz w:val="28"/>
          <w:szCs w:val="28"/>
          <w:highlight w:val="none"/>
        </w:rPr>
        <w:t>九、事故案例教育</w:t>
      </w:r>
      <w:bookmarkEnd w:id="479"/>
    </w:p>
    <w:p w14:paraId="32C0102A">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650A3A7C">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某年某月某日，</w:t>
      </w:r>
      <w:r>
        <w:rPr>
          <w:rFonts w:hint="eastAsia" w:ascii="仿宋" w:hAnsi="仿宋" w:eastAsia="仿宋" w:cs="仿宋"/>
          <w:color w:val="auto"/>
          <w:sz w:val="28"/>
          <w:szCs w:val="28"/>
          <w:highlight w:val="none"/>
          <w:lang w:eastAsia="zh-CN"/>
        </w:rPr>
        <w:t>徐某等</w:t>
      </w:r>
      <w:r>
        <w:rPr>
          <w:rFonts w:hint="eastAsia" w:ascii="仿宋" w:hAnsi="仿宋" w:eastAsia="仿宋" w:cs="仿宋"/>
          <w:color w:val="auto"/>
          <w:sz w:val="28"/>
          <w:szCs w:val="28"/>
          <w:highlight w:val="none"/>
          <w:lang w:val="en-US" w:eastAsia="zh-CN"/>
        </w:rPr>
        <w:t>4人进入</w:t>
      </w:r>
      <w:r>
        <w:rPr>
          <w:rFonts w:hint="eastAsia" w:ascii="仿宋" w:hAnsi="仿宋" w:eastAsia="仿宋" w:cs="仿宋"/>
          <w:color w:val="auto"/>
          <w:sz w:val="28"/>
          <w:szCs w:val="28"/>
          <w:highlight w:val="none"/>
        </w:rPr>
        <w:t>某</w:t>
      </w:r>
      <w:r>
        <w:rPr>
          <w:rFonts w:hint="eastAsia" w:ascii="仿宋" w:hAnsi="仿宋" w:eastAsia="仿宋" w:cs="仿宋"/>
          <w:color w:val="auto"/>
          <w:sz w:val="28"/>
          <w:szCs w:val="28"/>
          <w:highlight w:val="none"/>
          <w:lang w:eastAsia="zh-CN"/>
        </w:rPr>
        <w:t>掘进</w:t>
      </w:r>
      <w:r>
        <w:rPr>
          <w:rFonts w:hint="eastAsia" w:ascii="仿宋" w:hAnsi="仿宋" w:eastAsia="仿宋" w:cs="仿宋"/>
          <w:color w:val="auto"/>
          <w:sz w:val="28"/>
          <w:szCs w:val="28"/>
          <w:highlight w:val="none"/>
        </w:rPr>
        <w:t>工作面</w:t>
      </w:r>
      <w:r>
        <w:rPr>
          <w:rFonts w:hint="eastAsia" w:ascii="仿宋" w:hAnsi="仿宋" w:eastAsia="仿宋" w:cs="仿宋"/>
          <w:color w:val="auto"/>
          <w:sz w:val="28"/>
          <w:szCs w:val="28"/>
          <w:highlight w:val="none"/>
          <w:lang w:eastAsia="zh-CN"/>
        </w:rPr>
        <w:t>，并站在支架与煤壁之间的空顶进行测量作业，未观察顶帮情况，也没有执行敲帮问顶，期间掘进工作面突然垮塌，垮落的煤矸将</w:t>
      </w:r>
      <w:r>
        <w:rPr>
          <w:rFonts w:hint="eastAsia" w:ascii="仿宋" w:hAnsi="仿宋" w:eastAsia="仿宋" w:cs="仿宋"/>
          <w:color w:val="auto"/>
          <w:sz w:val="28"/>
          <w:szCs w:val="28"/>
          <w:highlight w:val="none"/>
          <w:lang w:val="en-US" w:eastAsia="zh-CN"/>
        </w:rPr>
        <w:t>4人砸伤</w:t>
      </w:r>
      <w:r>
        <w:rPr>
          <w:rFonts w:hint="eastAsia" w:ascii="仿宋" w:hAnsi="仿宋" w:eastAsia="仿宋" w:cs="仿宋"/>
          <w:color w:val="auto"/>
          <w:sz w:val="28"/>
          <w:szCs w:val="28"/>
          <w:highlight w:val="none"/>
        </w:rPr>
        <w:t>。</w:t>
      </w:r>
    </w:p>
    <w:p w14:paraId="65E8297C">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2831AC57">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14DDD896">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测量人员在测量作业前未观察顶帮情况，未执行敲帮问顶制度。</w:t>
      </w:r>
    </w:p>
    <w:p w14:paraId="217EB510">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测量人员空顶作业。</w:t>
      </w:r>
    </w:p>
    <w:p w14:paraId="476BD9C2">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5EDDF300">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煤矿安全技术管理、监督不到位，巷道支护不到位</w:t>
      </w:r>
      <w:r>
        <w:rPr>
          <w:rFonts w:hint="eastAsia" w:ascii="仿宋" w:hAnsi="仿宋" w:eastAsia="仿宋" w:cs="仿宋"/>
          <w:color w:val="auto"/>
          <w:sz w:val="28"/>
          <w:szCs w:val="28"/>
          <w:highlight w:val="none"/>
        </w:rPr>
        <w:t>。</w:t>
      </w:r>
    </w:p>
    <w:p w14:paraId="1FBEA8DB">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测量人员安全意识不到位</w:t>
      </w:r>
      <w:r>
        <w:rPr>
          <w:rFonts w:hint="eastAsia" w:ascii="仿宋" w:hAnsi="仿宋" w:eastAsia="仿宋" w:cs="仿宋"/>
          <w:color w:val="auto"/>
          <w:sz w:val="28"/>
          <w:szCs w:val="28"/>
          <w:highlight w:val="none"/>
        </w:rPr>
        <w:t>。</w:t>
      </w:r>
    </w:p>
    <w:p w14:paraId="558993CC">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3DAE0214">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规范职工操作行为，合理站位。</w:t>
      </w:r>
    </w:p>
    <w:p w14:paraId="4E1DE463">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严格落实安全技术措施要求，煤矿有关部门需严格把关工程质量</w:t>
      </w:r>
      <w:r>
        <w:rPr>
          <w:rFonts w:hint="eastAsia" w:ascii="仿宋" w:hAnsi="仿宋" w:eastAsia="仿宋" w:cs="仿宋"/>
          <w:color w:val="auto"/>
          <w:sz w:val="28"/>
          <w:szCs w:val="28"/>
          <w:highlight w:val="none"/>
        </w:rPr>
        <w:t>。</w:t>
      </w:r>
    </w:p>
    <w:p w14:paraId="2A9CFF99">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3.采掘作业规程编制需有针对性。</w:t>
      </w:r>
    </w:p>
    <w:p w14:paraId="45854468">
      <w:pPr>
        <w:keepNext w:val="0"/>
        <w:keepLines w:val="0"/>
        <w:pageBreakBefore w:val="0"/>
        <w:kinsoku/>
        <w:wordWrap/>
        <w:overflowPunct/>
        <w:topLinePunct w:val="0"/>
        <w:autoSpaceDE/>
        <w:autoSpaceDN/>
        <w:bidi w:val="0"/>
        <w:adjustRightInd/>
        <w:spacing w:line="500" w:lineRule="exact"/>
        <w:ind w:firstLine="562" w:firstLineChars="200"/>
        <w:outlineLvl w:val="9"/>
        <w:rPr>
          <w:rFonts w:hint="eastAsia" w:ascii="仿宋" w:hAnsi="仿宋" w:eastAsia="仿宋" w:cs="仿宋"/>
          <w:b/>
          <w:color w:val="auto"/>
          <w:sz w:val="28"/>
          <w:szCs w:val="28"/>
          <w:highlight w:val="none"/>
        </w:rPr>
      </w:pPr>
      <w:bookmarkStart w:id="480" w:name="_Toc14962"/>
      <w:r>
        <w:rPr>
          <w:rFonts w:hint="eastAsia" w:ascii="仿宋" w:hAnsi="仿宋" w:eastAsia="仿宋" w:cs="仿宋"/>
          <w:b/>
          <w:color w:val="auto"/>
          <w:sz w:val="28"/>
          <w:szCs w:val="28"/>
          <w:highlight w:val="none"/>
        </w:rPr>
        <w:t>十、常见三违</w:t>
      </w:r>
      <w:bookmarkEnd w:id="480"/>
    </w:p>
    <w:p w14:paraId="04C601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（一）携带烟草和点火物品，穿化纤衣服，入井前喝酒</w:t>
      </w:r>
      <w:r>
        <w:rPr>
          <w:rFonts w:hint="eastAsia" w:ascii="仿宋" w:hAnsi="仿宋" w:eastAsia="仿宋" w:cs="仿宋"/>
          <w:b w:val="0"/>
          <w:bCs/>
          <w:color w:val="auto"/>
          <w:sz w:val="28"/>
          <w:szCs w:val="28"/>
          <w:highlight w:val="none"/>
          <w:lang w:val="en-US" w:eastAsia="zh-CN"/>
        </w:rPr>
        <w:t>;</w:t>
      </w:r>
    </w:p>
    <w:p w14:paraId="73DF8A1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）罐笼运行中，把头和手脚伸到罐外</w:t>
      </w:r>
      <w:r>
        <w:rPr>
          <w:rFonts w:hint="eastAsia" w:ascii="仿宋" w:hAnsi="仿宋" w:eastAsia="仿宋" w:cs="仿宋"/>
          <w:b w:val="0"/>
          <w:bCs/>
          <w:color w:val="auto"/>
          <w:sz w:val="28"/>
          <w:szCs w:val="28"/>
          <w:highlight w:val="none"/>
          <w:lang w:val="en-US" w:eastAsia="zh-CN"/>
        </w:rPr>
        <w:t>;</w:t>
      </w:r>
    </w:p>
    <w:p w14:paraId="390BDC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三</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不</w:t>
      </w:r>
      <w:r>
        <w:rPr>
          <w:rFonts w:hint="eastAsia" w:ascii="仿宋" w:hAnsi="仿宋" w:eastAsia="仿宋" w:cs="仿宋"/>
          <w:b w:val="0"/>
          <w:bCs/>
          <w:color w:val="auto"/>
          <w:sz w:val="28"/>
          <w:szCs w:val="28"/>
          <w:highlight w:val="none"/>
        </w:rPr>
        <w:t>执行行车不行人制度</w:t>
      </w:r>
      <w:r>
        <w:rPr>
          <w:rFonts w:hint="eastAsia" w:ascii="仿宋" w:hAnsi="仿宋" w:eastAsia="仿宋" w:cs="仿宋"/>
          <w:b w:val="0"/>
          <w:bCs/>
          <w:color w:val="auto"/>
          <w:sz w:val="28"/>
          <w:szCs w:val="28"/>
          <w:highlight w:val="none"/>
          <w:lang w:val="en-US" w:eastAsia="zh-CN"/>
        </w:rPr>
        <w:t>;</w:t>
      </w:r>
    </w:p>
    <w:p w14:paraId="1806F9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在单轨吊车下穿行</w:t>
      </w:r>
      <w:r>
        <w:rPr>
          <w:rFonts w:hint="eastAsia" w:ascii="仿宋" w:hAnsi="仿宋" w:eastAsia="仿宋" w:cs="仿宋"/>
          <w:b w:val="0"/>
          <w:bCs/>
          <w:color w:val="auto"/>
          <w:sz w:val="28"/>
          <w:szCs w:val="28"/>
          <w:highlight w:val="none"/>
          <w:lang w:val="en-US" w:eastAsia="zh-CN"/>
        </w:rPr>
        <w:t>;</w:t>
      </w:r>
    </w:p>
    <w:p w14:paraId="3C1929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）扒车、跳车</w:t>
      </w:r>
      <w:r>
        <w:rPr>
          <w:rFonts w:hint="eastAsia" w:ascii="仿宋" w:hAnsi="仿宋" w:eastAsia="仿宋" w:cs="仿宋"/>
          <w:b w:val="0"/>
          <w:bCs/>
          <w:color w:val="auto"/>
          <w:sz w:val="28"/>
          <w:szCs w:val="28"/>
          <w:highlight w:val="none"/>
          <w:lang w:val="en-US" w:eastAsia="zh-CN"/>
        </w:rPr>
        <w:t>;</w:t>
      </w:r>
    </w:p>
    <w:p w14:paraId="2F3A5F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未走过桥</w:t>
      </w:r>
      <w:r>
        <w:rPr>
          <w:rFonts w:hint="eastAsia" w:ascii="仿宋" w:hAnsi="仿宋" w:eastAsia="仿宋" w:cs="仿宋"/>
          <w:b w:val="0"/>
          <w:bCs/>
          <w:color w:val="auto"/>
          <w:sz w:val="28"/>
          <w:szCs w:val="28"/>
          <w:highlight w:val="none"/>
        </w:rPr>
        <w:t>跨越皮带</w:t>
      </w:r>
      <w:r>
        <w:rPr>
          <w:rFonts w:hint="eastAsia" w:ascii="仿宋" w:hAnsi="仿宋" w:eastAsia="仿宋" w:cs="仿宋"/>
          <w:b w:val="0"/>
          <w:bCs/>
          <w:color w:val="auto"/>
          <w:sz w:val="28"/>
          <w:szCs w:val="28"/>
          <w:highlight w:val="none"/>
          <w:lang w:val="en-US" w:eastAsia="zh-CN"/>
        </w:rPr>
        <w:t>;</w:t>
      </w:r>
    </w:p>
    <w:p w14:paraId="381E1057">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七</w:t>
      </w:r>
      <w:r>
        <w:rPr>
          <w:rFonts w:hint="eastAsia" w:ascii="仿宋" w:hAnsi="仿宋" w:eastAsia="仿宋" w:cs="仿宋"/>
          <w:b w:val="0"/>
          <w:bCs/>
          <w:color w:val="auto"/>
          <w:sz w:val="28"/>
          <w:szCs w:val="28"/>
          <w:highlight w:val="none"/>
        </w:rPr>
        <w:t>）在高度大于</w:t>
      </w:r>
      <w:r>
        <w:rPr>
          <w:rFonts w:hint="eastAsia" w:ascii="仿宋" w:hAnsi="仿宋" w:eastAsia="仿宋" w:cs="仿宋"/>
          <w:b w:val="0"/>
          <w:bCs/>
          <w:color w:val="auto"/>
          <w:sz w:val="28"/>
          <w:szCs w:val="28"/>
          <w:highlight w:val="none"/>
          <w:lang w:val="en-US" w:eastAsia="zh-CN"/>
        </w:rPr>
        <w:t>1.5</w:t>
      </w:r>
      <w:r>
        <w:rPr>
          <w:rFonts w:hint="eastAsia" w:ascii="仿宋" w:hAnsi="仿宋" w:eastAsia="仿宋" w:cs="仿宋"/>
          <w:b w:val="0"/>
          <w:bCs/>
          <w:color w:val="auto"/>
          <w:sz w:val="28"/>
          <w:szCs w:val="28"/>
          <w:highlight w:val="none"/>
        </w:rPr>
        <w:t>米以上高空作业时，</w:t>
      </w:r>
      <w:r>
        <w:rPr>
          <w:rFonts w:hint="eastAsia" w:ascii="仿宋" w:hAnsi="仿宋" w:eastAsia="仿宋" w:cs="仿宋"/>
          <w:b w:val="0"/>
          <w:bCs/>
          <w:color w:val="auto"/>
          <w:sz w:val="28"/>
          <w:szCs w:val="28"/>
          <w:highlight w:val="none"/>
          <w:lang w:eastAsia="zh-CN"/>
        </w:rPr>
        <w:t>不系</w:t>
      </w:r>
      <w:r>
        <w:rPr>
          <w:rFonts w:hint="eastAsia" w:ascii="仿宋" w:hAnsi="仿宋" w:eastAsia="仿宋" w:cs="仿宋"/>
          <w:b w:val="0"/>
          <w:bCs/>
          <w:color w:val="auto"/>
          <w:sz w:val="28"/>
          <w:szCs w:val="28"/>
          <w:highlight w:val="none"/>
        </w:rPr>
        <w:t>安全带。</w:t>
      </w:r>
    </w:p>
    <w:p w14:paraId="3CCE8E79">
      <w:pPr>
        <w:rPr>
          <w:rFonts w:hint="eastAsia" w:ascii="仿宋" w:hAnsi="仿宋" w:eastAsia="仿宋" w:cs="仿宋"/>
          <w:b/>
          <w:bCs/>
          <w:color w:val="auto"/>
          <w:kern w:val="0"/>
          <w:sz w:val="36"/>
          <w:szCs w:val="36"/>
          <w:highlight w:val="none"/>
          <w:lang w:val="en-US" w:eastAsia="zh-CN"/>
        </w:rPr>
      </w:pPr>
      <w:bookmarkStart w:id="481" w:name="_Toc7449"/>
      <w:bookmarkStart w:id="482" w:name="_Toc21577"/>
      <w:r>
        <w:rPr>
          <w:rFonts w:hint="eastAsia" w:ascii="仿宋" w:hAnsi="仿宋" w:eastAsia="仿宋" w:cs="仿宋"/>
          <w:b/>
          <w:bCs/>
          <w:color w:val="auto"/>
          <w:kern w:val="0"/>
          <w:sz w:val="36"/>
          <w:szCs w:val="36"/>
          <w:highlight w:val="none"/>
          <w:lang w:val="en-US" w:eastAsia="zh-CN"/>
        </w:rPr>
        <w:br w:type="page"/>
      </w:r>
    </w:p>
    <w:p w14:paraId="21DEAA70">
      <w:pPr>
        <w:keepNext w:val="0"/>
        <w:keepLines w:val="0"/>
        <w:pageBreakBefore w:val="0"/>
        <w:widowControl w:val="0"/>
        <w:kinsoku/>
        <w:wordWrap/>
        <w:overflowPunct/>
        <w:topLinePunct w:val="0"/>
        <w:autoSpaceDE/>
        <w:autoSpaceDN/>
        <w:bidi w:val="0"/>
        <w:adjustRightInd/>
        <w:snapToGrid/>
        <w:spacing w:line="600" w:lineRule="exact"/>
        <w:ind w:firstLine="3253" w:firstLineChars="900"/>
        <w:jc w:val="both"/>
        <w:textAlignment w:val="auto"/>
        <w:outlineLvl w:val="1"/>
        <w:rPr>
          <w:rFonts w:hint="eastAsia" w:ascii="仿宋" w:hAnsi="仿宋" w:eastAsia="仿宋" w:cs="仿宋"/>
          <w:b/>
          <w:bCs/>
          <w:color w:val="auto"/>
          <w:kern w:val="0"/>
          <w:sz w:val="36"/>
          <w:szCs w:val="36"/>
          <w:highlight w:val="none"/>
          <w:lang w:val="en-US" w:eastAsia="zh-CN"/>
        </w:rPr>
      </w:pPr>
      <w:bookmarkStart w:id="483" w:name="_Toc7796"/>
      <w:r>
        <w:rPr>
          <w:rFonts w:hint="eastAsia" w:ascii="仿宋" w:hAnsi="仿宋" w:eastAsia="仿宋" w:cs="仿宋"/>
          <w:b/>
          <w:bCs/>
          <w:color w:val="auto"/>
          <w:kern w:val="0"/>
          <w:sz w:val="36"/>
          <w:szCs w:val="36"/>
          <w:highlight w:val="none"/>
          <w:lang w:val="en-US" w:eastAsia="zh-CN"/>
        </w:rPr>
        <w:t>井下探放水工</w:t>
      </w:r>
      <w:bookmarkEnd w:id="481"/>
      <w:bookmarkEnd w:id="482"/>
      <w:bookmarkEnd w:id="483"/>
    </w:p>
    <w:tbl>
      <w:tblPr>
        <w:tblStyle w:val="12"/>
        <w:tblW w:w="8560" w:type="dxa"/>
        <w:jc w:val="center"/>
        <w:tblLayout w:type="fixed"/>
        <w:tblCellMar>
          <w:top w:w="0" w:type="dxa"/>
          <w:left w:w="108" w:type="dxa"/>
          <w:bottom w:w="0" w:type="dxa"/>
          <w:right w:w="108" w:type="dxa"/>
        </w:tblCellMar>
      </w:tblPr>
      <w:tblGrid>
        <w:gridCol w:w="934"/>
        <w:gridCol w:w="3215"/>
        <w:gridCol w:w="774"/>
        <w:gridCol w:w="3637"/>
      </w:tblGrid>
      <w:tr w14:paraId="09D600D8">
        <w:tblPrEx>
          <w:tblCellMar>
            <w:top w:w="0" w:type="dxa"/>
            <w:left w:w="108" w:type="dxa"/>
            <w:bottom w:w="0" w:type="dxa"/>
            <w:right w:w="108" w:type="dxa"/>
          </w:tblCellMar>
        </w:tblPrEx>
        <w:trPr>
          <w:trHeight w:val="460" w:hRule="atLeast"/>
          <w:jc w:val="center"/>
        </w:trPr>
        <w:tc>
          <w:tcPr>
            <w:tcW w:w="8560" w:type="dxa"/>
            <w:gridSpan w:val="4"/>
            <w:tcBorders>
              <w:top w:val="single" w:color="auto" w:sz="4" w:space="0"/>
              <w:left w:val="single" w:color="auto" w:sz="4" w:space="0"/>
              <w:bottom w:val="single" w:color="auto" w:sz="4" w:space="0"/>
              <w:right w:val="single" w:color="auto" w:sz="4" w:space="0"/>
            </w:tcBorders>
            <w:vAlign w:val="center"/>
          </w:tcPr>
          <w:p w14:paraId="0075F869">
            <w:pPr>
              <w:keepNext w:val="0"/>
              <w:keepLines w:val="0"/>
              <w:pageBreakBefore w:val="0"/>
              <w:widowControl/>
              <w:kinsoku/>
              <w:wordWrap/>
              <w:overflowPunct/>
              <w:topLinePunct w:val="0"/>
              <w:autoSpaceDE/>
              <w:autoSpaceDN/>
              <w:bidi w:val="0"/>
              <w:adjustRightInd/>
              <w:spacing w:line="600" w:lineRule="exact"/>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eastAsia="zh-CN"/>
              </w:rPr>
              <w:t>井下探放水</w:t>
            </w:r>
            <w:r>
              <w:rPr>
                <w:rFonts w:hint="eastAsia" w:ascii="仿宋" w:hAnsi="仿宋" w:eastAsia="仿宋" w:cs="仿宋"/>
                <w:color w:val="auto"/>
                <w:kern w:val="0"/>
                <w:sz w:val="21"/>
                <w:szCs w:val="21"/>
                <w:highlight w:val="none"/>
              </w:rPr>
              <w:t>工岗位风险告知卡</w:t>
            </w:r>
          </w:p>
        </w:tc>
      </w:tr>
      <w:tr w14:paraId="4ADFF59A">
        <w:tblPrEx>
          <w:tblCellMar>
            <w:top w:w="0" w:type="dxa"/>
            <w:left w:w="108" w:type="dxa"/>
            <w:bottom w:w="0" w:type="dxa"/>
            <w:right w:w="108" w:type="dxa"/>
          </w:tblCellMar>
        </w:tblPrEx>
        <w:trPr>
          <w:trHeight w:val="1027" w:hRule="atLeast"/>
          <w:jc w:val="center"/>
        </w:trPr>
        <w:tc>
          <w:tcPr>
            <w:tcW w:w="934" w:type="dxa"/>
            <w:tcBorders>
              <w:top w:val="nil"/>
              <w:left w:val="single" w:color="auto" w:sz="4" w:space="0"/>
              <w:bottom w:val="single" w:color="auto" w:sz="4" w:space="0"/>
              <w:right w:val="single" w:color="auto" w:sz="4" w:space="0"/>
            </w:tcBorders>
            <w:vAlign w:val="center"/>
          </w:tcPr>
          <w:p w14:paraId="26055C26">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险</w:t>
            </w:r>
          </w:p>
          <w:p w14:paraId="423A96CB">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3215" w:type="dxa"/>
            <w:tcBorders>
              <w:top w:val="nil"/>
              <w:left w:val="nil"/>
              <w:bottom w:val="single" w:color="auto" w:sz="4" w:space="0"/>
              <w:right w:val="single" w:color="auto" w:sz="4" w:space="0"/>
            </w:tcBorders>
            <w:vAlign w:val="center"/>
          </w:tcPr>
          <w:p w14:paraId="48421A29">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冒顶（片帮）、机械伤害、冲击地压、职业病危害</w:t>
            </w:r>
          </w:p>
        </w:tc>
        <w:tc>
          <w:tcPr>
            <w:tcW w:w="774" w:type="dxa"/>
            <w:tcBorders>
              <w:top w:val="nil"/>
              <w:left w:val="nil"/>
              <w:bottom w:val="single" w:color="auto" w:sz="4" w:space="0"/>
              <w:right w:val="single" w:color="auto" w:sz="4" w:space="0"/>
            </w:tcBorders>
            <w:vAlign w:val="center"/>
          </w:tcPr>
          <w:p w14:paraId="19A6D0D6">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告</w:t>
            </w:r>
          </w:p>
        </w:tc>
        <w:tc>
          <w:tcPr>
            <w:tcW w:w="3637" w:type="dxa"/>
            <w:tcBorders>
              <w:top w:val="nil"/>
              <w:left w:val="nil"/>
              <w:bottom w:val="single" w:color="auto" w:sz="4" w:space="0"/>
              <w:right w:val="single" w:color="auto" w:sz="4" w:space="0"/>
            </w:tcBorders>
            <w:vAlign w:val="center"/>
          </w:tcPr>
          <w:p w14:paraId="0B80EFE1">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650342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lang w:eastAsia="zh-CN"/>
              </w:rPr>
              <w:t>安监科值班：8650512</w:t>
            </w:r>
          </w:p>
        </w:tc>
      </w:tr>
      <w:tr w14:paraId="7CEA52BF">
        <w:tblPrEx>
          <w:tblCellMar>
            <w:top w:w="0" w:type="dxa"/>
            <w:left w:w="108" w:type="dxa"/>
            <w:bottom w:w="0" w:type="dxa"/>
            <w:right w:w="108" w:type="dxa"/>
          </w:tblCellMar>
        </w:tblPrEx>
        <w:trPr>
          <w:trHeight w:val="356"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14:paraId="0C6ACC93">
            <w:pPr>
              <w:keepNext w:val="0"/>
              <w:keepLines w:val="0"/>
              <w:pageBreakBefore w:val="0"/>
              <w:widowControl/>
              <w:kinsoku/>
              <w:wordWrap/>
              <w:overflowPunct/>
              <w:topLinePunct w:val="0"/>
              <w:autoSpaceDE/>
              <w:autoSpaceDN/>
              <w:bidi w:val="0"/>
              <w:adjustRightInd/>
              <w:spacing w:line="240" w:lineRule="auto"/>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411" w:type="dxa"/>
            <w:gridSpan w:val="2"/>
            <w:tcBorders>
              <w:top w:val="single" w:color="auto" w:sz="4" w:space="0"/>
              <w:left w:val="nil"/>
              <w:bottom w:val="single" w:color="auto" w:sz="4" w:space="0"/>
              <w:right w:val="single" w:color="auto" w:sz="4" w:space="0"/>
            </w:tcBorders>
            <w:vAlign w:val="center"/>
          </w:tcPr>
          <w:p w14:paraId="1C45CF66">
            <w:pPr>
              <w:keepNext w:val="0"/>
              <w:keepLines w:val="0"/>
              <w:pageBreakBefore w:val="0"/>
              <w:widowControl/>
              <w:kinsoku/>
              <w:wordWrap/>
              <w:overflowPunct/>
              <w:topLinePunct w:val="0"/>
              <w:autoSpaceDE/>
              <w:autoSpaceDN/>
              <w:bidi w:val="0"/>
              <w:adjustRightInd/>
              <w:spacing w:line="240" w:lineRule="auto"/>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14:paraId="6E85696A">
        <w:tblPrEx>
          <w:tblCellMar>
            <w:top w:w="0" w:type="dxa"/>
            <w:left w:w="108" w:type="dxa"/>
            <w:bottom w:w="0" w:type="dxa"/>
            <w:right w:w="108" w:type="dxa"/>
          </w:tblCellMar>
        </w:tblPrEx>
        <w:trPr>
          <w:trHeight w:val="691"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14:paraId="454CED2E">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val="en-US" w:eastAsia="zh-CN"/>
              </w:rPr>
              <w:t>.</w:t>
            </w:r>
            <w:r>
              <w:rPr>
                <w:rFonts w:hint="eastAsia" w:ascii="仿宋" w:hAnsi="仿宋" w:eastAsia="仿宋" w:cs="仿宋"/>
                <w:color w:val="auto"/>
                <w:kern w:val="0"/>
                <w:sz w:val="21"/>
                <w:szCs w:val="21"/>
                <w:highlight w:val="none"/>
              </w:rPr>
              <w:t>作业地点顶、帮开裂，造成掉渣、片帮伤人</w:t>
            </w:r>
            <w:r>
              <w:rPr>
                <w:rFonts w:hint="eastAsia" w:ascii="仿宋" w:hAnsi="仿宋" w:eastAsia="仿宋" w:cs="仿宋"/>
                <w:color w:val="auto"/>
                <w:kern w:val="0"/>
                <w:sz w:val="21"/>
                <w:szCs w:val="21"/>
                <w:highlight w:val="none"/>
                <w:lang w:eastAsia="zh-CN"/>
              </w:rPr>
              <w:t>。</w:t>
            </w:r>
          </w:p>
        </w:tc>
        <w:tc>
          <w:tcPr>
            <w:tcW w:w="4411" w:type="dxa"/>
            <w:gridSpan w:val="2"/>
            <w:tcBorders>
              <w:top w:val="single" w:color="auto" w:sz="4" w:space="0"/>
              <w:left w:val="nil"/>
              <w:bottom w:val="single" w:color="auto" w:sz="4" w:space="0"/>
              <w:right w:val="single" w:color="auto" w:sz="4" w:space="0"/>
            </w:tcBorders>
            <w:vAlign w:val="center"/>
          </w:tcPr>
          <w:p w14:paraId="08DE2F9B">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val="en-US" w:eastAsia="zh-CN"/>
              </w:rPr>
              <w:t>.</w:t>
            </w:r>
            <w:r>
              <w:rPr>
                <w:rFonts w:hint="eastAsia" w:ascii="仿宋" w:hAnsi="仿宋" w:eastAsia="仿宋" w:cs="仿宋"/>
                <w:color w:val="auto"/>
                <w:kern w:val="0"/>
                <w:sz w:val="21"/>
                <w:szCs w:val="21"/>
                <w:highlight w:val="none"/>
              </w:rPr>
              <w:t>加强顶板排查管理，使用长把工具及时找掉危岩活矸。</w:t>
            </w:r>
          </w:p>
        </w:tc>
      </w:tr>
      <w:tr w14:paraId="116426F0">
        <w:tblPrEx>
          <w:tblCellMar>
            <w:top w:w="0" w:type="dxa"/>
            <w:left w:w="108" w:type="dxa"/>
            <w:bottom w:w="0" w:type="dxa"/>
            <w:right w:w="108" w:type="dxa"/>
          </w:tblCellMar>
        </w:tblPrEx>
        <w:trPr>
          <w:trHeight w:val="691"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14:paraId="65F8C193">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2.通风不良，造成瓦斯积聚；粉尘积聚，造成人体健康伤害。</w:t>
            </w:r>
          </w:p>
        </w:tc>
        <w:tc>
          <w:tcPr>
            <w:tcW w:w="4411" w:type="dxa"/>
            <w:gridSpan w:val="2"/>
            <w:tcBorders>
              <w:top w:val="single" w:color="auto" w:sz="4" w:space="0"/>
              <w:left w:val="nil"/>
              <w:bottom w:val="single" w:color="auto" w:sz="4" w:space="0"/>
              <w:right w:val="single" w:color="auto" w:sz="4" w:space="0"/>
            </w:tcBorders>
            <w:vAlign w:val="center"/>
          </w:tcPr>
          <w:p w14:paraId="28F4E64B">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2.保持作业地点正常通风，监控系统正常运行；规范使用喷雾、除尘器，佩戴防尘口罩。</w:t>
            </w:r>
          </w:p>
        </w:tc>
      </w:tr>
      <w:tr w14:paraId="5D796B04">
        <w:tblPrEx>
          <w:tblCellMar>
            <w:top w:w="0" w:type="dxa"/>
            <w:left w:w="108" w:type="dxa"/>
            <w:bottom w:w="0" w:type="dxa"/>
            <w:right w:w="108" w:type="dxa"/>
          </w:tblCellMar>
        </w:tblPrEx>
        <w:trPr>
          <w:trHeight w:val="761"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14:paraId="31E8C9E9">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3.风水管管卡安装不牢固，造成风水管开裂伤人</w:t>
            </w:r>
            <w:r>
              <w:rPr>
                <w:rFonts w:hint="eastAsia" w:ascii="仿宋" w:hAnsi="仿宋" w:eastAsia="仿宋" w:cs="仿宋"/>
                <w:color w:val="auto"/>
                <w:kern w:val="0"/>
                <w:sz w:val="21"/>
                <w:szCs w:val="21"/>
                <w:highlight w:val="none"/>
                <w:lang w:eastAsia="zh-CN"/>
              </w:rPr>
              <w:t>。</w:t>
            </w:r>
          </w:p>
        </w:tc>
        <w:tc>
          <w:tcPr>
            <w:tcW w:w="4411" w:type="dxa"/>
            <w:gridSpan w:val="2"/>
            <w:tcBorders>
              <w:top w:val="single" w:color="auto" w:sz="4" w:space="0"/>
              <w:left w:val="nil"/>
              <w:bottom w:val="single" w:color="auto" w:sz="4" w:space="0"/>
              <w:right w:val="single" w:color="auto" w:sz="4" w:space="0"/>
            </w:tcBorders>
            <w:vAlign w:val="center"/>
          </w:tcPr>
          <w:p w14:paraId="57F1E491">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3.作业地点5米范围内无闲杂人员，施工时必须检查好风水管完好情况再进行作业。</w:t>
            </w:r>
          </w:p>
        </w:tc>
      </w:tr>
      <w:tr w14:paraId="39A1678A">
        <w:tblPrEx>
          <w:tblCellMar>
            <w:top w:w="0" w:type="dxa"/>
            <w:left w:w="108" w:type="dxa"/>
            <w:bottom w:w="0" w:type="dxa"/>
            <w:right w:w="108" w:type="dxa"/>
          </w:tblCellMar>
        </w:tblPrEx>
        <w:trPr>
          <w:trHeight w:val="1027"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14:paraId="4CB32E4D">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4.多工抬放物料时，人员配合不默契，物料掉落伤人。</w:t>
            </w:r>
          </w:p>
        </w:tc>
        <w:tc>
          <w:tcPr>
            <w:tcW w:w="4411" w:type="dxa"/>
            <w:gridSpan w:val="2"/>
            <w:tcBorders>
              <w:top w:val="single" w:color="auto" w:sz="4" w:space="0"/>
              <w:left w:val="nil"/>
              <w:bottom w:val="single" w:color="auto" w:sz="4" w:space="0"/>
              <w:right w:val="single" w:color="auto" w:sz="4" w:space="0"/>
            </w:tcBorders>
            <w:vAlign w:val="center"/>
          </w:tcPr>
          <w:p w14:paraId="0244BAD3">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4.多人抬放物料时，必须做好自保互保联保工作，口号一致，步调统一，轻起轻放，以保证安全。</w:t>
            </w:r>
          </w:p>
        </w:tc>
      </w:tr>
      <w:tr w14:paraId="604349B9">
        <w:tblPrEx>
          <w:tblCellMar>
            <w:top w:w="0" w:type="dxa"/>
            <w:left w:w="108" w:type="dxa"/>
            <w:bottom w:w="0" w:type="dxa"/>
            <w:right w:w="108" w:type="dxa"/>
          </w:tblCellMar>
        </w:tblPrEx>
        <w:trPr>
          <w:trHeight w:val="1262"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14:paraId="0B32F1E1">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5.探放水时出现顶钻、卡钻现象，冒然提出钻具，致使水量突增，造成淹巷伤人。</w:t>
            </w:r>
          </w:p>
        </w:tc>
        <w:tc>
          <w:tcPr>
            <w:tcW w:w="4411" w:type="dxa"/>
            <w:gridSpan w:val="2"/>
            <w:tcBorders>
              <w:top w:val="single" w:color="auto" w:sz="4" w:space="0"/>
              <w:left w:val="nil"/>
              <w:bottom w:val="single" w:color="auto" w:sz="4" w:space="0"/>
              <w:right w:val="single" w:color="auto" w:sz="4" w:space="0"/>
            </w:tcBorders>
            <w:vAlign w:val="center"/>
          </w:tcPr>
          <w:p w14:paraId="1FD88746">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5.探放水时，若钻孔内部出现顶钻现象时，立即停止钻进，汇报调度室及防治水专业，待孔内水压正常时，方可继续钻进或提出孔内钻具。</w:t>
            </w:r>
          </w:p>
        </w:tc>
      </w:tr>
      <w:tr w14:paraId="18BAA285">
        <w:tblPrEx>
          <w:tblCellMar>
            <w:top w:w="0" w:type="dxa"/>
            <w:left w:w="108" w:type="dxa"/>
            <w:bottom w:w="0" w:type="dxa"/>
            <w:right w:w="108" w:type="dxa"/>
          </w:tblCellMar>
        </w:tblPrEx>
        <w:trPr>
          <w:trHeight w:val="971" w:hRule="atLeast"/>
          <w:jc w:val="center"/>
        </w:trPr>
        <w:tc>
          <w:tcPr>
            <w:tcW w:w="934" w:type="dxa"/>
            <w:tcBorders>
              <w:top w:val="nil"/>
              <w:left w:val="single" w:color="auto" w:sz="4" w:space="0"/>
              <w:bottom w:val="single" w:color="auto" w:sz="4" w:space="0"/>
              <w:right w:val="single" w:color="auto" w:sz="4" w:space="0"/>
            </w:tcBorders>
            <w:vAlign w:val="center"/>
          </w:tcPr>
          <w:p w14:paraId="1BDB5218">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4AE70B66">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626" w:type="dxa"/>
            <w:gridSpan w:val="3"/>
            <w:tcBorders>
              <w:top w:val="single" w:color="auto" w:sz="4" w:space="0"/>
              <w:left w:val="nil"/>
              <w:bottom w:val="single" w:color="auto" w:sz="4" w:space="0"/>
              <w:right w:val="single" w:color="auto" w:sz="4" w:space="0"/>
            </w:tcBorders>
            <w:vAlign w:val="center"/>
          </w:tcPr>
          <w:p w14:paraId="7D53E718">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7188B472">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5F2F8B3C">
        <w:tblPrEx>
          <w:tblCellMar>
            <w:top w:w="0" w:type="dxa"/>
            <w:left w:w="108" w:type="dxa"/>
            <w:bottom w:w="0" w:type="dxa"/>
            <w:right w:w="108" w:type="dxa"/>
          </w:tblCellMar>
        </w:tblPrEx>
        <w:trPr>
          <w:trHeight w:val="1476" w:hRule="atLeast"/>
          <w:jc w:val="center"/>
        </w:trPr>
        <w:tc>
          <w:tcPr>
            <w:tcW w:w="934" w:type="dxa"/>
            <w:tcBorders>
              <w:top w:val="nil"/>
              <w:left w:val="single" w:color="auto" w:sz="4" w:space="0"/>
              <w:bottom w:val="single" w:color="auto" w:sz="4" w:space="0"/>
              <w:right w:val="single" w:color="auto" w:sz="4" w:space="0"/>
            </w:tcBorders>
            <w:vAlign w:val="center"/>
          </w:tcPr>
          <w:p w14:paraId="66EB1E1C">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14:paraId="5721697C">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14:paraId="67976207">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626" w:type="dxa"/>
            <w:gridSpan w:val="3"/>
            <w:tcBorders>
              <w:top w:val="single" w:color="auto" w:sz="4" w:space="0"/>
              <w:left w:val="nil"/>
              <w:bottom w:val="single" w:color="auto" w:sz="4" w:space="0"/>
              <w:right w:val="single" w:color="auto" w:sz="4" w:space="0"/>
            </w:tcBorders>
            <w:vAlign w:val="center"/>
          </w:tcPr>
          <w:p w14:paraId="600FAA9F">
            <w:pPr>
              <w:keepNext w:val="0"/>
              <w:keepLines w:val="0"/>
              <w:pageBreakBefore w:val="0"/>
              <w:widowControl/>
              <w:numPr>
                <w:ilvl w:val="0"/>
                <w:numId w:val="0"/>
              </w:numPr>
              <w:kinsoku/>
              <w:wordWrap/>
              <w:overflowPunct/>
              <w:topLinePunct w:val="0"/>
              <w:autoSpaceDE/>
              <w:autoSpaceDN/>
              <w:bidi w:val="0"/>
              <w:adjustRightInd/>
              <w:spacing w:line="240" w:lineRule="auto"/>
              <w:ind w:leftChars="1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出现紧急情况时，应立即停止工作。</w:t>
            </w:r>
          </w:p>
          <w:p w14:paraId="159F212B">
            <w:pPr>
              <w:keepNext w:val="0"/>
              <w:keepLines w:val="0"/>
              <w:pageBreakBefore w:val="0"/>
              <w:widowControl/>
              <w:numPr>
                <w:ilvl w:val="0"/>
                <w:numId w:val="0"/>
              </w:numPr>
              <w:kinsoku/>
              <w:wordWrap/>
              <w:overflowPunct/>
              <w:topLinePunct w:val="0"/>
              <w:autoSpaceDE/>
              <w:autoSpaceDN/>
              <w:bidi w:val="0"/>
              <w:adjustRightInd/>
              <w:spacing w:line="240" w:lineRule="auto"/>
              <w:ind w:firstLine="210" w:firstLineChars="1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07555D86">
      <w:pPr>
        <w:pStyle w:val="7"/>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color w:val="auto"/>
          <w:sz w:val="21"/>
          <w:szCs w:val="21"/>
          <w:highlight w:val="none"/>
        </w:rPr>
      </w:pPr>
    </w:p>
    <w:tbl>
      <w:tblPr>
        <w:tblStyle w:val="12"/>
        <w:tblW w:w="8560" w:type="dxa"/>
        <w:jc w:val="center"/>
        <w:tblLayout w:type="fixed"/>
        <w:tblCellMar>
          <w:top w:w="0" w:type="dxa"/>
          <w:left w:w="108" w:type="dxa"/>
          <w:bottom w:w="0" w:type="dxa"/>
          <w:right w:w="108" w:type="dxa"/>
        </w:tblCellMar>
      </w:tblPr>
      <w:tblGrid>
        <w:gridCol w:w="3785"/>
        <w:gridCol w:w="4775"/>
      </w:tblGrid>
      <w:tr w14:paraId="0084BC5C">
        <w:tblPrEx>
          <w:tblCellMar>
            <w:top w:w="0" w:type="dxa"/>
            <w:left w:w="108" w:type="dxa"/>
            <w:bottom w:w="0" w:type="dxa"/>
            <w:right w:w="108" w:type="dxa"/>
          </w:tblCellMar>
        </w:tblPrEx>
        <w:trPr>
          <w:trHeight w:val="90" w:hRule="atLeast"/>
          <w:jc w:val="center"/>
        </w:trPr>
        <w:tc>
          <w:tcPr>
            <w:tcW w:w="8560" w:type="dxa"/>
            <w:gridSpan w:val="2"/>
            <w:tcBorders>
              <w:top w:val="single" w:color="auto" w:sz="4" w:space="0"/>
              <w:left w:val="single" w:color="auto" w:sz="4" w:space="0"/>
              <w:bottom w:val="single" w:color="auto" w:sz="4" w:space="0"/>
              <w:right w:val="single" w:color="auto" w:sz="4" w:space="0"/>
            </w:tcBorders>
            <w:vAlign w:val="center"/>
          </w:tcPr>
          <w:p w14:paraId="0D8EF0E6">
            <w:pPr>
              <w:keepNext w:val="0"/>
              <w:keepLines w:val="0"/>
              <w:pageBreakBefore w:val="0"/>
              <w:widowControl/>
              <w:kinsoku/>
              <w:wordWrap/>
              <w:overflowPunct/>
              <w:topLinePunct w:val="0"/>
              <w:autoSpaceDE/>
              <w:autoSpaceDN/>
              <w:bidi w:val="0"/>
              <w:adjustRightInd/>
              <w:spacing w:line="600" w:lineRule="exact"/>
              <w:ind w:firstLine="422"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lang w:val="en-US" w:eastAsia="zh-CN"/>
              </w:rPr>
              <w:t>井下探放水</w:t>
            </w:r>
            <w:r>
              <w:rPr>
                <w:rFonts w:hint="eastAsia" w:ascii="仿宋" w:hAnsi="仿宋" w:eastAsia="仿宋" w:cs="仿宋"/>
                <w:b/>
                <w:bCs/>
                <w:color w:val="auto"/>
                <w:kern w:val="0"/>
                <w:sz w:val="21"/>
                <w:szCs w:val="21"/>
                <w:highlight w:val="none"/>
              </w:rPr>
              <w:t>安全提示卡</w:t>
            </w:r>
          </w:p>
        </w:tc>
      </w:tr>
      <w:tr w14:paraId="1E828CD2">
        <w:tblPrEx>
          <w:tblCellMar>
            <w:top w:w="0" w:type="dxa"/>
            <w:left w:w="108" w:type="dxa"/>
            <w:bottom w:w="0" w:type="dxa"/>
            <w:right w:w="108" w:type="dxa"/>
          </w:tblCellMar>
        </w:tblPrEx>
        <w:trPr>
          <w:trHeight w:val="486"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14:paraId="6F99BFBA">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开</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前检查</w:t>
            </w:r>
          </w:p>
        </w:tc>
        <w:tc>
          <w:tcPr>
            <w:tcW w:w="4775" w:type="dxa"/>
            <w:tcBorders>
              <w:top w:val="single" w:color="auto" w:sz="4" w:space="0"/>
              <w:left w:val="nil"/>
              <w:bottom w:val="single" w:color="auto" w:sz="4" w:space="0"/>
              <w:right w:val="single" w:color="auto" w:sz="4" w:space="0"/>
            </w:tcBorders>
            <w:vAlign w:val="center"/>
          </w:tcPr>
          <w:p w14:paraId="1C1C7838">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停</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后确认</w:t>
            </w:r>
          </w:p>
        </w:tc>
      </w:tr>
      <w:tr w14:paraId="0EE5DF0D">
        <w:tblPrEx>
          <w:tblCellMar>
            <w:top w:w="0" w:type="dxa"/>
            <w:left w:w="108" w:type="dxa"/>
            <w:bottom w:w="0" w:type="dxa"/>
            <w:right w:w="108" w:type="dxa"/>
          </w:tblCellMar>
        </w:tblPrEx>
        <w:trPr>
          <w:trHeight w:val="486"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14:paraId="7C288A12">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1.</w:t>
            </w:r>
            <w:r>
              <w:rPr>
                <w:rFonts w:hint="eastAsia" w:ascii="仿宋" w:hAnsi="仿宋" w:eastAsia="仿宋" w:cs="仿宋"/>
                <w:b w:val="0"/>
                <w:bCs w:val="0"/>
                <w:color w:val="auto"/>
                <w:kern w:val="0"/>
                <w:sz w:val="21"/>
                <w:szCs w:val="21"/>
                <w:highlight w:val="none"/>
                <w:lang w:eastAsia="zh-CN"/>
              </w:rPr>
              <w:t>顶板</w:t>
            </w:r>
          </w:p>
        </w:tc>
        <w:tc>
          <w:tcPr>
            <w:tcW w:w="4775" w:type="dxa"/>
            <w:tcBorders>
              <w:top w:val="single" w:color="auto" w:sz="4" w:space="0"/>
              <w:left w:val="nil"/>
              <w:bottom w:val="single" w:color="auto" w:sz="4" w:space="0"/>
              <w:right w:val="single" w:color="auto" w:sz="4" w:space="0"/>
            </w:tcBorders>
            <w:vAlign w:val="center"/>
          </w:tcPr>
          <w:p w14:paraId="01CD3B77">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1.停电闭锁</w:t>
            </w:r>
          </w:p>
        </w:tc>
      </w:tr>
      <w:tr w14:paraId="1A0E514B">
        <w:tblPrEx>
          <w:tblCellMar>
            <w:top w:w="0" w:type="dxa"/>
            <w:left w:w="108" w:type="dxa"/>
            <w:bottom w:w="0" w:type="dxa"/>
            <w:right w:w="108" w:type="dxa"/>
          </w:tblCellMar>
        </w:tblPrEx>
        <w:trPr>
          <w:trHeight w:val="486"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14:paraId="6F6E57FC">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2.信号、照明</w:t>
            </w:r>
          </w:p>
        </w:tc>
        <w:tc>
          <w:tcPr>
            <w:tcW w:w="4775" w:type="dxa"/>
            <w:tcBorders>
              <w:top w:val="single" w:color="auto" w:sz="4" w:space="0"/>
              <w:left w:val="nil"/>
              <w:bottom w:val="single" w:color="auto" w:sz="4" w:space="0"/>
              <w:right w:val="single" w:color="000000" w:sz="4" w:space="0"/>
            </w:tcBorders>
            <w:vAlign w:val="center"/>
          </w:tcPr>
          <w:p w14:paraId="068C3B80">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w:t>
            </w:r>
            <w:r>
              <w:rPr>
                <w:rFonts w:hint="eastAsia" w:ascii="仿宋" w:hAnsi="仿宋" w:eastAsia="仿宋" w:cs="仿宋"/>
                <w:b w:val="0"/>
                <w:bCs w:val="0"/>
                <w:color w:val="auto"/>
                <w:kern w:val="0"/>
                <w:sz w:val="21"/>
                <w:szCs w:val="21"/>
                <w:highlight w:val="none"/>
                <w:lang w:eastAsia="zh-CN"/>
              </w:rPr>
              <w:t>关闭钻机送水阀门</w:t>
            </w:r>
          </w:p>
        </w:tc>
      </w:tr>
      <w:tr w14:paraId="5BDC43A6">
        <w:tblPrEx>
          <w:tblCellMar>
            <w:top w:w="0" w:type="dxa"/>
            <w:left w:w="108" w:type="dxa"/>
            <w:bottom w:w="0" w:type="dxa"/>
            <w:right w:w="108" w:type="dxa"/>
          </w:tblCellMar>
        </w:tblPrEx>
        <w:trPr>
          <w:trHeight w:val="486"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14:paraId="1968A646">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3.</w:t>
            </w:r>
            <w:r>
              <w:rPr>
                <w:rFonts w:hint="eastAsia" w:ascii="仿宋" w:hAnsi="仿宋" w:eastAsia="仿宋" w:cs="仿宋"/>
                <w:b w:val="0"/>
                <w:bCs w:val="0"/>
                <w:color w:val="auto"/>
                <w:kern w:val="0"/>
                <w:sz w:val="21"/>
                <w:szCs w:val="21"/>
                <w:highlight w:val="none"/>
                <w:lang w:eastAsia="zh-CN"/>
              </w:rPr>
              <w:t>钻机送水阀门</w:t>
            </w:r>
          </w:p>
        </w:tc>
        <w:tc>
          <w:tcPr>
            <w:tcW w:w="4775" w:type="dxa"/>
            <w:tcBorders>
              <w:top w:val="single" w:color="auto" w:sz="4" w:space="0"/>
              <w:left w:val="nil"/>
              <w:bottom w:val="single" w:color="auto" w:sz="4" w:space="0"/>
              <w:right w:val="single" w:color="000000" w:sz="4" w:space="0"/>
            </w:tcBorders>
            <w:vAlign w:val="center"/>
          </w:tcPr>
          <w:p w14:paraId="501CF49B">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3.关闭钻机油管阀门</w:t>
            </w:r>
          </w:p>
        </w:tc>
      </w:tr>
      <w:tr w14:paraId="1E302EA5">
        <w:tblPrEx>
          <w:tblCellMar>
            <w:top w:w="0" w:type="dxa"/>
            <w:left w:w="108" w:type="dxa"/>
            <w:bottom w:w="0" w:type="dxa"/>
            <w:right w:w="108" w:type="dxa"/>
          </w:tblCellMar>
        </w:tblPrEx>
        <w:trPr>
          <w:trHeight w:val="1123"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14:paraId="5E288F75">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4.</w:t>
            </w:r>
            <w:r>
              <w:rPr>
                <w:rFonts w:hint="eastAsia" w:ascii="仿宋" w:hAnsi="仿宋" w:eastAsia="仿宋" w:cs="仿宋"/>
                <w:b w:val="0"/>
                <w:bCs w:val="0"/>
                <w:color w:val="auto"/>
                <w:kern w:val="0"/>
                <w:sz w:val="21"/>
                <w:szCs w:val="21"/>
                <w:highlight w:val="none"/>
                <w:lang w:eastAsia="zh-CN"/>
              </w:rPr>
              <w:t>钻机压力</w:t>
            </w:r>
          </w:p>
        </w:tc>
        <w:tc>
          <w:tcPr>
            <w:tcW w:w="4775" w:type="dxa"/>
            <w:tcBorders>
              <w:top w:val="single" w:color="auto" w:sz="4" w:space="0"/>
              <w:left w:val="nil"/>
              <w:bottom w:val="single" w:color="auto" w:sz="4" w:space="0"/>
              <w:right w:val="single" w:color="000000" w:sz="4" w:space="0"/>
            </w:tcBorders>
            <w:vAlign w:val="center"/>
          </w:tcPr>
          <w:p w14:paraId="4537D0F3">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注：第一次按开机前检查内容逐项检查并确认，存在问题整改后再确认；全部结束后按停机后确认内容逐项检查并确认。</w:t>
            </w:r>
          </w:p>
        </w:tc>
      </w:tr>
    </w:tbl>
    <w:p w14:paraId="7A775220">
      <w:pPr>
        <w:pStyle w:val="2"/>
        <w:keepNext w:val="0"/>
        <w:keepLines w:val="0"/>
        <w:pageBreakBefore w:val="0"/>
        <w:kinsoku/>
        <w:wordWrap/>
        <w:overflowPunct/>
        <w:topLinePunct w:val="0"/>
        <w:autoSpaceDE/>
        <w:autoSpaceDN/>
        <w:bidi w:val="0"/>
        <w:adjustRightInd/>
        <w:ind w:left="0" w:leftChars="0" w:firstLine="0" w:firstLineChars="0"/>
        <w:outlineLvl w:val="9"/>
        <w:rPr>
          <w:rFonts w:hint="eastAsia"/>
          <w:color w:val="auto"/>
        </w:rPr>
      </w:pPr>
    </w:p>
    <w:tbl>
      <w:tblPr>
        <w:tblStyle w:val="12"/>
        <w:tblW w:w="8606" w:type="dxa"/>
        <w:jc w:val="center"/>
        <w:tblLayout w:type="fixed"/>
        <w:tblCellMar>
          <w:top w:w="0" w:type="dxa"/>
          <w:left w:w="108" w:type="dxa"/>
          <w:bottom w:w="0" w:type="dxa"/>
          <w:right w:w="108" w:type="dxa"/>
        </w:tblCellMar>
      </w:tblPr>
      <w:tblGrid>
        <w:gridCol w:w="1400"/>
        <w:gridCol w:w="1545"/>
        <w:gridCol w:w="5661"/>
      </w:tblGrid>
      <w:tr w14:paraId="1EA6FD8A">
        <w:tblPrEx>
          <w:tblCellMar>
            <w:top w:w="0" w:type="dxa"/>
            <w:left w:w="108" w:type="dxa"/>
            <w:bottom w:w="0" w:type="dxa"/>
            <w:right w:w="108" w:type="dxa"/>
          </w:tblCellMar>
        </w:tblPrEx>
        <w:trPr>
          <w:trHeight w:val="290"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14:paraId="2CE9BF0B">
            <w:pPr>
              <w:keepNext w:val="0"/>
              <w:keepLines w:val="0"/>
              <w:pageBreakBefore w:val="0"/>
              <w:widowControl/>
              <w:kinsoku/>
              <w:wordWrap/>
              <w:overflowPunct/>
              <w:topLinePunct w:val="0"/>
              <w:autoSpaceDE/>
              <w:autoSpaceDN/>
              <w:bidi w:val="0"/>
              <w:adjustRightInd/>
              <w:spacing w:line="600" w:lineRule="exact"/>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lang w:val="en-US" w:eastAsia="zh-CN"/>
              </w:rPr>
              <w:t>井下探放水</w:t>
            </w:r>
            <w:r>
              <w:rPr>
                <w:rFonts w:hint="eastAsia" w:ascii="仿宋" w:hAnsi="仿宋" w:eastAsia="仿宋" w:cs="仿宋"/>
                <w:b w:val="0"/>
                <w:bCs w:val="0"/>
                <w:color w:val="auto"/>
                <w:kern w:val="0"/>
                <w:sz w:val="21"/>
                <w:szCs w:val="21"/>
                <w:highlight w:val="none"/>
              </w:rPr>
              <w:t>单元检查表</w:t>
            </w:r>
          </w:p>
        </w:tc>
      </w:tr>
      <w:tr w14:paraId="3C65C23C">
        <w:tblPrEx>
          <w:tblCellMar>
            <w:top w:w="0" w:type="dxa"/>
            <w:left w:w="108" w:type="dxa"/>
            <w:bottom w:w="0" w:type="dxa"/>
            <w:right w:w="108" w:type="dxa"/>
          </w:tblCellMar>
        </w:tblPrEx>
        <w:trPr>
          <w:trHeight w:val="435"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14:paraId="6DFB8CEF">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★1.</w:t>
            </w:r>
            <w:r>
              <w:rPr>
                <w:rFonts w:hint="eastAsia" w:ascii="仿宋" w:hAnsi="仿宋" w:eastAsia="仿宋" w:cs="仿宋"/>
                <w:b w:val="0"/>
                <w:bCs w:val="0"/>
                <w:color w:val="auto"/>
                <w:kern w:val="0"/>
                <w:sz w:val="21"/>
                <w:szCs w:val="21"/>
                <w:highlight w:val="none"/>
                <w:lang w:val="en-US" w:eastAsia="zh-CN"/>
              </w:rPr>
              <w:t>压力表</w:t>
            </w:r>
          </w:p>
        </w:tc>
      </w:tr>
      <w:tr w14:paraId="6F98B9B2">
        <w:tblPrEx>
          <w:tblCellMar>
            <w:top w:w="0" w:type="dxa"/>
            <w:left w:w="108" w:type="dxa"/>
            <w:bottom w:w="0" w:type="dxa"/>
            <w:right w:w="108" w:type="dxa"/>
          </w:tblCellMar>
        </w:tblPrEx>
        <w:trPr>
          <w:trHeight w:val="435"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14:paraId="2ADB99C1">
            <w:pPr>
              <w:keepNext w:val="0"/>
              <w:keepLines w:val="0"/>
              <w:pageBreakBefore w:val="0"/>
              <w:widowControl/>
              <w:kinsoku/>
              <w:wordWrap/>
              <w:overflowPunct/>
              <w:topLinePunct w:val="0"/>
              <w:autoSpaceDE/>
              <w:autoSpaceDN/>
              <w:bidi w:val="0"/>
              <w:adjustRightInd/>
              <w:spacing w:line="600" w:lineRule="exact"/>
              <w:ind w:firstLine="210" w:firstLineChars="100"/>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w:t>
            </w:r>
            <w:r>
              <w:rPr>
                <w:rFonts w:hint="eastAsia" w:ascii="仿宋" w:hAnsi="仿宋" w:eastAsia="仿宋" w:cs="仿宋"/>
                <w:b w:val="0"/>
                <w:bCs w:val="0"/>
                <w:color w:val="auto"/>
                <w:kern w:val="0"/>
                <w:sz w:val="21"/>
                <w:szCs w:val="21"/>
                <w:highlight w:val="none"/>
                <w:lang w:val="en-US" w:eastAsia="zh-CN"/>
              </w:rPr>
              <w:t>电动机、开关</w:t>
            </w:r>
          </w:p>
        </w:tc>
      </w:tr>
      <w:tr w14:paraId="2BADF106">
        <w:tblPrEx>
          <w:tblCellMar>
            <w:top w:w="0" w:type="dxa"/>
            <w:left w:w="108" w:type="dxa"/>
            <w:bottom w:w="0" w:type="dxa"/>
            <w:right w:w="108" w:type="dxa"/>
          </w:tblCellMar>
        </w:tblPrEx>
        <w:trPr>
          <w:trHeight w:val="435"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14:paraId="2894BDA3">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★3.</w:t>
            </w:r>
            <w:r>
              <w:rPr>
                <w:rFonts w:hint="eastAsia" w:ascii="仿宋" w:hAnsi="仿宋" w:eastAsia="仿宋" w:cs="仿宋"/>
                <w:b w:val="0"/>
                <w:bCs w:val="0"/>
                <w:color w:val="auto"/>
                <w:kern w:val="0"/>
                <w:sz w:val="21"/>
                <w:szCs w:val="21"/>
                <w:highlight w:val="none"/>
                <w:lang w:val="en-US" w:eastAsia="zh-CN"/>
              </w:rPr>
              <w:t>油管、送水阀门、油路阀门</w:t>
            </w:r>
          </w:p>
        </w:tc>
      </w:tr>
      <w:tr w14:paraId="4BEEBFA7">
        <w:tblPrEx>
          <w:tblCellMar>
            <w:top w:w="0" w:type="dxa"/>
            <w:left w:w="108" w:type="dxa"/>
            <w:bottom w:w="0" w:type="dxa"/>
            <w:right w:w="108" w:type="dxa"/>
          </w:tblCellMar>
        </w:tblPrEx>
        <w:trPr>
          <w:trHeight w:val="435"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14:paraId="7284FC68">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 4.</w:t>
            </w:r>
            <w:r>
              <w:rPr>
                <w:rFonts w:hint="eastAsia" w:ascii="仿宋" w:hAnsi="仿宋" w:eastAsia="仿宋" w:cs="仿宋"/>
                <w:b w:val="0"/>
                <w:bCs w:val="0"/>
                <w:color w:val="auto"/>
                <w:kern w:val="0"/>
                <w:sz w:val="21"/>
                <w:szCs w:val="21"/>
                <w:highlight w:val="none"/>
                <w:lang w:val="en-US" w:eastAsia="zh-CN"/>
              </w:rPr>
              <w:t>油管、送水阀门、压力表</w:t>
            </w:r>
          </w:p>
        </w:tc>
      </w:tr>
      <w:tr w14:paraId="4F006C50">
        <w:tblPrEx>
          <w:tblCellMar>
            <w:top w:w="0" w:type="dxa"/>
            <w:left w:w="108" w:type="dxa"/>
            <w:bottom w:w="0" w:type="dxa"/>
            <w:right w:w="108" w:type="dxa"/>
          </w:tblCellMar>
        </w:tblPrEx>
        <w:trPr>
          <w:trHeight w:val="510"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14:paraId="08A401D9">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接班后检查一次，单元检查表检查前，先进行停电闭锁确认</w:t>
            </w:r>
            <w:r>
              <w:rPr>
                <w:rFonts w:hint="eastAsia" w:ascii="仿宋" w:hAnsi="仿宋" w:eastAsia="仿宋" w:cs="仿宋"/>
                <w:b w:val="0"/>
                <w:bCs w:val="0"/>
                <w:color w:val="auto"/>
                <w:kern w:val="0"/>
                <w:sz w:val="21"/>
                <w:szCs w:val="21"/>
                <w:highlight w:val="none"/>
                <w:lang w:eastAsia="zh-CN"/>
              </w:rPr>
              <w:t>。</w:t>
            </w:r>
          </w:p>
        </w:tc>
      </w:tr>
      <w:tr w14:paraId="0064788B">
        <w:tblPrEx>
          <w:tblCellMar>
            <w:top w:w="0" w:type="dxa"/>
            <w:left w:w="108" w:type="dxa"/>
            <w:bottom w:w="0" w:type="dxa"/>
            <w:right w:w="108" w:type="dxa"/>
          </w:tblCellMar>
        </w:tblPrEx>
        <w:trPr>
          <w:trHeight w:val="365" w:hRule="atLeast"/>
          <w:jc w:val="center"/>
        </w:trPr>
        <w:tc>
          <w:tcPr>
            <w:tcW w:w="8606" w:type="dxa"/>
            <w:gridSpan w:val="3"/>
            <w:tcBorders>
              <w:top w:val="single" w:color="000000" w:sz="4" w:space="0"/>
              <w:left w:val="single" w:color="000000" w:sz="4" w:space="0"/>
              <w:bottom w:val="single" w:color="000000" w:sz="4" w:space="0"/>
              <w:right w:val="single" w:color="000000" w:sz="4" w:space="0"/>
            </w:tcBorders>
            <w:vAlign w:val="center"/>
          </w:tcPr>
          <w:p w14:paraId="24C3649B">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val="0"/>
                <w:bCs w:val="0"/>
                <w:i w:val="0"/>
                <w:iCs w:val="0"/>
                <w:color w:val="auto"/>
                <w:kern w:val="0"/>
                <w:sz w:val="21"/>
                <w:szCs w:val="21"/>
                <w:highlight w:val="none"/>
                <w:u w:val="none"/>
                <w:lang w:val="en-US" w:eastAsia="zh-CN" w:bidi="ar"/>
              </w:rPr>
              <w:t>注氮机司机操作过程注意事项</w:t>
            </w:r>
          </w:p>
        </w:tc>
      </w:tr>
      <w:tr w14:paraId="0A8C45CE">
        <w:tblPrEx>
          <w:tblCellMar>
            <w:top w:w="0" w:type="dxa"/>
            <w:left w:w="108" w:type="dxa"/>
            <w:bottom w:w="0" w:type="dxa"/>
            <w:right w:w="108" w:type="dxa"/>
          </w:tblCellMar>
        </w:tblPrEx>
        <w:trPr>
          <w:trHeight w:val="365" w:hRule="atLeast"/>
          <w:jc w:val="center"/>
        </w:trPr>
        <w:tc>
          <w:tcPr>
            <w:tcW w:w="1400" w:type="dxa"/>
            <w:tcBorders>
              <w:top w:val="single" w:color="000000" w:sz="4" w:space="0"/>
              <w:left w:val="single" w:color="000000" w:sz="4" w:space="0"/>
              <w:bottom w:val="single" w:color="000000" w:sz="4" w:space="0"/>
              <w:right w:val="single" w:color="000000" w:sz="4" w:space="0"/>
            </w:tcBorders>
            <w:vAlign w:val="center"/>
          </w:tcPr>
          <w:p w14:paraId="7145F792">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val="0"/>
                <w:bCs w:val="0"/>
                <w:i w:val="0"/>
                <w:iCs w:val="0"/>
                <w:color w:val="auto"/>
                <w:kern w:val="0"/>
                <w:sz w:val="21"/>
                <w:szCs w:val="21"/>
                <w:highlight w:val="none"/>
                <w:u w:val="none"/>
                <w:lang w:val="en-US" w:eastAsia="zh-CN" w:bidi="ar"/>
              </w:rPr>
              <w:t>操作顺序</w:t>
            </w:r>
          </w:p>
        </w:tc>
        <w:tc>
          <w:tcPr>
            <w:tcW w:w="1545" w:type="dxa"/>
            <w:tcBorders>
              <w:top w:val="single" w:color="000000" w:sz="4" w:space="0"/>
              <w:left w:val="single" w:color="000000" w:sz="4" w:space="0"/>
              <w:bottom w:val="single" w:color="000000" w:sz="4" w:space="0"/>
              <w:right w:val="single" w:color="000000" w:sz="4" w:space="0"/>
            </w:tcBorders>
            <w:vAlign w:val="center"/>
          </w:tcPr>
          <w:p w14:paraId="71D0FBC5">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val="0"/>
                <w:bCs w:val="0"/>
                <w:i w:val="0"/>
                <w:iCs w:val="0"/>
                <w:color w:val="auto"/>
                <w:kern w:val="0"/>
                <w:sz w:val="21"/>
                <w:szCs w:val="21"/>
                <w:highlight w:val="none"/>
                <w:u w:val="none"/>
                <w:lang w:val="en-US" w:eastAsia="zh-CN" w:bidi="ar"/>
              </w:rPr>
              <w:t>提示词</w:t>
            </w:r>
          </w:p>
        </w:tc>
        <w:tc>
          <w:tcPr>
            <w:tcW w:w="5661" w:type="dxa"/>
            <w:tcBorders>
              <w:top w:val="single" w:color="000000" w:sz="4" w:space="0"/>
              <w:left w:val="single" w:color="000000" w:sz="4" w:space="0"/>
              <w:bottom w:val="single" w:color="000000" w:sz="4" w:space="0"/>
              <w:right w:val="single" w:color="000000" w:sz="4" w:space="0"/>
            </w:tcBorders>
            <w:vAlign w:val="center"/>
          </w:tcPr>
          <w:p w14:paraId="0D0B5628">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val="0"/>
                <w:bCs w:val="0"/>
                <w:i w:val="0"/>
                <w:iCs w:val="0"/>
                <w:color w:val="auto"/>
                <w:kern w:val="0"/>
                <w:sz w:val="21"/>
                <w:szCs w:val="21"/>
                <w:highlight w:val="none"/>
                <w:u w:val="none"/>
                <w:lang w:val="en-US" w:eastAsia="zh-CN" w:bidi="ar"/>
              </w:rPr>
              <w:t>操作注意事项解释</w:t>
            </w:r>
          </w:p>
        </w:tc>
      </w:tr>
      <w:tr w14:paraId="5663867E">
        <w:tblPrEx>
          <w:tblCellMar>
            <w:top w:w="0" w:type="dxa"/>
            <w:left w:w="108" w:type="dxa"/>
            <w:bottom w:w="0" w:type="dxa"/>
            <w:right w:w="108" w:type="dxa"/>
          </w:tblCellMar>
        </w:tblPrEx>
        <w:trPr>
          <w:trHeight w:val="365" w:hRule="atLeast"/>
          <w:jc w:val="center"/>
        </w:trPr>
        <w:tc>
          <w:tcPr>
            <w:tcW w:w="1400" w:type="dxa"/>
            <w:vMerge w:val="restart"/>
            <w:tcBorders>
              <w:top w:val="single" w:color="000000" w:sz="4" w:space="0"/>
              <w:left w:val="single" w:color="000000" w:sz="4" w:space="0"/>
              <w:bottom w:val="single" w:color="000000" w:sz="4" w:space="0"/>
              <w:right w:val="single" w:color="000000" w:sz="4" w:space="0"/>
            </w:tcBorders>
            <w:vAlign w:val="center"/>
          </w:tcPr>
          <w:p w14:paraId="60E99B1A">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开机</w:t>
            </w:r>
          </w:p>
        </w:tc>
        <w:tc>
          <w:tcPr>
            <w:tcW w:w="1545" w:type="dxa"/>
            <w:tcBorders>
              <w:top w:val="single" w:color="000000" w:sz="4" w:space="0"/>
              <w:left w:val="single" w:color="000000" w:sz="4" w:space="0"/>
              <w:bottom w:val="single" w:color="000000" w:sz="4" w:space="0"/>
              <w:right w:val="single" w:color="000000" w:sz="4" w:space="0"/>
            </w:tcBorders>
            <w:vAlign w:val="center"/>
          </w:tcPr>
          <w:p w14:paraId="000B4DBD">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661" w:type="dxa"/>
            <w:tcBorders>
              <w:top w:val="single" w:color="000000" w:sz="4" w:space="0"/>
              <w:left w:val="single" w:color="000000" w:sz="4" w:space="0"/>
              <w:bottom w:val="single" w:color="000000" w:sz="4" w:space="0"/>
              <w:right w:val="single" w:color="000000" w:sz="4" w:space="0"/>
            </w:tcBorders>
            <w:vAlign w:val="center"/>
          </w:tcPr>
          <w:p w14:paraId="16BFB993">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周围有无人员、异物</w:t>
            </w:r>
          </w:p>
        </w:tc>
      </w:tr>
      <w:tr w14:paraId="615F5210">
        <w:tblPrEx>
          <w:tblCellMar>
            <w:top w:w="0" w:type="dxa"/>
            <w:left w:w="108" w:type="dxa"/>
            <w:bottom w:w="0" w:type="dxa"/>
            <w:right w:w="108" w:type="dxa"/>
          </w:tblCellMar>
        </w:tblPrEx>
        <w:trPr>
          <w:trHeight w:val="365" w:hRule="atLeast"/>
          <w:jc w:val="center"/>
        </w:trPr>
        <w:tc>
          <w:tcPr>
            <w:tcW w:w="1400" w:type="dxa"/>
            <w:vMerge w:val="continue"/>
            <w:tcBorders>
              <w:top w:val="single" w:color="000000" w:sz="4" w:space="0"/>
              <w:left w:val="single" w:color="000000" w:sz="4" w:space="0"/>
              <w:bottom w:val="single" w:color="000000" w:sz="4" w:space="0"/>
              <w:right w:val="single" w:color="000000" w:sz="4" w:space="0"/>
            </w:tcBorders>
            <w:vAlign w:val="center"/>
          </w:tcPr>
          <w:p w14:paraId="79487C6F">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14:paraId="01863F29">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w:t>
            </w:r>
          </w:p>
        </w:tc>
        <w:tc>
          <w:tcPr>
            <w:tcW w:w="5661" w:type="dxa"/>
            <w:tcBorders>
              <w:top w:val="single" w:color="000000" w:sz="4" w:space="0"/>
              <w:left w:val="single" w:color="000000" w:sz="4" w:space="0"/>
              <w:bottom w:val="single" w:color="000000" w:sz="4" w:space="0"/>
              <w:right w:val="single" w:color="000000" w:sz="4" w:space="0"/>
            </w:tcBorders>
            <w:vAlign w:val="center"/>
          </w:tcPr>
          <w:p w14:paraId="2BC57696">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钻机油泵、管路等异常声音</w:t>
            </w:r>
          </w:p>
        </w:tc>
      </w:tr>
      <w:tr w14:paraId="1533B5E4">
        <w:tblPrEx>
          <w:tblCellMar>
            <w:top w:w="0" w:type="dxa"/>
            <w:left w:w="108" w:type="dxa"/>
            <w:bottom w:w="0" w:type="dxa"/>
            <w:right w:w="108" w:type="dxa"/>
          </w:tblCellMar>
        </w:tblPrEx>
        <w:trPr>
          <w:trHeight w:val="365" w:hRule="atLeast"/>
          <w:jc w:val="center"/>
        </w:trPr>
        <w:tc>
          <w:tcPr>
            <w:tcW w:w="1400" w:type="dxa"/>
            <w:vMerge w:val="continue"/>
            <w:tcBorders>
              <w:top w:val="single" w:color="000000" w:sz="4" w:space="0"/>
              <w:left w:val="single" w:color="000000" w:sz="4" w:space="0"/>
              <w:bottom w:val="single" w:color="000000" w:sz="4" w:space="0"/>
              <w:right w:val="single" w:color="000000" w:sz="4" w:space="0"/>
            </w:tcBorders>
            <w:vAlign w:val="center"/>
          </w:tcPr>
          <w:p w14:paraId="65DBDC2E">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14:paraId="1A3A1D0C">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嗅异味</w:t>
            </w:r>
          </w:p>
        </w:tc>
        <w:tc>
          <w:tcPr>
            <w:tcW w:w="5661" w:type="dxa"/>
            <w:tcBorders>
              <w:top w:val="single" w:color="000000" w:sz="4" w:space="0"/>
              <w:left w:val="single" w:color="000000" w:sz="4" w:space="0"/>
              <w:bottom w:val="single" w:color="000000" w:sz="4" w:space="0"/>
              <w:right w:val="single" w:color="000000" w:sz="4" w:space="0"/>
            </w:tcBorders>
            <w:vAlign w:val="center"/>
          </w:tcPr>
          <w:p w14:paraId="045E0E58">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闻气味异常</w:t>
            </w:r>
          </w:p>
        </w:tc>
      </w:tr>
      <w:tr w14:paraId="3347447B">
        <w:tblPrEx>
          <w:tblCellMar>
            <w:top w:w="0" w:type="dxa"/>
            <w:left w:w="108" w:type="dxa"/>
            <w:bottom w:w="0" w:type="dxa"/>
            <w:right w:w="108" w:type="dxa"/>
          </w:tblCellMar>
        </w:tblPrEx>
        <w:trPr>
          <w:trHeight w:val="401" w:hRule="atLeast"/>
          <w:jc w:val="center"/>
        </w:trPr>
        <w:tc>
          <w:tcPr>
            <w:tcW w:w="1400" w:type="dxa"/>
            <w:vMerge w:val="continue"/>
            <w:tcBorders>
              <w:top w:val="single" w:color="000000" w:sz="4" w:space="0"/>
              <w:left w:val="single" w:color="000000" w:sz="4" w:space="0"/>
              <w:bottom w:val="single" w:color="000000" w:sz="4" w:space="0"/>
              <w:right w:val="single" w:color="000000" w:sz="4" w:space="0"/>
            </w:tcBorders>
            <w:vAlign w:val="center"/>
          </w:tcPr>
          <w:p w14:paraId="76EC9E96">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14:paraId="71915031">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661" w:type="dxa"/>
            <w:tcBorders>
              <w:top w:val="single" w:color="000000" w:sz="4" w:space="0"/>
              <w:left w:val="single" w:color="000000" w:sz="4" w:space="0"/>
              <w:bottom w:val="single" w:color="000000" w:sz="4" w:space="0"/>
              <w:right w:val="single" w:color="000000" w:sz="4" w:space="0"/>
            </w:tcBorders>
            <w:vAlign w:val="center"/>
          </w:tcPr>
          <w:p w14:paraId="1A8E4509">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钻机压力超过10MPa；孔内返浆正常</w:t>
            </w:r>
          </w:p>
        </w:tc>
      </w:tr>
    </w:tbl>
    <w:p w14:paraId="34EE726C">
      <w:pPr>
        <w:pStyle w:val="7"/>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rPr>
      </w:pPr>
    </w:p>
    <w:tbl>
      <w:tblPr>
        <w:tblStyle w:val="12"/>
        <w:tblW w:w="8618" w:type="dxa"/>
        <w:jc w:val="center"/>
        <w:tblLayout w:type="fixed"/>
        <w:tblCellMar>
          <w:top w:w="0" w:type="dxa"/>
          <w:left w:w="108" w:type="dxa"/>
          <w:bottom w:w="0" w:type="dxa"/>
          <w:right w:w="108" w:type="dxa"/>
        </w:tblCellMar>
      </w:tblPr>
      <w:tblGrid>
        <w:gridCol w:w="1423"/>
        <w:gridCol w:w="2168"/>
        <w:gridCol w:w="5027"/>
      </w:tblGrid>
      <w:tr w14:paraId="7E3AD4B0">
        <w:tblPrEx>
          <w:tblCellMar>
            <w:top w:w="0" w:type="dxa"/>
            <w:left w:w="108" w:type="dxa"/>
            <w:bottom w:w="0" w:type="dxa"/>
            <w:right w:w="108" w:type="dxa"/>
          </w:tblCellMar>
        </w:tblPrEx>
        <w:trPr>
          <w:trHeight w:val="673" w:hRule="atLeast"/>
          <w:jc w:val="center"/>
        </w:trPr>
        <w:tc>
          <w:tcPr>
            <w:tcW w:w="8618" w:type="dxa"/>
            <w:gridSpan w:val="3"/>
            <w:tcBorders>
              <w:top w:val="single" w:color="000000" w:sz="4" w:space="0"/>
              <w:left w:val="single" w:color="000000" w:sz="4" w:space="0"/>
              <w:bottom w:val="single" w:color="000000" w:sz="4" w:space="0"/>
              <w:right w:val="single" w:color="000000" w:sz="4" w:space="0"/>
            </w:tcBorders>
            <w:vAlign w:val="center"/>
          </w:tcPr>
          <w:p w14:paraId="55458742">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color w:val="auto"/>
                <w:kern w:val="0"/>
                <w:sz w:val="21"/>
                <w:szCs w:val="21"/>
                <w:highlight w:val="none"/>
                <w:lang w:val="en-US" w:eastAsia="zh-CN"/>
              </w:rPr>
              <w:t>井下探放水操作过程注意事项</w:t>
            </w:r>
          </w:p>
        </w:tc>
      </w:tr>
      <w:tr w14:paraId="76DA6373">
        <w:tblPrEx>
          <w:tblCellMar>
            <w:top w:w="0" w:type="dxa"/>
            <w:left w:w="108" w:type="dxa"/>
            <w:bottom w:w="0" w:type="dxa"/>
            <w:right w:w="108" w:type="dxa"/>
          </w:tblCellMar>
        </w:tblPrEx>
        <w:trPr>
          <w:trHeight w:val="577" w:hRule="atLeast"/>
          <w:jc w:val="center"/>
        </w:trPr>
        <w:tc>
          <w:tcPr>
            <w:tcW w:w="1423" w:type="dxa"/>
            <w:tcBorders>
              <w:top w:val="single" w:color="000000" w:sz="4" w:space="0"/>
              <w:left w:val="single" w:color="000000" w:sz="4" w:space="0"/>
              <w:bottom w:val="single" w:color="000000" w:sz="4" w:space="0"/>
              <w:right w:val="single" w:color="000000" w:sz="4" w:space="0"/>
            </w:tcBorders>
            <w:vAlign w:val="center"/>
          </w:tcPr>
          <w:p w14:paraId="65331767">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操作顺序</w:t>
            </w:r>
          </w:p>
        </w:tc>
        <w:tc>
          <w:tcPr>
            <w:tcW w:w="2168" w:type="dxa"/>
            <w:tcBorders>
              <w:top w:val="single" w:color="000000" w:sz="4" w:space="0"/>
              <w:left w:val="single" w:color="000000" w:sz="4" w:space="0"/>
              <w:bottom w:val="single" w:color="000000" w:sz="4" w:space="0"/>
              <w:right w:val="single" w:color="000000" w:sz="4" w:space="0"/>
            </w:tcBorders>
            <w:vAlign w:val="center"/>
          </w:tcPr>
          <w:p w14:paraId="20B1D966">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5027" w:type="dxa"/>
            <w:tcBorders>
              <w:top w:val="single" w:color="000000" w:sz="4" w:space="0"/>
              <w:left w:val="single" w:color="000000" w:sz="4" w:space="0"/>
              <w:bottom w:val="single" w:color="000000" w:sz="4" w:space="0"/>
              <w:right w:val="single" w:color="000000" w:sz="4" w:space="0"/>
            </w:tcBorders>
            <w:vAlign w:val="center"/>
          </w:tcPr>
          <w:p w14:paraId="08BB8948">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14:paraId="1C769F8A">
        <w:tblPrEx>
          <w:tblCellMar>
            <w:top w:w="0" w:type="dxa"/>
            <w:left w:w="108" w:type="dxa"/>
            <w:bottom w:w="0" w:type="dxa"/>
            <w:right w:w="108" w:type="dxa"/>
          </w:tblCellMar>
        </w:tblPrEx>
        <w:trPr>
          <w:trHeight w:val="1145" w:hRule="atLeast"/>
          <w:jc w:val="center"/>
        </w:trPr>
        <w:tc>
          <w:tcPr>
            <w:tcW w:w="1423" w:type="dxa"/>
            <w:vMerge w:val="restart"/>
            <w:tcBorders>
              <w:top w:val="single" w:color="000000" w:sz="4" w:space="0"/>
              <w:left w:val="single" w:color="000000" w:sz="4" w:space="0"/>
              <w:bottom w:val="single" w:color="000000" w:sz="4" w:space="0"/>
              <w:right w:val="single" w:color="000000" w:sz="4" w:space="0"/>
            </w:tcBorders>
            <w:vAlign w:val="center"/>
          </w:tcPr>
          <w:p w14:paraId="4C21FE47">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打钻时</w:t>
            </w:r>
          </w:p>
        </w:tc>
        <w:tc>
          <w:tcPr>
            <w:tcW w:w="2168" w:type="dxa"/>
            <w:tcBorders>
              <w:top w:val="single" w:color="000000" w:sz="4" w:space="0"/>
              <w:left w:val="single" w:color="000000" w:sz="4" w:space="0"/>
              <w:bottom w:val="single" w:color="000000" w:sz="4" w:space="0"/>
              <w:right w:val="single" w:color="000000" w:sz="4" w:space="0"/>
            </w:tcBorders>
            <w:vAlign w:val="center"/>
          </w:tcPr>
          <w:p w14:paraId="26ED3C72">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027" w:type="dxa"/>
            <w:tcBorders>
              <w:top w:val="single" w:color="000000" w:sz="4" w:space="0"/>
              <w:left w:val="single" w:color="000000" w:sz="4" w:space="0"/>
              <w:bottom w:val="single" w:color="000000" w:sz="4" w:space="0"/>
              <w:right w:val="single" w:color="000000" w:sz="4" w:space="0"/>
            </w:tcBorders>
            <w:vAlign w:val="center"/>
          </w:tcPr>
          <w:p w14:paraId="2BF52303">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开机时要注意周围安全防止电器、机械等伤害。</w:t>
            </w:r>
          </w:p>
        </w:tc>
      </w:tr>
      <w:tr w14:paraId="36061EA3">
        <w:tblPrEx>
          <w:tblCellMar>
            <w:top w:w="0" w:type="dxa"/>
            <w:left w:w="108" w:type="dxa"/>
            <w:bottom w:w="0" w:type="dxa"/>
            <w:right w:w="108" w:type="dxa"/>
          </w:tblCellMar>
        </w:tblPrEx>
        <w:trPr>
          <w:trHeight w:val="577" w:hRule="atLeast"/>
          <w:jc w:val="center"/>
        </w:trPr>
        <w:tc>
          <w:tcPr>
            <w:tcW w:w="1423" w:type="dxa"/>
            <w:vMerge w:val="continue"/>
            <w:tcBorders>
              <w:top w:val="single" w:color="000000" w:sz="4" w:space="0"/>
              <w:left w:val="single" w:color="000000" w:sz="4" w:space="0"/>
              <w:bottom w:val="single" w:color="000000" w:sz="4" w:space="0"/>
              <w:right w:val="single" w:color="000000" w:sz="4" w:space="0"/>
            </w:tcBorders>
            <w:vAlign w:val="center"/>
          </w:tcPr>
          <w:p w14:paraId="581B09BD">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11501A61">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听异响、信号</w:t>
            </w:r>
          </w:p>
        </w:tc>
        <w:tc>
          <w:tcPr>
            <w:tcW w:w="5027" w:type="dxa"/>
            <w:tcBorders>
              <w:top w:val="single" w:color="000000" w:sz="4" w:space="0"/>
              <w:left w:val="single" w:color="000000" w:sz="4" w:space="0"/>
              <w:bottom w:val="single" w:color="000000" w:sz="4" w:space="0"/>
              <w:right w:val="single" w:color="000000" w:sz="4" w:space="0"/>
            </w:tcBorders>
            <w:vAlign w:val="center"/>
          </w:tcPr>
          <w:p w14:paraId="15BEB4A1">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听钻机异常声音；信号提醒。</w:t>
            </w:r>
          </w:p>
        </w:tc>
      </w:tr>
      <w:tr w14:paraId="51A557B2">
        <w:tblPrEx>
          <w:tblCellMar>
            <w:top w:w="0" w:type="dxa"/>
            <w:left w:w="108" w:type="dxa"/>
            <w:bottom w:w="0" w:type="dxa"/>
            <w:right w:w="108" w:type="dxa"/>
          </w:tblCellMar>
        </w:tblPrEx>
        <w:trPr>
          <w:trHeight w:val="1038" w:hRule="atLeast"/>
          <w:jc w:val="center"/>
        </w:trPr>
        <w:tc>
          <w:tcPr>
            <w:tcW w:w="1423" w:type="dxa"/>
            <w:vMerge w:val="continue"/>
            <w:tcBorders>
              <w:top w:val="single" w:color="000000" w:sz="4" w:space="0"/>
              <w:left w:val="single" w:color="000000" w:sz="4" w:space="0"/>
              <w:bottom w:val="single" w:color="000000" w:sz="4" w:space="0"/>
              <w:right w:val="single" w:color="000000" w:sz="4" w:space="0"/>
            </w:tcBorders>
            <w:vAlign w:val="center"/>
          </w:tcPr>
          <w:p w14:paraId="3AA4B7F7">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411E0012">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027" w:type="dxa"/>
            <w:tcBorders>
              <w:top w:val="single" w:color="000000" w:sz="4" w:space="0"/>
              <w:left w:val="single" w:color="000000" w:sz="4" w:space="0"/>
              <w:bottom w:val="single" w:color="000000" w:sz="4" w:space="0"/>
              <w:right w:val="single" w:color="000000" w:sz="4" w:space="0"/>
            </w:tcBorders>
            <w:vAlign w:val="center"/>
          </w:tcPr>
          <w:p w14:paraId="6BC421FD">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控制钻机给进压力和孔内返浆流量。</w:t>
            </w:r>
          </w:p>
        </w:tc>
      </w:tr>
    </w:tbl>
    <w:p w14:paraId="566F141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p>
    <w:p w14:paraId="789C0BE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p>
    <w:p w14:paraId="0C130DC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41BCAB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14:paraId="609E3A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（二）乘坐罐笼按顺序上下，不可拥挤和打闹；罐笼运行中，不要把头和手脚伸到罐外；不准向井筒里扔东西。</w:t>
      </w:r>
    </w:p>
    <w:p w14:paraId="5A33A9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（三）严格执行行车不行人制度，斜巷行人遇行车时立即进入躲避硐。</w:t>
      </w:r>
    </w:p>
    <w:p w14:paraId="57F9CD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（四）在井下行走要走人行道，横穿巷道，过弯道、交叉口时，要做到一停、二看、三确认安全后通过。</w:t>
      </w:r>
    </w:p>
    <w:p w14:paraId="072A234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（五）乘坐架空乘人装置时必须在规定候车区域等候，按顺序乘坐，不得在绳下穿越。</w:t>
      </w:r>
    </w:p>
    <w:p w14:paraId="198DC93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（六）人员严禁站在起吊的重物下方或重物可能倒向的位置。严禁站在提升物体的绳道内、运行的设备或带电体上。</w:t>
      </w:r>
    </w:p>
    <w:p w14:paraId="36ABA4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（七）严禁随意打开密闭、栅栏进入盲巷；严禁随意进入工作面隅角。</w:t>
      </w:r>
    </w:p>
    <w:p w14:paraId="69D7CC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（八）严禁同时打开两道风门，严禁随意调节风窗。</w:t>
      </w:r>
    </w:p>
    <w:p w14:paraId="10786C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（九）严禁扒车、跳车和坐矿车，当车辆经过时，人员要及时躲避。</w:t>
      </w:r>
    </w:p>
    <w:p w14:paraId="3F28CE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（十）跨越皮带时要走过桥，严禁直接蹬、坐皮带。严禁触及运行中的机电运输设备。</w:t>
      </w:r>
    </w:p>
    <w:p w14:paraId="585F19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工作（休息）时必须随时检查自己周围顶帮、机械及车辆等安全情况，发现险情及时躲避或处理。施工人员不得在以下地点逗留：巷道高度不够处、人行道安全间隙不够处、锚杆（索）失效等其它支护薄弱地点。</w:t>
      </w:r>
    </w:p>
    <w:p w14:paraId="7B1D4E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（十二）严禁在井下车场、各巷道口及下山片盘口蹲坐休息。</w:t>
      </w:r>
    </w:p>
    <w:p w14:paraId="243D92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（十三）不得在产生噪声、辐射等危害的设备附近逗留。</w:t>
      </w:r>
    </w:p>
    <w:p w14:paraId="56D63A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（十四）发现有冒顶、透水预兆时，必须停止作业，立即撤出。</w:t>
      </w:r>
    </w:p>
    <w:p w14:paraId="5269A6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（十五）严格执行入井前安全确认制度。</w:t>
      </w:r>
    </w:p>
    <w:p w14:paraId="6500794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35C2375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600A32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5A5CC7F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3115B18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661FB73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178CC2C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08BF40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5E627C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63F654E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6B76483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17F7D8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5423CE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72D87C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405B641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1DC57C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11EC785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150476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67D89A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58CDBE5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2B1AC2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0FCC88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4770A75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262242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55519AE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2E98A0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5313EF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292B14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02F535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4F92B64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06CE36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59C715D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22E84E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15CFAE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2817072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3019B6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2DE77F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0B9DD5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17F075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716292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0BC035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6DE70F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66A28C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2F260D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1803817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19EC49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52D139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66080CD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4AE7632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14:paraId="1B51FEA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14:paraId="04A7B0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w:t>
      </w:r>
      <w:r>
        <w:rPr>
          <w:rFonts w:hint="eastAsia" w:ascii="仿宋" w:hAnsi="仿宋" w:eastAsia="仿宋" w:cs="仿宋"/>
          <w:color w:val="auto"/>
          <w:kern w:val="0"/>
          <w:sz w:val="28"/>
          <w:szCs w:val="28"/>
          <w:lang w:eastAsia="zh-CN"/>
        </w:rPr>
        <w:t>疏放水时</w:t>
      </w:r>
      <w:r>
        <w:rPr>
          <w:rFonts w:hint="eastAsia" w:ascii="仿宋" w:hAnsi="仿宋" w:eastAsia="仿宋" w:cs="仿宋"/>
          <w:color w:val="auto"/>
          <w:kern w:val="0"/>
          <w:sz w:val="28"/>
          <w:szCs w:val="28"/>
        </w:rPr>
        <w:t>存在自然发火风险。</w:t>
      </w:r>
    </w:p>
    <w:p w14:paraId="0EB0A33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1C3D2245">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kern w:val="0"/>
          <w:sz w:val="28"/>
          <w:szCs w:val="28"/>
        </w:rPr>
        <w:t>（1）</w:t>
      </w:r>
      <w:r>
        <w:rPr>
          <w:rFonts w:hint="eastAsia" w:ascii="仿宋" w:hAnsi="仿宋" w:eastAsia="仿宋" w:cs="仿宋"/>
          <w:color w:val="auto"/>
          <w:sz w:val="28"/>
          <w:szCs w:val="28"/>
          <w:lang w:eastAsia="zh-CN"/>
        </w:rPr>
        <w:t>采空区疏放水后对采空区气体抽样分析化验，为科学、准确的判断采空区气体成分提供依据。</w:t>
      </w:r>
    </w:p>
    <w:p w14:paraId="3CE89D3D">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加强通风管理，防止采空区周围瓦斯积聚。</w:t>
      </w:r>
    </w:p>
    <w:p w14:paraId="5BED5B83">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每周安排人员对采空区气体进行检查，观察采空区压差变化情况，做好详细记录。</w:t>
      </w:r>
    </w:p>
    <w:p w14:paraId="676B584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（4）在疏放水现场悬挂一氧化碳便携仪</w:t>
      </w:r>
      <w:r>
        <w:rPr>
          <w:rFonts w:hint="eastAsia" w:ascii="仿宋" w:hAnsi="仿宋" w:eastAsia="仿宋" w:cs="仿宋"/>
          <w:color w:val="auto"/>
          <w:sz w:val="28"/>
          <w:szCs w:val="28"/>
          <w:lang w:eastAsia="zh-CN"/>
        </w:rPr>
        <w:t>及甲烷传感器,对现场气体进行连续监测，现场气体浓度必须符合《煤矿安全规程》第一百三十五条的规定，当发现气体和温度连续监控数据波动较大时，及时汇报进行处理。</w:t>
      </w:r>
    </w:p>
    <w:p w14:paraId="69DDFA8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lang w:eastAsia="zh-CN"/>
        </w:rPr>
        <w:t>疏放水后立即关闭疏放水阀门，若采空区出现自然发火征兆时，对采空区采取注浆、注氮气或注气态二氧化碳等综合防灭火措施，置换采空区氧气，惰化采空区遗煤。</w:t>
      </w:r>
    </w:p>
    <w:p w14:paraId="18E9BC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14:paraId="01B76B1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D98B89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（1）作业人员应正确使用防尘或防毒等个体防护用品，井下各单位应对作业人员使用个体防护用品情况采取措施加强管理。</w:t>
      </w:r>
    </w:p>
    <w:p w14:paraId="2CD31F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14:paraId="63C6D8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14:paraId="147B42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风险描述：工作面存在水灾风险。</w:t>
      </w:r>
    </w:p>
    <w:p w14:paraId="54E30F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CF273E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（1）工作面掘进期间利用物探超前查明工作面前方水害，超前探测巷道前方120m富水性、掘进100m，循环进行。</w:t>
      </w:r>
    </w:p>
    <w:p w14:paraId="3DBAE5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2</w:t>
      </w:r>
      <w:r>
        <w:rPr>
          <w:rFonts w:hint="eastAsia" w:ascii="仿宋" w:hAnsi="仿宋" w:eastAsia="仿宋" w:cs="仿宋"/>
          <w:color w:val="auto"/>
          <w:kern w:val="0"/>
          <w:sz w:val="28"/>
          <w:szCs w:val="28"/>
        </w:rPr>
        <w:t>）根据物探成果,利用钻探超前验证物探异常区。</w:t>
      </w:r>
    </w:p>
    <w:p w14:paraId="64862E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）按照预计最大涌水量安设排水系统，并保证排水系统畅通完善，巷道积水及时排出。</w:t>
      </w:r>
    </w:p>
    <w:p w14:paraId="2F8D1A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）按照要求进行地质及水情水害预测预报工作。</w:t>
      </w:r>
    </w:p>
    <w:p w14:paraId="0C1DFB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5</w:t>
      </w:r>
      <w:r>
        <w:rPr>
          <w:rFonts w:hint="eastAsia" w:ascii="仿宋" w:hAnsi="仿宋" w:eastAsia="仿宋" w:cs="仿宋"/>
          <w:color w:val="auto"/>
          <w:kern w:val="0"/>
          <w:sz w:val="28"/>
          <w:szCs w:val="28"/>
        </w:rPr>
        <w:t>）按要求进行涌水量观测。</w:t>
      </w:r>
    </w:p>
    <w:p w14:paraId="7027F57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）普及井下职工防治水知识，了解突水征兆，熟悉逃生路线和避灾方法。</w:t>
      </w:r>
    </w:p>
    <w:p w14:paraId="31D17F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）落实应急处置措施，发生事故立即启动应急救援预案。</w:t>
      </w:r>
    </w:p>
    <w:p w14:paraId="7E1263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）运用水文监测系统、微震监测系统、应力监测系统，加强实时监测井下水量变化、微震事件情况、应力变化情况，出现异常及时采取措施处理。</w:t>
      </w:r>
    </w:p>
    <w:p w14:paraId="358A2C4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14:paraId="5C6D29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风险描述：顶板破碎，掉落矸石伤人的风险。</w:t>
      </w:r>
    </w:p>
    <w:p w14:paraId="4B0723A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严格执行经常性的“敲帮问顶”制度，及时摘除围岩悬矸，</w:t>
      </w:r>
      <w:r>
        <w:rPr>
          <w:rFonts w:hint="eastAsia" w:ascii="仿宋" w:hAnsi="仿宋" w:eastAsia="仿宋" w:cs="仿宋"/>
          <w:color w:val="auto"/>
          <w:sz w:val="28"/>
          <w:szCs w:val="28"/>
          <w:highlight w:val="none"/>
        </w:rPr>
        <w:t>注意站位。</w:t>
      </w:r>
    </w:p>
    <w:p w14:paraId="0C6275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2.风险描</w:t>
      </w:r>
      <w:r>
        <w:rPr>
          <w:rFonts w:hint="eastAsia" w:ascii="仿宋" w:hAnsi="仿宋" w:eastAsia="仿宋" w:cs="仿宋"/>
          <w:color w:val="auto"/>
          <w:sz w:val="28"/>
          <w:szCs w:val="28"/>
          <w:highlight w:val="none"/>
        </w:rPr>
        <w:t>述：通风不良，造成瓦斯积聚；粉尘积聚，造成人体健康伤害。</w:t>
      </w:r>
    </w:p>
    <w:p w14:paraId="2D0E4E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管控措施：保持作业地点正常通风，监控系统正常运行；规范使用喷雾</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佩戴防尘口罩。</w:t>
      </w:r>
    </w:p>
    <w:p w14:paraId="610C6E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机电设备不完好，存在伤人风险。</w:t>
      </w:r>
    </w:p>
    <w:p w14:paraId="7EA5D5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开机前检查机电设备，确保机电设备完好，不完好不操作，</w:t>
      </w:r>
      <w:r>
        <w:rPr>
          <w:rFonts w:hint="eastAsia" w:ascii="仿宋" w:hAnsi="仿宋" w:eastAsia="仿宋" w:cs="仿宋"/>
          <w:color w:val="auto"/>
          <w:sz w:val="28"/>
          <w:szCs w:val="28"/>
          <w:highlight w:val="none"/>
        </w:rPr>
        <w:t>听清信号，精准操作。</w:t>
      </w:r>
    </w:p>
    <w:p w14:paraId="2A4FCA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4.</w:t>
      </w:r>
      <w:r>
        <w:rPr>
          <w:rFonts w:hint="eastAsia" w:ascii="仿宋" w:hAnsi="仿宋" w:eastAsia="仿宋" w:cs="仿宋"/>
          <w:color w:val="auto"/>
          <w:sz w:val="28"/>
          <w:szCs w:val="28"/>
          <w:highlight w:val="none"/>
        </w:rPr>
        <w:t>风险描述：风水管管卡安装不牢固，造成风水管开裂伤人。</w:t>
      </w:r>
    </w:p>
    <w:p w14:paraId="178815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管控措施：作业地点5米范围内无闲杂人员，施工时必须检查好风水管完好情况再进行作业。</w:t>
      </w:r>
    </w:p>
    <w:p w14:paraId="3332B63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5.</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工具乱放，存在伤人风险</w:t>
      </w:r>
      <w:r>
        <w:rPr>
          <w:rFonts w:hint="eastAsia" w:ascii="仿宋" w:hAnsi="仿宋" w:eastAsia="仿宋" w:cs="仿宋"/>
          <w:color w:val="auto"/>
          <w:sz w:val="28"/>
          <w:szCs w:val="28"/>
          <w:highlight w:val="none"/>
        </w:rPr>
        <w:t>。</w:t>
      </w:r>
    </w:p>
    <w:p w14:paraId="189FED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管控措施：工具完好并回撤至无淋水和支护完好的安全地点。</w:t>
      </w:r>
    </w:p>
    <w:p w14:paraId="4C985B0E">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630" w:leftChars="0"/>
        <w:jc w:val="left"/>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四、作业过程中注意事项</w:t>
      </w:r>
    </w:p>
    <w:p w14:paraId="28BFA1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钻探前，对钻探现场的顶板、两帮进行检查，执行好敲帮问顶制度，离层矸石及时敲落，人员站到安全位置进行操作。钻探现场超前支护必须达到要求，并在工作面迎头打好坚固的立柱和拦板，严禁空顶、空帮作业。</w:t>
      </w:r>
    </w:p>
    <w:p w14:paraId="6A6CB5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2.保证钻探现场地面平整，钻探设备严禁架设在浮煤、浮矸上。</w:t>
      </w:r>
    </w:p>
    <w:p w14:paraId="255D4B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局部通风机保证良好通风，钻孔施工前必须在钻探地点悬挂一氧化碳报警仪、便携式甲烷检测报警仪，当班班长及时观察一氧化碳报警仪、便携式甲烷检测报警仪数值变化并做好记录，确保钻场内气体浓度符合规程要求。</w:t>
      </w:r>
    </w:p>
    <w:p w14:paraId="7F5819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4.根据参数设计，地测室测量人员现场放好钻孔方位线，施工人员按设计调整钻机方位、角度。</w:t>
      </w:r>
    </w:p>
    <w:p w14:paraId="047373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5.检查钻具、钻杆是否有损坏现象，保证钻探工具齐全。</w:t>
      </w:r>
    </w:p>
    <w:p w14:paraId="1D9B601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6.钻孔施工前确保排水池内排水设施完好；排水管保持通畅，沉淀池要做好防淤措施；排水系统不完善不得施工。（掘进工区负责完善排水系统）</w:t>
      </w:r>
    </w:p>
    <w:p w14:paraId="15B210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7.钻探位置安设专用电话。</w:t>
      </w:r>
    </w:p>
    <w:p w14:paraId="062EC8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8.钻机固定装置必须牢固可靠，检查液压支柱是否完好、有无漏液现象。</w:t>
      </w:r>
    </w:p>
    <w:p w14:paraId="121A61B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9.现场备足钻探设备易损、易坏配件，避免设备损坏影响工程施工进度。</w:t>
      </w:r>
    </w:p>
    <w:p w14:paraId="2D8F0E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10.保证避灾路线畅通，作业人员必须熟知避灾路线。</w:t>
      </w:r>
    </w:p>
    <w:p w14:paraId="641E4AA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、作业</w:t>
      </w:r>
      <w:r>
        <w:rPr>
          <w:rFonts w:hint="eastAsia" w:ascii="仿宋" w:hAnsi="仿宋" w:eastAsia="仿宋" w:cs="仿宋"/>
          <w:b/>
          <w:color w:val="auto"/>
          <w:sz w:val="28"/>
          <w:szCs w:val="28"/>
          <w:highlight w:val="none"/>
          <w:lang w:eastAsia="zh-CN"/>
        </w:rPr>
        <w:t>流程</w:t>
      </w:r>
    </w:p>
    <w:p w14:paraId="7F6051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交接班查看钻孔参数→施工前检查巷道支护及钻机稳固情况→便携仪悬挂→人员站位安全→检查钻孔情况→钻机试运转→文明操作施工→整理钻具、工具→开关闭锁→填写班报表→检查钻机设备、施工现场四清（清理沉淀池、清理钻机、清理钻具、清理现场）。</w:t>
      </w:r>
    </w:p>
    <w:p w14:paraId="556C848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、事故案例教育</w:t>
      </w:r>
    </w:p>
    <w:p w14:paraId="2D551E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rPr>
        <w:t>（一）事故经过</w:t>
      </w:r>
    </w:p>
    <w:p w14:paraId="554F34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贵州天池煤矿分老井和新井两个生产系统，此次事故发生在新井。根据设计，拟定在新井和老井贯通后，将老井改作风井，新井作为主井。2004年11月新井与老井贯通，发生事故时正在进行扩巷工作。2004年12月12日8时，天池煤矿当班共有81人下井，分别在2个下山、5个上山采掘点和回风巷等9个点作业。其中发生事故的一号上山采掘工作面有6名工人作业，该工作面采用手镐落煤，准备与上部四平巷贯通。10时30分，部分井下作业人员听到从一号上山采掘工作面传来很大的轰鸣声，感觉有很强的气流袭来，并看见有水流来，于是迅速撤离险区(共有45人脱险，其中7人从与该井相通的伍银煤矿跑出)。短时间内大量水流从一号上山涌出，迅速淹没井底大巷(一平巷)和二平巷等井巷。有36名矿工来不及撤离，其中有21人被困在二平巷以上的独头巷道内，15人被淹没在下山或平巷内。随后，与其相通的伍银煤矿的部分巷道也被淹。至此本次事故共计36人死亡。</w:t>
      </w:r>
    </w:p>
    <w:p w14:paraId="61ECC0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根据实地勘查并结合水质化验和冲积物分析结果认定，透水水源来源于局部的、以静储量为主、具有承压性质的地下隐伏岩溶溶洞水。该矿区煤层顶底板灰岩含水层岩溶发育具极不均一性。透水处岩溶溶洞切穿了煤层，将顶板吴家坪组灰岩和底板茅口组灰岩隐伏溶洞连接在一起，这种地质异常体在该矿区从未发现过，具有极强的隐蔽性。透水发生前一号上山掘进时煤层未见异常，也未发现透水预兆。导致透水的溶洞位于一号上山掘进工作面前方12米左右，该溶洞贯穿了煤层顶底板，标高低于当地最低侵蚀基准面137米，具有承压性质。</w:t>
      </w:r>
      <w:r>
        <w:rPr>
          <w:rFonts w:hint="eastAsia" w:ascii="仿宋" w:hAnsi="仿宋" w:eastAsia="仿宋" w:cs="仿宋"/>
          <w:color w:val="auto"/>
          <w:sz w:val="28"/>
          <w:szCs w:val="28"/>
          <w:highlight w:val="none"/>
          <w:lang w:val="en-US" w:eastAsia="zh-CN"/>
        </w:rPr>
        <w:br w:type="textWrapping"/>
      </w:r>
      <w:r>
        <w:rPr>
          <w:rFonts w:hint="eastAsia" w:ascii="仿宋" w:hAnsi="仿宋" w:eastAsia="仿宋" w:cs="仿宋"/>
          <w:color w:val="auto"/>
          <w:sz w:val="28"/>
          <w:szCs w:val="28"/>
          <w:highlight w:val="none"/>
          <w:lang w:val="en-US" w:eastAsia="zh-CN"/>
        </w:rPr>
        <w:t>事故原因：导致此次透水的直接原因是一号上山在掘进过程中，没有采取探放水措施，接近了与煤层立体斜交的陷伏的岩溶溶洞，发生透水事故。</w:t>
      </w:r>
    </w:p>
    <w:p w14:paraId="73F097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间接原因：</w:t>
      </w:r>
    </w:p>
    <w:p w14:paraId="25CE6AE5">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1.天池煤矿在水文地质情况不明、没有设计方案、没有专用探放水设备、不具备安全生产条件情况下，在井下多处布置作业点，长期采用只有一个安全出口的巷道采煤方式生产。</w:t>
      </w:r>
    </w:p>
    <w:p w14:paraId="3C897870">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2.水文地质资料不全，没有符合煤矿安全生产要求的矿山设计，没有与开办该矿相适应的设备和技术人员。</w:t>
      </w:r>
    </w:p>
    <w:p w14:paraId="0CEFA8EA">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3.未按规定查明矿区水文地质条件，没有编制中长期防治水计划，也没有编制有针对性的探放水措施。</w:t>
      </w:r>
    </w:p>
    <w:p w14:paraId="501FE95C">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4.没有按照规定做好采区、工作面水文地质探查工作，没有配置专门的探放水设备。</w:t>
      </w:r>
    </w:p>
    <w:p w14:paraId="4696883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5.未对新工人进行岗前培训。</w:t>
      </w:r>
    </w:p>
    <w:p w14:paraId="1C9E44E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rPr>
        <w:t>、常见三违</w:t>
      </w:r>
    </w:p>
    <w:p w14:paraId="0DE6C5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（一）不执行“敲帮问顶”制度或空顶作业的；</w:t>
      </w:r>
    </w:p>
    <w:p w14:paraId="3C0255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（二）钻孔内瓦斯浓度超限继续作业的；</w:t>
      </w:r>
    </w:p>
    <w:p w14:paraId="7A3828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（三）疏放水结束后未及时进行钻孔封堵的；</w:t>
      </w:r>
    </w:p>
    <w:p w14:paraId="2689DA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（四））钻孔出现气体未及时上报，让继续作业的；</w:t>
      </w:r>
    </w:p>
    <w:p w14:paraId="23625AE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（五）开机后未拉人员警戒的；</w:t>
      </w:r>
    </w:p>
    <w:p w14:paraId="12AB2C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（六）钻机固定点柱固定不牢固的；</w:t>
      </w:r>
    </w:p>
    <w:p w14:paraId="1831E92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（七）机电设备未停电闭锁的。</w:t>
      </w:r>
    </w:p>
    <w:p w14:paraId="1B7B2960">
      <w:pPr>
        <w:rPr>
          <w:rFonts w:hint="eastAsia" w:ascii="仿宋" w:hAnsi="仿宋" w:eastAsia="仿宋" w:cs="仿宋"/>
          <w:b/>
          <w:bCs/>
          <w:color w:val="auto"/>
          <w:sz w:val="32"/>
          <w:szCs w:val="32"/>
          <w:highlight w:val="none"/>
          <w:lang w:val="en-US" w:eastAsia="zh-CN"/>
        </w:rPr>
      </w:pPr>
      <w:bookmarkStart w:id="484" w:name="_Toc24697"/>
      <w:bookmarkStart w:id="485" w:name="_Toc6002"/>
      <w:bookmarkStart w:id="486" w:name="_Toc26877"/>
      <w:bookmarkStart w:id="487" w:name="_Toc15608"/>
      <w:r>
        <w:rPr>
          <w:rFonts w:hint="eastAsia" w:ascii="仿宋" w:hAnsi="仿宋" w:eastAsia="仿宋" w:cs="仿宋"/>
          <w:b/>
          <w:bCs/>
          <w:color w:val="auto"/>
          <w:sz w:val="32"/>
          <w:szCs w:val="32"/>
          <w:highlight w:val="none"/>
          <w:lang w:val="en-US" w:eastAsia="zh-CN"/>
        </w:rPr>
        <w:br w:type="page"/>
      </w:r>
    </w:p>
    <w:p w14:paraId="662231BA">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2"/>
          <w:szCs w:val="32"/>
          <w:highlight w:val="none"/>
          <w:lang w:val="en-US" w:eastAsia="zh-CN"/>
        </w:rPr>
      </w:pPr>
      <w:bookmarkStart w:id="488" w:name="_Toc22468"/>
      <w:r>
        <w:rPr>
          <w:rFonts w:hint="eastAsia" w:ascii="仿宋" w:hAnsi="仿宋" w:eastAsia="仿宋" w:cs="仿宋"/>
          <w:b/>
          <w:bCs/>
          <w:color w:val="auto"/>
          <w:sz w:val="32"/>
          <w:szCs w:val="32"/>
          <w:highlight w:val="none"/>
          <w:lang w:val="en-US" w:eastAsia="zh-CN"/>
        </w:rPr>
        <w:t>通防专业学习手册</w:t>
      </w:r>
      <w:bookmarkEnd w:id="484"/>
      <w:bookmarkEnd w:id="485"/>
      <w:bookmarkEnd w:id="486"/>
      <w:bookmarkEnd w:id="488"/>
    </w:p>
    <w:p w14:paraId="7FFBD042">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1"/>
        <w:rPr>
          <w:rFonts w:hint="eastAsia" w:ascii="仿宋" w:hAnsi="仿宋" w:eastAsia="仿宋" w:cs="仿宋"/>
          <w:b/>
          <w:bCs/>
          <w:color w:val="auto"/>
          <w:kern w:val="0"/>
          <w:sz w:val="36"/>
          <w:szCs w:val="36"/>
          <w:highlight w:val="none"/>
          <w:lang w:val="en-US" w:eastAsia="zh-CN"/>
        </w:rPr>
      </w:pPr>
      <w:bookmarkStart w:id="489" w:name="_Toc28933"/>
      <w:bookmarkStart w:id="490" w:name="_Toc5616"/>
      <w:bookmarkStart w:id="491" w:name="_Toc22441"/>
      <w:r>
        <w:rPr>
          <w:rFonts w:hint="eastAsia" w:ascii="仿宋" w:hAnsi="仿宋" w:eastAsia="仿宋" w:cs="仿宋"/>
          <w:b/>
          <w:bCs/>
          <w:color w:val="auto"/>
          <w:kern w:val="0"/>
          <w:sz w:val="36"/>
          <w:szCs w:val="36"/>
          <w:highlight w:val="none"/>
          <w:lang w:val="en-US" w:eastAsia="zh-CN"/>
        </w:rPr>
        <w:t>测尘工</w:t>
      </w:r>
      <w:bookmarkEnd w:id="487"/>
      <w:bookmarkEnd w:id="489"/>
      <w:bookmarkEnd w:id="490"/>
      <w:bookmarkEnd w:id="491"/>
    </w:p>
    <w:tbl>
      <w:tblPr>
        <w:tblStyle w:val="12"/>
        <w:tblW w:w="8440" w:type="dxa"/>
        <w:jc w:val="center"/>
        <w:tblLayout w:type="fixed"/>
        <w:tblCellMar>
          <w:top w:w="0" w:type="dxa"/>
          <w:left w:w="108" w:type="dxa"/>
          <w:bottom w:w="0" w:type="dxa"/>
          <w:right w:w="108" w:type="dxa"/>
        </w:tblCellMar>
      </w:tblPr>
      <w:tblGrid>
        <w:gridCol w:w="865"/>
        <w:gridCol w:w="141"/>
        <w:gridCol w:w="2823"/>
        <w:gridCol w:w="940"/>
        <w:gridCol w:w="3671"/>
      </w:tblGrid>
      <w:tr w14:paraId="34037C85">
        <w:tblPrEx>
          <w:tblCellMar>
            <w:top w:w="0" w:type="dxa"/>
            <w:left w:w="108" w:type="dxa"/>
            <w:bottom w:w="0" w:type="dxa"/>
            <w:right w:w="108" w:type="dxa"/>
          </w:tblCellMar>
        </w:tblPrEx>
        <w:trPr>
          <w:trHeight w:val="470" w:hRule="atLeast"/>
          <w:jc w:val="center"/>
        </w:trPr>
        <w:tc>
          <w:tcPr>
            <w:tcW w:w="8440" w:type="dxa"/>
            <w:gridSpan w:val="5"/>
            <w:tcBorders>
              <w:top w:val="single" w:color="auto" w:sz="4" w:space="0"/>
              <w:left w:val="single" w:color="auto" w:sz="4" w:space="0"/>
              <w:bottom w:val="single" w:color="auto" w:sz="4" w:space="0"/>
              <w:right w:val="single" w:color="auto" w:sz="4" w:space="0"/>
            </w:tcBorders>
            <w:vAlign w:val="center"/>
          </w:tcPr>
          <w:p w14:paraId="15E0504B">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8"/>
                <w:szCs w:val="28"/>
              </w:rPr>
            </w:pPr>
            <w:r>
              <w:rPr>
                <w:rFonts w:hint="eastAsia" w:ascii="仿宋" w:hAnsi="仿宋" w:eastAsia="仿宋" w:cs="仿宋"/>
                <w:b w:val="0"/>
                <w:bCs/>
                <w:color w:val="auto"/>
                <w:kern w:val="0"/>
                <w:sz w:val="21"/>
                <w:szCs w:val="21"/>
              </w:rPr>
              <w:t>岗位风险告知卡</w:t>
            </w:r>
          </w:p>
        </w:tc>
      </w:tr>
      <w:tr w14:paraId="429ABE8A">
        <w:tblPrEx>
          <w:tblCellMar>
            <w:top w:w="0" w:type="dxa"/>
            <w:left w:w="108" w:type="dxa"/>
            <w:bottom w:w="0" w:type="dxa"/>
            <w:right w:w="108" w:type="dxa"/>
          </w:tblCellMar>
        </w:tblPrEx>
        <w:trPr>
          <w:trHeight w:val="1177" w:hRule="atLeast"/>
          <w:jc w:val="center"/>
        </w:trPr>
        <w:tc>
          <w:tcPr>
            <w:tcW w:w="1006" w:type="dxa"/>
            <w:gridSpan w:val="2"/>
            <w:tcBorders>
              <w:top w:val="single" w:color="auto" w:sz="4" w:space="0"/>
              <w:left w:val="single" w:color="auto" w:sz="4" w:space="0"/>
              <w:bottom w:val="single" w:color="auto" w:sz="4" w:space="0"/>
              <w:right w:val="single" w:color="auto" w:sz="4" w:space="0"/>
            </w:tcBorders>
            <w:vAlign w:val="center"/>
          </w:tcPr>
          <w:p w14:paraId="46F9CD57">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7A15C689">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23" w:type="dxa"/>
            <w:tcBorders>
              <w:top w:val="single" w:color="auto" w:sz="4" w:space="0"/>
              <w:left w:val="nil"/>
              <w:bottom w:val="single" w:color="auto" w:sz="4" w:space="0"/>
              <w:right w:val="single" w:color="auto" w:sz="4" w:space="0"/>
            </w:tcBorders>
            <w:vAlign w:val="center"/>
          </w:tcPr>
          <w:p w14:paraId="39283342">
            <w:pPr>
              <w:keepNext w:val="0"/>
              <w:keepLines w:val="0"/>
              <w:pageBreakBefore w:val="0"/>
              <w:widowControl/>
              <w:suppressLineNumbers w:val="0"/>
              <w:kinsoku/>
              <w:wordWrap/>
              <w:overflowPunct/>
              <w:topLinePunct w:val="0"/>
              <w:autoSpaceDE/>
              <w:autoSpaceDN/>
              <w:bidi w:val="0"/>
              <w:adjustRightInd/>
              <w:snapToGrid/>
              <w:spacing w:line="400" w:lineRule="exact"/>
              <w:jc w:val="both"/>
              <w:textAlignment w:val="center"/>
              <w:outlineLvl w:val="9"/>
              <w:rPr>
                <w:rFonts w:hint="eastAsia" w:ascii="仿宋" w:hAnsi="仿宋" w:eastAsia="仿宋" w:cs="仿宋"/>
                <w:i w:val="0"/>
                <w:iCs w:val="0"/>
                <w:color w:val="auto"/>
                <w:kern w:val="2"/>
                <w:sz w:val="21"/>
                <w:szCs w:val="21"/>
                <w:u w:val="none"/>
                <w:lang w:val="en-US" w:eastAsia="zh-CN" w:bidi="ar-SA"/>
              </w:rPr>
            </w:pPr>
            <w:r>
              <w:rPr>
                <w:rFonts w:hint="eastAsia" w:ascii="仿宋" w:hAnsi="仿宋" w:eastAsia="仿宋" w:cs="仿宋"/>
                <w:i w:val="0"/>
                <w:iCs w:val="0"/>
                <w:color w:val="auto"/>
                <w:kern w:val="0"/>
                <w:sz w:val="21"/>
                <w:szCs w:val="21"/>
                <w:u w:val="none"/>
                <w:lang w:val="en-US" w:eastAsia="zh-CN" w:bidi="ar"/>
              </w:rPr>
              <w:t>冒顶（片帮）、煤尘、职业病危害</w:t>
            </w:r>
          </w:p>
        </w:tc>
        <w:tc>
          <w:tcPr>
            <w:tcW w:w="940" w:type="dxa"/>
            <w:tcBorders>
              <w:top w:val="single" w:color="auto" w:sz="4" w:space="0"/>
              <w:left w:val="nil"/>
              <w:bottom w:val="single" w:color="auto" w:sz="4" w:space="0"/>
              <w:right w:val="single" w:color="auto" w:sz="4" w:space="0"/>
            </w:tcBorders>
            <w:vAlign w:val="center"/>
          </w:tcPr>
          <w:p w14:paraId="643ED7CC">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7FCEE0C6">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671" w:type="dxa"/>
            <w:tcBorders>
              <w:top w:val="single" w:color="auto" w:sz="4" w:space="0"/>
              <w:left w:val="nil"/>
              <w:bottom w:val="single" w:color="auto" w:sz="4" w:space="0"/>
              <w:right w:val="single" w:color="auto" w:sz="4" w:space="0"/>
            </w:tcBorders>
            <w:vAlign w:val="center"/>
          </w:tcPr>
          <w:p w14:paraId="63C2903F">
            <w:pPr>
              <w:keepNext w:val="0"/>
              <w:keepLines w:val="0"/>
              <w:pageBreakBefore w:val="0"/>
              <w:widowControl/>
              <w:kinsoku/>
              <w:wordWrap/>
              <w:overflowPunct/>
              <w:topLinePunct w:val="0"/>
              <w:autoSpaceDE/>
              <w:autoSpaceDN/>
              <w:bidi w:val="0"/>
              <w:adjustRightInd/>
              <w:snapToGrid/>
              <w:spacing w:line="400" w:lineRule="exact"/>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650342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lang w:eastAsia="zh-CN"/>
              </w:rPr>
              <w:t>安监科值班：8650512</w:t>
            </w:r>
          </w:p>
        </w:tc>
      </w:tr>
      <w:tr w14:paraId="2A473B23">
        <w:tblPrEx>
          <w:tblCellMar>
            <w:top w:w="0" w:type="dxa"/>
            <w:left w:w="108" w:type="dxa"/>
            <w:bottom w:w="0" w:type="dxa"/>
            <w:right w:w="108" w:type="dxa"/>
          </w:tblCellMar>
        </w:tblPrEx>
        <w:trPr>
          <w:trHeight w:val="567"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14:paraId="50B77DAA">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611" w:type="dxa"/>
            <w:gridSpan w:val="2"/>
            <w:tcBorders>
              <w:top w:val="single" w:color="auto" w:sz="4" w:space="0"/>
              <w:left w:val="nil"/>
              <w:bottom w:val="single" w:color="auto" w:sz="4" w:space="0"/>
              <w:right w:val="single" w:color="auto" w:sz="4" w:space="0"/>
            </w:tcBorders>
            <w:vAlign w:val="center"/>
          </w:tcPr>
          <w:p w14:paraId="7E6278F3">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3FDC52E7">
        <w:tblPrEx>
          <w:tblCellMar>
            <w:top w:w="0" w:type="dxa"/>
            <w:left w:w="108" w:type="dxa"/>
            <w:bottom w:w="0" w:type="dxa"/>
            <w:right w:w="108" w:type="dxa"/>
          </w:tblCellMar>
        </w:tblPrEx>
        <w:trPr>
          <w:trHeight w:val="1041"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14:paraId="47025967">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kern w:val="0"/>
                <w:sz w:val="21"/>
                <w:szCs w:val="21"/>
                <w:u w:val="none"/>
                <w:lang w:val="en-US" w:eastAsia="zh-CN" w:bidi="ar"/>
              </w:rPr>
              <w:t>1.未持证上岗；未佩戴个体防护；空顶作业。</w:t>
            </w:r>
          </w:p>
        </w:tc>
        <w:tc>
          <w:tcPr>
            <w:tcW w:w="4611" w:type="dxa"/>
            <w:gridSpan w:val="2"/>
            <w:tcBorders>
              <w:top w:val="single" w:color="auto" w:sz="4" w:space="0"/>
              <w:left w:val="nil"/>
              <w:bottom w:val="single" w:color="auto" w:sz="4" w:space="0"/>
              <w:right w:val="single" w:color="auto" w:sz="4" w:space="0"/>
            </w:tcBorders>
            <w:vAlign w:val="center"/>
          </w:tcPr>
          <w:p w14:paraId="3971304C">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1.经培训合格后，持证上岗；佩戴好安全帽、口罩；检查好顶帮支护情况，确保顶帮支护合格后方可上岗作业。</w:t>
            </w:r>
          </w:p>
        </w:tc>
      </w:tr>
      <w:tr w14:paraId="1E6ED3B7">
        <w:tblPrEx>
          <w:tblCellMar>
            <w:top w:w="0" w:type="dxa"/>
            <w:left w:w="108" w:type="dxa"/>
            <w:bottom w:w="0" w:type="dxa"/>
            <w:right w:w="108" w:type="dxa"/>
          </w:tblCellMar>
        </w:tblPrEx>
        <w:trPr>
          <w:trHeight w:val="1156"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14:paraId="3DE8F547">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2.测尘仪器及其附件、仪表、工具和记录本等佩带不齐全；蓄电池的欠压；电键或旋转按扭不完好。</w:t>
            </w:r>
          </w:p>
        </w:tc>
        <w:tc>
          <w:tcPr>
            <w:tcW w:w="4611" w:type="dxa"/>
            <w:gridSpan w:val="2"/>
            <w:tcBorders>
              <w:top w:val="single" w:color="auto" w:sz="4" w:space="0"/>
              <w:left w:val="nil"/>
              <w:bottom w:val="single" w:color="auto" w:sz="4" w:space="0"/>
              <w:right w:val="single" w:color="auto" w:sz="4" w:space="0"/>
            </w:tcBorders>
            <w:vAlign w:val="center"/>
          </w:tcPr>
          <w:p w14:paraId="3B75CDC7">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2.入井前做好检查，测尘仪器及其附件、仪表、工具和记录本等佩带齐全；蓄电池电量充足；电键或旋转按扭使用完好。</w:t>
            </w:r>
          </w:p>
        </w:tc>
      </w:tr>
      <w:tr w14:paraId="1D71424D">
        <w:tblPrEx>
          <w:tblCellMar>
            <w:top w:w="0" w:type="dxa"/>
            <w:left w:w="108" w:type="dxa"/>
            <w:bottom w:w="0" w:type="dxa"/>
            <w:right w:w="108" w:type="dxa"/>
          </w:tblCellMar>
        </w:tblPrEx>
        <w:trPr>
          <w:trHeight w:val="3289"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14:paraId="72D60952">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3.采样地点不合规定。</w:t>
            </w:r>
          </w:p>
        </w:tc>
        <w:tc>
          <w:tcPr>
            <w:tcW w:w="4611" w:type="dxa"/>
            <w:gridSpan w:val="2"/>
            <w:tcBorders>
              <w:top w:val="single" w:color="auto" w:sz="4" w:space="0"/>
              <w:left w:val="nil"/>
              <w:bottom w:val="single" w:color="auto" w:sz="4" w:space="0"/>
              <w:right w:val="single" w:color="auto" w:sz="4" w:space="0"/>
            </w:tcBorders>
            <w:vAlign w:val="center"/>
          </w:tcPr>
          <w:p w14:paraId="662F4001">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仪器的采样口必须迎向风流；采样高度在1.5m左右；在掘进工作面采样时，应在巷道未安装风筒的一侧距施工地点5～10m处进行；在机械化采煤工作面采样时，应在采煤机回风侧、距采煤机10～15m处进行；采煤工作面多工序同时作业时，应在回风巷距工作面回风口10～15m处采样；在转载点采样时，应在其回风侧距转载点5～10m处进行；在其他产尘场所采样时，在不妨碍工人操作的条件下，采样地点应尽量靠近工人作业的呼吸带。</w:t>
            </w:r>
          </w:p>
        </w:tc>
      </w:tr>
      <w:tr w14:paraId="5B4C43E5">
        <w:tblPrEx>
          <w:tblCellMar>
            <w:top w:w="0" w:type="dxa"/>
            <w:left w:w="108" w:type="dxa"/>
            <w:bottom w:w="0" w:type="dxa"/>
            <w:right w:w="108" w:type="dxa"/>
          </w:tblCellMar>
        </w:tblPrEx>
        <w:trPr>
          <w:trHeight w:val="1529"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14:paraId="08B9B342">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4.采样记录数据未填入原始记录表；测尘地点连续测定的数据不足3个；粉尘浓度超标未及时通知现场负责人采取有效措施，降低现场的粉尘浓度。</w:t>
            </w:r>
          </w:p>
        </w:tc>
        <w:tc>
          <w:tcPr>
            <w:tcW w:w="4611" w:type="dxa"/>
            <w:gridSpan w:val="2"/>
            <w:tcBorders>
              <w:top w:val="single" w:color="auto" w:sz="4" w:space="0"/>
              <w:left w:val="nil"/>
              <w:bottom w:val="single" w:color="auto" w:sz="4" w:space="0"/>
              <w:right w:val="single" w:color="auto" w:sz="4" w:space="0"/>
            </w:tcBorders>
            <w:vAlign w:val="center"/>
          </w:tcPr>
          <w:p w14:paraId="5A7DF9CE">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4.将采样记录数据填入原始记录表；测尘地点连续测定的数据不少于3个，检查采集的样品数量及质量符合要求；粉尘浓度超标，要及时通知现场负责人采取有效措施，降低现场的粉尘浓度。</w:t>
            </w:r>
          </w:p>
        </w:tc>
      </w:tr>
      <w:tr w14:paraId="14FD8653">
        <w:tblPrEx>
          <w:tblCellMar>
            <w:top w:w="0" w:type="dxa"/>
            <w:left w:w="108" w:type="dxa"/>
            <w:bottom w:w="0" w:type="dxa"/>
            <w:right w:w="108" w:type="dxa"/>
          </w:tblCellMar>
        </w:tblPrEx>
        <w:trPr>
          <w:trHeight w:val="1047" w:hRule="atLeast"/>
          <w:jc w:val="center"/>
        </w:trPr>
        <w:tc>
          <w:tcPr>
            <w:tcW w:w="865" w:type="dxa"/>
            <w:tcBorders>
              <w:top w:val="nil"/>
              <w:left w:val="single" w:color="auto" w:sz="4" w:space="0"/>
              <w:bottom w:val="single" w:color="auto" w:sz="4" w:space="0"/>
              <w:right w:val="single" w:color="auto" w:sz="4" w:space="0"/>
            </w:tcBorders>
            <w:vAlign w:val="center"/>
          </w:tcPr>
          <w:p w14:paraId="55B55D55">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6787ACC9">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575" w:type="dxa"/>
            <w:gridSpan w:val="4"/>
            <w:tcBorders>
              <w:top w:val="single" w:color="auto" w:sz="4" w:space="0"/>
              <w:left w:val="nil"/>
              <w:bottom w:val="single" w:color="auto" w:sz="4" w:space="0"/>
              <w:right w:val="single" w:color="auto" w:sz="4" w:space="0"/>
            </w:tcBorders>
            <w:vAlign w:val="center"/>
          </w:tcPr>
          <w:p w14:paraId="24D5A1ED">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67B8C3B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3F62D044">
        <w:tblPrEx>
          <w:tblCellMar>
            <w:top w:w="0" w:type="dxa"/>
            <w:left w:w="108" w:type="dxa"/>
            <w:bottom w:w="0" w:type="dxa"/>
            <w:right w:w="108" w:type="dxa"/>
          </w:tblCellMar>
        </w:tblPrEx>
        <w:trPr>
          <w:trHeight w:val="1572" w:hRule="atLeast"/>
          <w:jc w:val="center"/>
        </w:trPr>
        <w:tc>
          <w:tcPr>
            <w:tcW w:w="865" w:type="dxa"/>
            <w:tcBorders>
              <w:top w:val="nil"/>
              <w:left w:val="single" w:color="auto" w:sz="4" w:space="0"/>
              <w:bottom w:val="single" w:color="auto" w:sz="4" w:space="0"/>
              <w:right w:val="single" w:color="auto" w:sz="4" w:space="0"/>
            </w:tcBorders>
            <w:vAlign w:val="center"/>
          </w:tcPr>
          <w:p w14:paraId="7ED8FE79">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7D99255E">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26551F08">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575" w:type="dxa"/>
            <w:gridSpan w:val="4"/>
            <w:tcBorders>
              <w:top w:val="single" w:color="auto" w:sz="4" w:space="0"/>
              <w:left w:val="nil"/>
              <w:bottom w:val="single" w:color="auto" w:sz="4" w:space="0"/>
              <w:right w:val="single" w:color="auto" w:sz="4" w:space="0"/>
            </w:tcBorders>
            <w:vAlign w:val="center"/>
          </w:tcPr>
          <w:p w14:paraId="01176455">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w:t>
            </w:r>
          </w:p>
          <w:p w14:paraId="203CB367">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1C61B82F">
      <w:pPr>
        <w:pStyle w:val="7"/>
        <w:keepNext w:val="0"/>
        <w:keepLines w:val="0"/>
        <w:pageBreakBefore w:val="0"/>
        <w:kinsoku/>
        <w:wordWrap/>
        <w:overflowPunct/>
        <w:topLinePunct w:val="0"/>
        <w:autoSpaceDE/>
        <w:autoSpaceDN/>
        <w:bidi w:val="0"/>
        <w:adjustRightInd/>
        <w:outlineLvl w:val="9"/>
        <w:rPr>
          <w:rFonts w:hint="eastAsia"/>
          <w:color w:val="auto"/>
        </w:rPr>
      </w:pPr>
    </w:p>
    <w:tbl>
      <w:tblPr>
        <w:tblStyle w:val="12"/>
        <w:tblpPr w:leftFromText="180" w:rightFromText="180" w:vertAnchor="text" w:horzAnchor="margin" w:tblpXSpec="center" w:tblpY="202"/>
        <w:tblW w:w="83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40"/>
        <w:gridCol w:w="4280"/>
      </w:tblGrid>
      <w:tr w14:paraId="13CD9C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exact"/>
        </w:trPr>
        <w:tc>
          <w:tcPr>
            <w:tcW w:w="8320" w:type="dxa"/>
            <w:gridSpan w:val="2"/>
            <w:vAlign w:val="center"/>
          </w:tcPr>
          <w:p w14:paraId="182FE991">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bookmarkStart w:id="492" w:name="_Toc4247"/>
            <w:bookmarkStart w:id="493" w:name="_Toc26473"/>
            <w:bookmarkStart w:id="494" w:name="_Toc13578"/>
            <w:r>
              <w:rPr>
                <w:rFonts w:hint="eastAsia" w:ascii="仿宋" w:hAnsi="仿宋" w:eastAsia="仿宋" w:cs="仿宋"/>
                <w:b/>
                <w:bCs/>
                <w:i w:val="0"/>
                <w:iCs w:val="0"/>
                <w:color w:val="auto"/>
                <w:kern w:val="0"/>
                <w:sz w:val="21"/>
                <w:szCs w:val="21"/>
                <w:highlight w:val="none"/>
                <w:u w:val="none"/>
                <w:lang w:val="en-US" w:eastAsia="zh-CN" w:bidi="ar"/>
              </w:rPr>
              <w:t>测尘工安全提示卡</w:t>
            </w:r>
            <w:bookmarkEnd w:id="492"/>
            <w:bookmarkEnd w:id="493"/>
            <w:bookmarkEnd w:id="494"/>
          </w:p>
          <w:p w14:paraId="10C19246">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p>
        </w:tc>
      </w:tr>
      <w:tr w14:paraId="22E95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exact"/>
        </w:trPr>
        <w:tc>
          <w:tcPr>
            <w:tcW w:w="4040" w:type="dxa"/>
            <w:vAlign w:val="center"/>
          </w:tcPr>
          <w:p w14:paraId="56281827">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bCs w:val="0"/>
                <w:color w:val="auto"/>
                <w:kern w:val="2"/>
                <w:sz w:val="21"/>
                <w:szCs w:val="21"/>
                <w:highlight w:val="none"/>
                <w:lang w:val="en-US" w:eastAsia="zh-CN" w:bidi="ar-SA"/>
              </w:rPr>
            </w:pPr>
            <w:r>
              <w:rPr>
                <w:rFonts w:hint="eastAsia" w:ascii="仿宋" w:hAnsi="仿宋" w:eastAsia="仿宋" w:cs="仿宋"/>
                <w:b/>
                <w:bCs w:val="0"/>
                <w:color w:val="auto"/>
                <w:sz w:val="21"/>
                <w:szCs w:val="21"/>
                <w:highlight w:val="none"/>
              </w:rPr>
              <w:t>操作前检查</w:t>
            </w:r>
          </w:p>
        </w:tc>
        <w:tc>
          <w:tcPr>
            <w:tcW w:w="4280" w:type="dxa"/>
            <w:vAlign w:val="center"/>
          </w:tcPr>
          <w:p w14:paraId="086DE365">
            <w:pPr>
              <w:keepNext w:val="0"/>
              <w:keepLines w:val="0"/>
              <w:pageBreakBefore w:val="0"/>
              <w:kinsoku/>
              <w:wordWrap/>
              <w:overflowPunct/>
              <w:topLinePunct w:val="0"/>
              <w:autoSpaceDE/>
              <w:autoSpaceDN/>
              <w:bidi w:val="0"/>
              <w:adjustRightInd/>
              <w:spacing w:line="600" w:lineRule="exact"/>
              <w:ind w:firstLine="211" w:firstLineChars="100"/>
              <w:jc w:val="center"/>
              <w:outlineLvl w:val="9"/>
              <w:rPr>
                <w:rFonts w:hint="eastAsia" w:ascii="仿宋" w:hAnsi="仿宋" w:eastAsia="仿宋" w:cs="仿宋"/>
                <w:b/>
                <w:bCs w:val="0"/>
                <w:color w:val="auto"/>
                <w:kern w:val="2"/>
                <w:sz w:val="21"/>
                <w:szCs w:val="21"/>
                <w:highlight w:val="none"/>
                <w:lang w:val="en-US" w:eastAsia="zh-CN" w:bidi="ar-SA"/>
              </w:rPr>
            </w:pPr>
            <w:r>
              <w:rPr>
                <w:rFonts w:hint="eastAsia" w:ascii="仿宋" w:hAnsi="仿宋" w:eastAsia="仿宋" w:cs="仿宋"/>
                <w:b/>
                <w:bCs w:val="0"/>
                <w:color w:val="auto"/>
                <w:kern w:val="2"/>
                <w:sz w:val="21"/>
                <w:szCs w:val="21"/>
                <w:highlight w:val="none"/>
                <w:lang w:val="en-US" w:eastAsia="zh-CN" w:bidi="ar-SA"/>
              </w:rPr>
              <w:t>持证情况</w:t>
            </w:r>
          </w:p>
        </w:tc>
      </w:tr>
      <w:tr w14:paraId="4BAF9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exact"/>
        </w:trPr>
        <w:tc>
          <w:tcPr>
            <w:tcW w:w="4040" w:type="dxa"/>
            <w:vAlign w:val="top"/>
          </w:tcPr>
          <w:p w14:paraId="3F159102">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1.顶帮</w:t>
            </w:r>
          </w:p>
        </w:tc>
        <w:tc>
          <w:tcPr>
            <w:tcW w:w="4280" w:type="dxa"/>
            <w:vAlign w:val="center"/>
          </w:tcPr>
          <w:p w14:paraId="31A18381">
            <w:pPr>
              <w:keepNext w:val="0"/>
              <w:keepLines w:val="0"/>
              <w:pageBreakBefore w:val="0"/>
              <w:kinsoku/>
              <w:wordWrap/>
              <w:overflowPunct/>
              <w:topLinePunct w:val="0"/>
              <w:autoSpaceDE/>
              <w:autoSpaceDN/>
              <w:bidi w:val="0"/>
              <w:adjustRightInd/>
              <w:spacing w:line="600" w:lineRule="exact"/>
              <w:ind w:firstLine="420" w:firstLineChars="200"/>
              <w:jc w:val="left"/>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sz w:val="21"/>
                <w:szCs w:val="21"/>
                <w:highlight w:val="none"/>
              </w:rPr>
              <w:t>操作后确认</w:t>
            </w:r>
          </w:p>
        </w:tc>
      </w:tr>
      <w:tr w14:paraId="2546C6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exact"/>
        </w:trPr>
        <w:tc>
          <w:tcPr>
            <w:tcW w:w="4040" w:type="dxa"/>
            <w:vAlign w:val="top"/>
          </w:tcPr>
          <w:p w14:paraId="5686D923">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★2.机械设备运行</w:t>
            </w:r>
          </w:p>
        </w:tc>
        <w:tc>
          <w:tcPr>
            <w:tcW w:w="4280" w:type="dxa"/>
            <w:vAlign w:val="top"/>
          </w:tcPr>
          <w:p w14:paraId="495C8E2E">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1.测尘结果记录</w:t>
            </w:r>
          </w:p>
        </w:tc>
      </w:tr>
      <w:tr w14:paraId="170DE7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exact"/>
        </w:trPr>
        <w:tc>
          <w:tcPr>
            <w:tcW w:w="4040" w:type="dxa"/>
            <w:vAlign w:val="top"/>
          </w:tcPr>
          <w:p w14:paraId="58FEAB7E">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★3.站位、后退路</w:t>
            </w:r>
          </w:p>
        </w:tc>
        <w:tc>
          <w:tcPr>
            <w:tcW w:w="4280" w:type="dxa"/>
            <w:vAlign w:val="top"/>
          </w:tcPr>
          <w:p w14:paraId="003AADAA">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2.粉尘超标处理</w:t>
            </w:r>
          </w:p>
        </w:tc>
      </w:tr>
      <w:tr w14:paraId="73905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exact"/>
        </w:trPr>
        <w:tc>
          <w:tcPr>
            <w:tcW w:w="8320" w:type="dxa"/>
            <w:gridSpan w:val="2"/>
            <w:vAlign w:val="top"/>
          </w:tcPr>
          <w:p w14:paraId="08A32166">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sz w:val="21"/>
                <w:szCs w:val="21"/>
                <w:highlight w:val="none"/>
              </w:rPr>
              <w:t>手指口述：第一次按操作前内容逐项检查并口述确认，存在问题整改后再确认；中间再次操作只检查带“★”部分；操作全部结束后按操作后内容逐项检查并口述确认。</w:t>
            </w:r>
          </w:p>
        </w:tc>
      </w:tr>
    </w:tbl>
    <w:p w14:paraId="3EF59CEF">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Spec="center" w:tblpY="290"/>
        <w:tblW w:w="82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30"/>
      </w:tblGrid>
      <w:tr w14:paraId="63537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exact"/>
          <w:jc w:val="center"/>
        </w:trPr>
        <w:tc>
          <w:tcPr>
            <w:tcW w:w="8230" w:type="dxa"/>
            <w:vAlign w:val="center"/>
          </w:tcPr>
          <w:p w14:paraId="0C2FA4C5">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val="0"/>
                <w:bCs w:val="0"/>
                <w:i w:val="0"/>
                <w:iCs w:val="0"/>
                <w:color w:val="auto"/>
                <w:kern w:val="0"/>
                <w:sz w:val="21"/>
                <w:szCs w:val="21"/>
                <w:highlight w:val="none"/>
                <w:u w:val="none"/>
                <w:lang w:val="en-US" w:eastAsia="zh-CN" w:bidi="ar"/>
              </w:rPr>
            </w:pPr>
            <w:r>
              <w:rPr>
                <w:rFonts w:hint="eastAsia" w:ascii="仿宋" w:hAnsi="仿宋" w:eastAsia="仿宋" w:cs="仿宋"/>
                <w:b w:val="0"/>
                <w:bCs w:val="0"/>
                <w:i w:val="0"/>
                <w:iCs w:val="0"/>
                <w:color w:val="auto"/>
                <w:kern w:val="0"/>
                <w:sz w:val="21"/>
                <w:szCs w:val="21"/>
                <w:highlight w:val="none"/>
                <w:u w:val="none"/>
                <w:lang w:val="en-US" w:eastAsia="zh-CN" w:bidi="ar"/>
              </w:rPr>
              <w:t>测尘工单元检查表</w:t>
            </w:r>
          </w:p>
          <w:p w14:paraId="6A670E82">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b w:val="0"/>
                <w:bCs/>
                <w:color w:val="auto"/>
                <w:sz w:val="21"/>
                <w:szCs w:val="21"/>
                <w:highlight w:val="none"/>
              </w:rPr>
            </w:pPr>
          </w:p>
        </w:tc>
      </w:tr>
      <w:tr w14:paraId="76851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exact"/>
          <w:jc w:val="center"/>
        </w:trPr>
        <w:tc>
          <w:tcPr>
            <w:tcW w:w="8230" w:type="dxa"/>
            <w:vAlign w:val="center"/>
          </w:tcPr>
          <w:p w14:paraId="542C762D">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kern w:val="2"/>
                <w:sz w:val="21"/>
                <w:szCs w:val="21"/>
                <w:highlight w:val="none"/>
                <w:lang w:val="en-US" w:eastAsia="zh-CN" w:bidi="ar-SA"/>
              </w:rPr>
              <w:t>1.根据测尘地点</w:t>
            </w:r>
            <w:r>
              <w:rPr>
                <w:rFonts w:hint="eastAsia" w:ascii="仿宋" w:hAnsi="仿宋" w:eastAsia="仿宋" w:cs="仿宋"/>
                <w:color w:val="auto"/>
                <w:sz w:val="21"/>
                <w:szCs w:val="21"/>
                <w:highlight w:val="none"/>
              </w:rPr>
              <w:t>和采样数量准备好使用的仪器、仪表、工具、附件、记录本。</w:t>
            </w:r>
          </w:p>
          <w:p w14:paraId="068C19C2">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b w:val="0"/>
                <w:bCs/>
                <w:color w:val="auto"/>
                <w:kern w:val="2"/>
                <w:sz w:val="21"/>
                <w:szCs w:val="21"/>
                <w:highlight w:val="none"/>
                <w:lang w:val="en-US" w:eastAsia="zh-CN" w:bidi="ar-SA"/>
              </w:rPr>
            </w:pPr>
          </w:p>
        </w:tc>
      </w:tr>
      <w:tr w14:paraId="4342C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4" w:hRule="exact"/>
          <w:jc w:val="center"/>
        </w:trPr>
        <w:tc>
          <w:tcPr>
            <w:tcW w:w="8230" w:type="dxa"/>
            <w:vAlign w:val="top"/>
          </w:tcPr>
          <w:p w14:paraId="7973E460">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b w:val="0"/>
                <w:bCs/>
                <w:color w:val="auto"/>
                <w:sz w:val="21"/>
                <w:szCs w:val="21"/>
                <w:highlight w:val="none"/>
                <w:lang w:val="en-US" w:eastAsia="zh-CN"/>
              </w:rPr>
            </w:pPr>
            <w:r>
              <w:rPr>
                <w:rFonts w:hint="eastAsia" w:ascii="仿宋" w:hAnsi="仿宋" w:eastAsia="仿宋" w:cs="仿宋"/>
                <w:color w:val="auto"/>
                <w:sz w:val="21"/>
                <w:szCs w:val="21"/>
                <w:highlight w:val="none"/>
              </w:rPr>
              <w:t>2</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检查测尘仪器是否完好，做到外表清洁、附件齐全、电键、旋转按钮灵敏可靠、蓄电池的电压、电量符合要求</w:t>
            </w:r>
            <w:r>
              <w:rPr>
                <w:rFonts w:hint="eastAsia" w:ascii="仿宋" w:hAnsi="仿宋" w:eastAsia="仿宋" w:cs="仿宋"/>
                <w:color w:val="auto"/>
                <w:sz w:val="21"/>
                <w:szCs w:val="21"/>
                <w:highlight w:val="none"/>
                <w:lang w:eastAsia="zh-CN"/>
              </w:rPr>
              <w:t>。</w:t>
            </w:r>
          </w:p>
        </w:tc>
      </w:tr>
      <w:tr w14:paraId="71D58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exact"/>
          <w:jc w:val="center"/>
        </w:trPr>
        <w:tc>
          <w:tcPr>
            <w:tcW w:w="8230" w:type="dxa"/>
            <w:vAlign w:val="top"/>
          </w:tcPr>
          <w:p w14:paraId="76B3390B">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sz w:val="21"/>
                <w:szCs w:val="21"/>
                <w:highlight w:val="none"/>
                <w:lang w:val="en-US" w:eastAsia="zh-CN"/>
              </w:rPr>
              <w:t>3.</w:t>
            </w:r>
            <w:r>
              <w:rPr>
                <w:rFonts w:hint="eastAsia" w:ascii="仿宋" w:hAnsi="仿宋" w:eastAsia="仿宋" w:cs="仿宋"/>
                <w:color w:val="auto"/>
                <w:sz w:val="21"/>
                <w:szCs w:val="21"/>
                <w:highlight w:val="none"/>
              </w:rPr>
              <w:t>检查测尘地点顶帮是否完好，严禁站在有片帮冒顶危险的地点测尘。</w:t>
            </w:r>
          </w:p>
          <w:p w14:paraId="66DEE241">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2.机械设备运行</w:t>
            </w:r>
          </w:p>
          <w:p w14:paraId="3E7939C3">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检查测尘地点有无车辆及机械设备运行，测尘时应避开车辆及机械设备运行。</w:t>
            </w:r>
          </w:p>
          <w:p w14:paraId="164CD05C">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3.站位、后退路</w:t>
            </w:r>
          </w:p>
          <w:p w14:paraId="733E9E24">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检查站位是否安全，避开片帮冒顶、车辆及机械运行等伤害危险。并保证后退路畅通。</w:t>
            </w:r>
          </w:p>
          <w:p w14:paraId="4101F6C3">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b w:val="0"/>
                <w:bCs/>
                <w:color w:val="auto"/>
                <w:sz w:val="21"/>
                <w:szCs w:val="21"/>
                <w:highlight w:val="none"/>
                <w:lang w:val="en-US" w:eastAsia="zh-CN"/>
              </w:rPr>
            </w:pPr>
          </w:p>
        </w:tc>
      </w:tr>
    </w:tbl>
    <w:p w14:paraId="41EA4927">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1967" w:tblpY="283"/>
        <w:tblOverlap w:val="never"/>
        <w:tblW w:w="8228" w:type="dxa"/>
        <w:tblInd w:w="0" w:type="dxa"/>
        <w:tblLayout w:type="fixed"/>
        <w:tblCellMar>
          <w:top w:w="0" w:type="dxa"/>
          <w:left w:w="108" w:type="dxa"/>
          <w:bottom w:w="0" w:type="dxa"/>
          <w:right w:w="108" w:type="dxa"/>
        </w:tblCellMar>
      </w:tblPr>
      <w:tblGrid>
        <w:gridCol w:w="1876"/>
        <w:gridCol w:w="2168"/>
        <w:gridCol w:w="4184"/>
      </w:tblGrid>
      <w:tr w14:paraId="37E951B0">
        <w:tblPrEx>
          <w:tblCellMar>
            <w:top w:w="0" w:type="dxa"/>
            <w:left w:w="108" w:type="dxa"/>
            <w:bottom w:w="0" w:type="dxa"/>
            <w:right w:w="108" w:type="dxa"/>
          </w:tblCellMar>
        </w:tblPrEx>
        <w:trPr>
          <w:trHeight w:val="673" w:hRule="atLeast"/>
        </w:trPr>
        <w:tc>
          <w:tcPr>
            <w:tcW w:w="8228" w:type="dxa"/>
            <w:gridSpan w:val="3"/>
            <w:tcBorders>
              <w:top w:val="single" w:color="000000" w:sz="4" w:space="0"/>
              <w:left w:val="single" w:color="000000" w:sz="4" w:space="0"/>
              <w:bottom w:val="single" w:color="000000" w:sz="4" w:space="0"/>
              <w:right w:val="single" w:color="000000" w:sz="4" w:space="0"/>
            </w:tcBorders>
            <w:vAlign w:val="center"/>
          </w:tcPr>
          <w:p w14:paraId="1890317F">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测尘工操作过程注意事项</w:t>
            </w:r>
          </w:p>
        </w:tc>
      </w:tr>
      <w:tr w14:paraId="6C102ADA">
        <w:tblPrEx>
          <w:tblCellMar>
            <w:top w:w="0" w:type="dxa"/>
            <w:left w:w="108" w:type="dxa"/>
            <w:bottom w:w="0" w:type="dxa"/>
            <w:right w:w="108" w:type="dxa"/>
          </w:tblCellMar>
        </w:tblPrEx>
        <w:trPr>
          <w:trHeight w:val="577" w:hRule="atLeast"/>
        </w:trPr>
        <w:tc>
          <w:tcPr>
            <w:tcW w:w="1876" w:type="dxa"/>
            <w:tcBorders>
              <w:top w:val="single" w:color="000000" w:sz="4" w:space="0"/>
              <w:left w:val="single" w:color="000000" w:sz="4" w:space="0"/>
              <w:bottom w:val="single" w:color="000000" w:sz="4" w:space="0"/>
              <w:right w:val="single" w:color="000000" w:sz="4" w:space="0"/>
            </w:tcBorders>
            <w:vAlign w:val="center"/>
          </w:tcPr>
          <w:p w14:paraId="3DE6F229">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w:t>
            </w:r>
          </w:p>
        </w:tc>
        <w:tc>
          <w:tcPr>
            <w:tcW w:w="2168" w:type="dxa"/>
            <w:tcBorders>
              <w:top w:val="single" w:color="000000" w:sz="4" w:space="0"/>
              <w:left w:val="single" w:color="000000" w:sz="4" w:space="0"/>
              <w:bottom w:val="single" w:color="000000" w:sz="4" w:space="0"/>
              <w:right w:val="single" w:color="000000" w:sz="4" w:space="0"/>
            </w:tcBorders>
            <w:vAlign w:val="center"/>
          </w:tcPr>
          <w:p w14:paraId="0AB487D7">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4184" w:type="dxa"/>
            <w:tcBorders>
              <w:top w:val="single" w:color="000000" w:sz="4" w:space="0"/>
              <w:left w:val="single" w:color="000000" w:sz="4" w:space="0"/>
              <w:bottom w:val="single" w:color="000000" w:sz="4" w:space="0"/>
              <w:right w:val="single" w:color="000000" w:sz="4" w:space="0"/>
            </w:tcBorders>
            <w:vAlign w:val="center"/>
          </w:tcPr>
          <w:p w14:paraId="11D8D162">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14:paraId="3002B4F4">
        <w:tblPrEx>
          <w:tblCellMar>
            <w:top w:w="0" w:type="dxa"/>
            <w:left w:w="108" w:type="dxa"/>
            <w:bottom w:w="0" w:type="dxa"/>
            <w:right w:w="108" w:type="dxa"/>
          </w:tblCellMar>
        </w:tblPrEx>
        <w:trPr>
          <w:trHeight w:val="835" w:hRule="atLeast"/>
        </w:trPr>
        <w:tc>
          <w:tcPr>
            <w:tcW w:w="1876" w:type="dxa"/>
            <w:vMerge w:val="restart"/>
            <w:tcBorders>
              <w:top w:val="single" w:color="000000" w:sz="4" w:space="0"/>
              <w:left w:val="single" w:color="000000" w:sz="4" w:space="0"/>
              <w:bottom w:val="single" w:color="000000" w:sz="4" w:space="0"/>
              <w:right w:val="single" w:color="000000" w:sz="4" w:space="0"/>
            </w:tcBorders>
            <w:vAlign w:val="center"/>
          </w:tcPr>
          <w:p w14:paraId="2617D433">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测尘</w:t>
            </w:r>
          </w:p>
        </w:tc>
        <w:tc>
          <w:tcPr>
            <w:tcW w:w="2168" w:type="dxa"/>
            <w:tcBorders>
              <w:top w:val="single" w:color="000000" w:sz="4" w:space="0"/>
              <w:left w:val="single" w:color="000000" w:sz="4" w:space="0"/>
              <w:bottom w:val="single" w:color="000000" w:sz="4" w:space="0"/>
              <w:right w:val="single" w:color="000000" w:sz="4" w:space="0"/>
            </w:tcBorders>
            <w:vAlign w:val="center"/>
          </w:tcPr>
          <w:p w14:paraId="7D538752">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选地点</w:t>
            </w:r>
          </w:p>
        </w:tc>
        <w:tc>
          <w:tcPr>
            <w:tcW w:w="4184" w:type="dxa"/>
            <w:tcBorders>
              <w:top w:val="single" w:color="000000" w:sz="4" w:space="0"/>
              <w:left w:val="single" w:color="000000" w:sz="4" w:space="0"/>
              <w:bottom w:val="single" w:color="000000" w:sz="4" w:space="0"/>
              <w:right w:val="single" w:color="000000" w:sz="4" w:space="0"/>
            </w:tcBorders>
            <w:vAlign w:val="center"/>
          </w:tcPr>
          <w:p w14:paraId="126793FF">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选择符合规定测尘的地点。</w:t>
            </w:r>
          </w:p>
        </w:tc>
      </w:tr>
      <w:tr w14:paraId="650896B3">
        <w:tblPrEx>
          <w:tblCellMar>
            <w:top w:w="0" w:type="dxa"/>
            <w:left w:w="108" w:type="dxa"/>
            <w:bottom w:w="0" w:type="dxa"/>
            <w:right w:w="108" w:type="dxa"/>
          </w:tblCellMar>
        </w:tblPrEx>
        <w:trPr>
          <w:trHeight w:val="577" w:hRule="atLeast"/>
        </w:trPr>
        <w:tc>
          <w:tcPr>
            <w:tcW w:w="1876" w:type="dxa"/>
            <w:vMerge w:val="continue"/>
            <w:tcBorders>
              <w:top w:val="single" w:color="000000" w:sz="4" w:space="0"/>
              <w:left w:val="single" w:color="000000" w:sz="4" w:space="0"/>
              <w:bottom w:val="single" w:color="000000" w:sz="4" w:space="0"/>
              <w:right w:val="single" w:color="000000" w:sz="4" w:space="0"/>
            </w:tcBorders>
            <w:vAlign w:val="center"/>
          </w:tcPr>
          <w:p w14:paraId="1A9595CF">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484506E0">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稳操作</w:t>
            </w:r>
          </w:p>
        </w:tc>
        <w:tc>
          <w:tcPr>
            <w:tcW w:w="4184" w:type="dxa"/>
            <w:tcBorders>
              <w:top w:val="single" w:color="000000" w:sz="4" w:space="0"/>
              <w:left w:val="single" w:color="000000" w:sz="4" w:space="0"/>
              <w:bottom w:val="single" w:color="000000" w:sz="4" w:space="0"/>
              <w:right w:val="single" w:color="000000" w:sz="4" w:space="0"/>
            </w:tcBorders>
            <w:vAlign w:val="center"/>
          </w:tcPr>
          <w:p w14:paraId="2FED6A47">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在测尘过程中仪器要拿稳 严禁碰撞、挤压。</w:t>
            </w:r>
          </w:p>
        </w:tc>
      </w:tr>
      <w:tr w14:paraId="5E58FECC">
        <w:tblPrEx>
          <w:tblCellMar>
            <w:top w:w="0" w:type="dxa"/>
            <w:left w:w="108" w:type="dxa"/>
            <w:bottom w:w="0" w:type="dxa"/>
            <w:right w:w="108" w:type="dxa"/>
          </w:tblCellMar>
        </w:tblPrEx>
        <w:trPr>
          <w:trHeight w:val="803" w:hRule="atLeast"/>
        </w:trPr>
        <w:tc>
          <w:tcPr>
            <w:tcW w:w="1876" w:type="dxa"/>
            <w:vMerge w:val="continue"/>
            <w:tcBorders>
              <w:top w:val="single" w:color="000000" w:sz="4" w:space="0"/>
              <w:left w:val="single" w:color="000000" w:sz="4" w:space="0"/>
              <w:bottom w:val="single" w:color="000000" w:sz="4" w:space="0"/>
              <w:right w:val="single" w:color="000000" w:sz="4" w:space="0"/>
            </w:tcBorders>
            <w:vAlign w:val="center"/>
          </w:tcPr>
          <w:p w14:paraId="662517C5">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0490F0A9">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kern w:val="0"/>
                <w:sz w:val="21"/>
                <w:szCs w:val="21"/>
                <w:highlight w:val="none"/>
                <w:u w:val="none"/>
                <w:lang w:val="en-US" w:eastAsia="zh-CN" w:bidi="ar"/>
              </w:rPr>
              <w:t>站好位</w:t>
            </w:r>
          </w:p>
        </w:tc>
        <w:tc>
          <w:tcPr>
            <w:tcW w:w="4184" w:type="dxa"/>
            <w:tcBorders>
              <w:top w:val="single" w:color="000000" w:sz="4" w:space="0"/>
              <w:left w:val="single" w:color="000000" w:sz="4" w:space="0"/>
              <w:bottom w:val="single" w:color="000000" w:sz="4" w:space="0"/>
              <w:right w:val="single" w:color="000000" w:sz="4" w:space="0"/>
            </w:tcBorders>
            <w:vAlign w:val="center"/>
          </w:tcPr>
          <w:p w14:paraId="4FBD57AC">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站在顶帮完好且退路通畅的地点。</w:t>
            </w:r>
          </w:p>
        </w:tc>
      </w:tr>
      <w:tr w14:paraId="719056B8">
        <w:tblPrEx>
          <w:tblCellMar>
            <w:top w:w="0" w:type="dxa"/>
            <w:left w:w="108" w:type="dxa"/>
            <w:bottom w:w="0" w:type="dxa"/>
            <w:right w:w="108" w:type="dxa"/>
          </w:tblCellMar>
        </w:tblPrEx>
        <w:trPr>
          <w:trHeight w:val="586" w:hRule="atLeast"/>
        </w:trPr>
        <w:tc>
          <w:tcPr>
            <w:tcW w:w="1876" w:type="dxa"/>
            <w:vMerge w:val="continue"/>
            <w:tcBorders>
              <w:top w:val="single" w:color="000000" w:sz="4" w:space="0"/>
              <w:left w:val="single" w:color="000000" w:sz="4" w:space="0"/>
              <w:bottom w:val="single" w:color="000000" w:sz="4" w:space="0"/>
              <w:right w:val="single" w:color="000000" w:sz="4" w:space="0"/>
            </w:tcBorders>
            <w:vAlign w:val="center"/>
          </w:tcPr>
          <w:p w14:paraId="1F4FCCF6">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6FA08DE5">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sz w:val="21"/>
                <w:szCs w:val="21"/>
                <w:highlight w:val="none"/>
                <w:u w:val="none"/>
                <w:lang w:val="en-US" w:eastAsia="zh-CN"/>
              </w:rPr>
              <w:t>记数据</w:t>
            </w:r>
          </w:p>
        </w:tc>
        <w:tc>
          <w:tcPr>
            <w:tcW w:w="4184" w:type="dxa"/>
            <w:tcBorders>
              <w:top w:val="single" w:color="000000" w:sz="4" w:space="0"/>
              <w:left w:val="single" w:color="000000" w:sz="4" w:space="0"/>
              <w:bottom w:val="single" w:color="000000" w:sz="4" w:space="0"/>
              <w:right w:val="single" w:color="000000" w:sz="4" w:space="0"/>
            </w:tcBorders>
            <w:vAlign w:val="center"/>
          </w:tcPr>
          <w:p w14:paraId="701C1CFC">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认真记录测尘数据。</w:t>
            </w:r>
          </w:p>
        </w:tc>
      </w:tr>
    </w:tbl>
    <w:p w14:paraId="007AC65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b/>
          <w:color w:val="auto"/>
          <w:sz w:val="28"/>
          <w:szCs w:val="28"/>
          <w:highlight w:val="none"/>
        </w:rPr>
        <w:t>一、一般规定</w:t>
      </w:r>
    </w:p>
    <w:p w14:paraId="6EF0A06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（一）</w:t>
      </w:r>
      <w:r>
        <w:rPr>
          <w:rFonts w:hint="eastAsia" w:ascii="仿宋" w:hAnsi="仿宋" w:eastAsia="仿宋" w:cs="仿宋"/>
          <w:snapToGrid w:val="0"/>
          <w:color w:val="auto"/>
          <w:kern w:val="0"/>
          <w:sz w:val="28"/>
          <w:szCs w:val="28"/>
          <w:highlight w:val="none"/>
        </w:rPr>
        <w:t>入井时必须戴安全帽、随身携带自救器和矿灯，严禁携带烟草和点火物品，严禁穿化纤衣服，入井前严禁喝酒。</w:t>
      </w:r>
    </w:p>
    <w:p w14:paraId="4454F2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（二）</w:t>
      </w:r>
      <w:r>
        <w:rPr>
          <w:rFonts w:hint="eastAsia" w:ascii="仿宋" w:hAnsi="仿宋" w:eastAsia="仿宋" w:cs="仿宋"/>
          <w:snapToGrid w:val="0"/>
          <w:color w:val="auto"/>
          <w:kern w:val="0"/>
          <w:sz w:val="28"/>
          <w:szCs w:val="28"/>
          <w:highlight w:val="none"/>
        </w:rPr>
        <w:t>必须经有资质的机构培训考试合格后持证上岗。</w:t>
      </w:r>
    </w:p>
    <w:p w14:paraId="042DF9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（三）</w:t>
      </w:r>
      <w:r>
        <w:rPr>
          <w:rFonts w:hint="eastAsia" w:ascii="仿宋" w:hAnsi="仿宋" w:eastAsia="仿宋" w:cs="仿宋"/>
          <w:snapToGrid w:val="0"/>
          <w:color w:val="auto"/>
          <w:kern w:val="0"/>
          <w:sz w:val="28"/>
          <w:szCs w:val="28"/>
          <w:highlight w:val="none"/>
        </w:rPr>
        <w:t>上下井时，必须遵守乘罐制度，听从把钩工的指挥。</w:t>
      </w:r>
    </w:p>
    <w:p w14:paraId="1862191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（四）</w:t>
      </w:r>
      <w:r>
        <w:rPr>
          <w:rFonts w:hint="eastAsia" w:ascii="仿宋" w:hAnsi="仿宋" w:eastAsia="仿宋" w:cs="仿宋"/>
          <w:snapToGrid w:val="0"/>
          <w:color w:val="auto"/>
          <w:kern w:val="0"/>
          <w:sz w:val="28"/>
          <w:szCs w:val="28"/>
          <w:highlight w:val="none"/>
        </w:rPr>
        <w:t>严格执行行车不行人制度，斜巷行人遇行车时立即进入躲避硐。</w:t>
      </w:r>
    </w:p>
    <w:p w14:paraId="637D91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（五）</w:t>
      </w:r>
      <w:r>
        <w:rPr>
          <w:rFonts w:hint="eastAsia" w:ascii="仿宋" w:hAnsi="仿宋" w:eastAsia="仿宋" w:cs="仿宋"/>
          <w:snapToGrid w:val="0"/>
          <w:color w:val="auto"/>
          <w:kern w:val="0"/>
          <w:sz w:val="28"/>
          <w:szCs w:val="28"/>
          <w:highlight w:val="none"/>
        </w:rPr>
        <w:t>在井下行走要走人行道，横穿巷道，过弯道、交叉口时，要做到一停、二看、三确认安全后通过。乘坐架空乘人装置时严禁携带长把工具、长材料。</w:t>
      </w:r>
    </w:p>
    <w:p w14:paraId="76342B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（六）</w:t>
      </w:r>
      <w:r>
        <w:rPr>
          <w:rFonts w:hint="eastAsia" w:ascii="仿宋" w:hAnsi="仿宋" w:eastAsia="仿宋" w:cs="仿宋"/>
          <w:snapToGrid w:val="0"/>
          <w:color w:val="auto"/>
          <w:kern w:val="0"/>
          <w:sz w:val="28"/>
          <w:szCs w:val="28"/>
          <w:highlight w:val="none"/>
        </w:rPr>
        <w:t>乘坐架空乘人装置时必须在规定候车区域等候，按顺序乘坐，不得在绳下穿越。</w:t>
      </w:r>
    </w:p>
    <w:p w14:paraId="250C86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（七）</w:t>
      </w:r>
      <w:r>
        <w:rPr>
          <w:rFonts w:hint="eastAsia" w:ascii="仿宋" w:hAnsi="仿宋" w:eastAsia="仿宋" w:cs="仿宋"/>
          <w:snapToGrid w:val="0"/>
          <w:color w:val="auto"/>
          <w:kern w:val="0"/>
          <w:sz w:val="28"/>
          <w:szCs w:val="28"/>
          <w:highlight w:val="none"/>
        </w:rPr>
        <w:t>人员严禁站在起吊的重物下方或重物可能倒向的位置。严禁站在提升物体的绳道内、运行的设备或带电体上。</w:t>
      </w:r>
    </w:p>
    <w:p w14:paraId="37AEC7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（八）</w:t>
      </w:r>
      <w:r>
        <w:rPr>
          <w:rFonts w:hint="eastAsia" w:ascii="仿宋" w:hAnsi="仿宋" w:eastAsia="仿宋" w:cs="仿宋"/>
          <w:snapToGrid w:val="0"/>
          <w:color w:val="auto"/>
          <w:kern w:val="0"/>
          <w:sz w:val="28"/>
          <w:szCs w:val="28"/>
          <w:highlight w:val="none"/>
        </w:rPr>
        <w:t>严禁随意打开密闭、栅栏进入盲巷；严禁随意进入工作面隅角。</w:t>
      </w:r>
    </w:p>
    <w:p w14:paraId="453B78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（九）</w:t>
      </w:r>
      <w:r>
        <w:rPr>
          <w:rFonts w:hint="eastAsia" w:ascii="仿宋" w:hAnsi="仿宋" w:eastAsia="仿宋" w:cs="仿宋"/>
          <w:snapToGrid w:val="0"/>
          <w:color w:val="auto"/>
          <w:kern w:val="0"/>
          <w:sz w:val="28"/>
          <w:szCs w:val="28"/>
          <w:highlight w:val="none"/>
        </w:rPr>
        <w:t>严禁同时打开两道风门，严禁随意调节风窗。</w:t>
      </w:r>
    </w:p>
    <w:p w14:paraId="1F0895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w:t>
      </w:r>
      <w:r>
        <w:rPr>
          <w:rFonts w:hint="eastAsia" w:ascii="仿宋" w:hAnsi="仿宋" w:eastAsia="仿宋" w:cs="仿宋"/>
          <w:snapToGrid w:val="0"/>
          <w:color w:val="auto"/>
          <w:kern w:val="0"/>
          <w:sz w:val="28"/>
          <w:szCs w:val="28"/>
          <w:highlight w:val="none"/>
        </w:rPr>
        <w:t>严禁扒车、跳车和坐矿车，当车辆经过时，人员要及时躲避。</w:t>
      </w:r>
    </w:p>
    <w:p w14:paraId="2096861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（十一）</w:t>
      </w:r>
      <w:r>
        <w:rPr>
          <w:rFonts w:hint="eastAsia" w:ascii="仿宋" w:hAnsi="仿宋" w:eastAsia="仿宋" w:cs="仿宋"/>
          <w:snapToGrid w:val="0"/>
          <w:color w:val="auto"/>
          <w:kern w:val="0"/>
          <w:sz w:val="28"/>
          <w:szCs w:val="28"/>
          <w:highlight w:val="none"/>
        </w:rPr>
        <w:t>跨越皮带时要走过桥，严禁直接蹬、坐皮带。严禁触及运行中的机电运输设备。</w:t>
      </w:r>
    </w:p>
    <w:p w14:paraId="5E306C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（十二）</w:t>
      </w:r>
      <w:r>
        <w:rPr>
          <w:rFonts w:hint="eastAsia" w:ascii="仿宋" w:hAnsi="仿宋" w:eastAsia="仿宋" w:cs="仿宋"/>
          <w:snapToGrid w:val="0"/>
          <w:color w:val="auto"/>
          <w:kern w:val="0"/>
          <w:sz w:val="28"/>
          <w:szCs w:val="28"/>
          <w:highlight w:val="none"/>
        </w:rPr>
        <w:t>工作（休息）时必须随时检查自己周围顶帮、机械及车辆等安全情况，发现险情及时躲避或处理。</w:t>
      </w:r>
    </w:p>
    <w:p w14:paraId="5E4BDA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（十三）</w:t>
      </w:r>
      <w:r>
        <w:rPr>
          <w:rFonts w:hint="eastAsia" w:ascii="仿宋" w:hAnsi="仿宋" w:eastAsia="仿宋" w:cs="仿宋"/>
          <w:snapToGrid w:val="0"/>
          <w:color w:val="auto"/>
          <w:kern w:val="0"/>
          <w:sz w:val="28"/>
          <w:szCs w:val="28"/>
          <w:highlight w:val="none"/>
        </w:rPr>
        <w:t>严禁在井下车场、各巷道口</w:t>
      </w:r>
      <w:r>
        <w:rPr>
          <w:rFonts w:hint="eastAsia" w:ascii="仿宋" w:hAnsi="仿宋" w:eastAsia="仿宋" w:cs="仿宋"/>
          <w:snapToGrid w:val="0"/>
          <w:color w:val="auto"/>
          <w:kern w:val="0"/>
          <w:sz w:val="28"/>
          <w:szCs w:val="28"/>
          <w:highlight w:val="none"/>
          <w:lang w:val="en-US" w:eastAsia="zh-CN"/>
        </w:rPr>
        <w:t>等地点</w:t>
      </w:r>
      <w:r>
        <w:rPr>
          <w:rFonts w:hint="eastAsia" w:ascii="仿宋" w:hAnsi="仿宋" w:eastAsia="仿宋" w:cs="仿宋"/>
          <w:snapToGrid w:val="0"/>
          <w:color w:val="auto"/>
          <w:kern w:val="0"/>
          <w:sz w:val="28"/>
          <w:szCs w:val="28"/>
          <w:highlight w:val="none"/>
        </w:rPr>
        <w:t>蹲坐休息。</w:t>
      </w:r>
    </w:p>
    <w:p w14:paraId="56735D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（十四）</w:t>
      </w:r>
      <w:r>
        <w:rPr>
          <w:rFonts w:hint="eastAsia" w:ascii="仿宋" w:hAnsi="仿宋" w:eastAsia="仿宋" w:cs="仿宋"/>
          <w:snapToGrid w:val="0"/>
          <w:color w:val="auto"/>
          <w:kern w:val="0"/>
          <w:sz w:val="28"/>
          <w:szCs w:val="28"/>
          <w:highlight w:val="none"/>
        </w:rPr>
        <w:t>不得在产生噪声、辐射等危害的设备附近逗留。</w:t>
      </w:r>
    </w:p>
    <w:p w14:paraId="7E05F0F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（十五）</w:t>
      </w:r>
      <w:r>
        <w:rPr>
          <w:rFonts w:hint="eastAsia" w:ascii="仿宋" w:hAnsi="仿宋" w:eastAsia="仿宋" w:cs="仿宋"/>
          <w:snapToGrid w:val="0"/>
          <w:color w:val="auto"/>
          <w:kern w:val="0"/>
          <w:sz w:val="28"/>
          <w:szCs w:val="28"/>
          <w:highlight w:val="none"/>
        </w:rPr>
        <w:t>发现有冒顶、透水预兆时，必须停止作业，立即撤出。</w:t>
      </w:r>
    </w:p>
    <w:p w14:paraId="5CA0064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（十六）</w:t>
      </w:r>
      <w:r>
        <w:rPr>
          <w:rFonts w:hint="eastAsia" w:ascii="仿宋" w:hAnsi="仿宋" w:eastAsia="仿宋" w:cs="仿宋"/>
          <w:snapToGrid w:val="0"/>
          <w:color w:val="auto"/>
          <w:kern w:val="0"/>
          <w:sz w:val="28"/>
          <w:szCs w:val="28"/>
          <w:highlight w:val="none"/>
        </w:rPr>
        <w:t>严格执行入井前安全确认制度。</w:t>
      </w:r>
    </w:p>
    <w:p w14:paraId="120330F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5DA92DF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25CAD4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3ED309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7753B45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7810ACA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502202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067F08D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0C853D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1720D6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5DE837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6A2CB9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46E20FB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70B2989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13671D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6A8027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47B18E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56668E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02F802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3D5EE1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5A6647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418A36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20.肩负第二职业的“经济人”：是指挣钱不要命，工作之余另有第二职业的人。</w:t>
      </w:r>
    </w:p>
    <w:p w14:paraId="41FE0A8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09733F5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3E77DFF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3903D9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251528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5F6544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22A952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1E3B5D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1FC135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341C822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38293E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5D20B1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41922D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501CF2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2729F0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36175B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08E96B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4EF980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1B0D6E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06659D9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21A15ED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5483E79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680A7EE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543B776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330DA4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5628AE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0DFDB3B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三</w:t>
      </w:r>
      <w:r>
        <w:rPr>
          <w:rFonts w:hint="eastAsia" w:ascii="仿宋" w:hAnsi="仿宋" w:eastAsia="仿宋" w:cs="仿宋"/>
          <w:b/>
          <w:color w:val="auto"/>
          <w:sz w:val="28"/>
          <w:szCs w:val="28"/>
          <w:highlight w:val="none"/>
        </w:rPr>
        <w:t>、安全风险辨识及管控措施</w:t>
      </w:r>
    </w:p>
    <w:p w14:paraId="3F95814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14:paraId="4827E8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1.风险描述：工作面存在自然发火风险。</w:t>
      </w:r>
    </w:p>
    <w:p w14:paraId="56AB23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2FC1A6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（1）工作面回采期间沿煤层顶部回采，确保顶煤回采干净。</w:t>
      </w:r>
    </w:p>
    <w:p w14:paraId="18E98B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（2）加强现场监督，确保上、下隅角封堵严实。</w:t>
      </w:r>
    </w:p>
    <w:p w14:paraId="474166C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（3）设置自然发火观测点，定期进行检查。</w:t>
      </w:r>
    </w:p>
    <w:p w14:paraId="4F4629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（4）每班结束后，安排专人对架空浮煤进行清理。</w:t>
      </w:r>
    </w:p>
    <w:p w14:paraId="6EFDCD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（5）在材料巷埋设4寸措施管路，在特殊地质构造位置埋设φ50地质钢管，回采期间对措施管路进行保护，防止措施管路遭到破坏。</w:t>
      </w:r>
    </w:p>
    <w:p w14:paraId="38A588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）定期对仪器仪表调校和鉴定，确保仪器仪表准确性。</w:t>
      </w:r>
    </w:p>
    <w:p w14:paraId="134A51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）按规定安设防尘供水管路，并敷设到工作面。</w:t>
      </w:r>
    </w:p>
    <w:p w14:paraId="2D1384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）利用措施管路定期对工作面进行注浆或注氮气，防止遗煤自燃。</w:t>
      </w:r>
    </w:p>
    <w:p w14:paraId="73FB99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）生产班对工作面架空喷洒阻化剂。</w:t>
      </w:r>
    </w:p>
    <w:p w14:paraId="5CC535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14:paraId="19FF61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7434F4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（1）作业人员应正确使用防尘等个体防护用品，井下各单位应对作业人员使用个体防护用品情况采取措施加强管理。</w:t>
      </w:r>
    </w:p>
    <w:p w14:paraId="0C562D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14:paraId="20146C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14:paraId="024AF0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.风险描述：防灭火管理不到位可能造成火灾。</w:t>
      </w:r>
    </w:p>
    <w:p w14:paraId="2D1610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BBE66A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（1）各生产单位任何人发现井下火灾，应视瓦斯情况，立即采取一切可能的方法直接灭火，控制火势。</w:t>
      </w:r>
    </w:p>
    <w:p w14:paraId="505E44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（2）各生产单位任何人发现井下火灾，未瓦斯情况，没有立即采取一切可能的方法直接灭火，控制火势时，</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对责任人进行相应的处罚。</w:t>
      </w:r>
    </w:p>
    <w:p w14:paraId="6018EE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风险描述：工作面存在水灾风险。</w:t>
      </w:r>
    </w:p>
    <w:p w14:paraId="29032C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9CAB9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）根据物探成果,利用钻探超前验证物探异常区。</w:t>
      </w:r>
    </w:p>
    <w:p w14:paraId="3273AD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）按照预计最大涌水量安设排水系统，并保证排水系统畅通完善，巷道积水及时排出。</w:t>
      </w:r>
    </w:p>
    <w:p w14:paraId="239F60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）按照要求进行地质及水情水害预测预报工作。</w:t>
      </w:r>
    </w:p>
    <w:p w14:paraId="1E8BF0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4</w:t>
      </w:r>
      <w:r>
        <w:rPr>
          <w:rFonts w:hint="eastAsia" w:ascii="仿宋" w:hAnsi="仿宋" w:eastAsia="仿宋" w:cs="仿宋"/>
          <w:color w:val="auto"/>
          <w:kern w:val="0"/>
          <w:sz w:val="28"/>
          <w:szCs w:val="28"/>
          <w:highlight w:val="none"/>
        </w:rPr>
        <w:t>）按要求进行涌水量观测。</w:t>
      </w:r>
    </w:p>
    <w:p w14:paraId="1B8790C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5</w:t>
      </w:r>
      <w:r>
        <w:rPr>
          <w:rFonts w:hint="eastAsia" w:ascii="仿宋" w:hAnsi="仿宋" w:eastAsia="仿宋" w:cs="仿宋"/>
          <w:color w:val="auto"/>
          <w:kern w:val="0"/>
          <w:sz w:val="28"/>
          <w:szCs w:val="28"/>
          <w:highlight w:val="none"/>
        </w:rPr>
        <w:t>）普及井下职工防治水知识，了解突水征兆，熟悉逃生路线和避灾方法。</w:t>
      </w:r>
    </w:p>
    <w:p w14:paraId="027380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6</w:t>
      </w:r>
      <w:r>
        <w:rPr>
          <w:rFonts w:hint="eastAsia" w:ascii="仿宋" w:hAnsi="仿宋" w:eastAsia="仿宋" w:cs="仿宋"/>
          <w:color w:val="auto"/>
          <w:kern w:val="0"/>
          <w:sz w:val="28"/>
          <w:szCs w:val="28"/>
          <w:highlight w:val="none"/>
        </w:rPr>
        <w:t>）落实应急处置措施，发生事故立即启动应急救援预案。</w:t>
      </w:r>
    </w:p>
    <w:p w14:paraId="712490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7</w:t>
      </w:r>
      <w:r>
        <w:rPr>
          <w:rFonts w:hint="eastAsia" w:ascii="仿宋" w:hAnsi="仿宋" w:eastAsia="仿宋" w:cs="仿宋"/>
          <w:color w:val="auto"/>
          <w:kern w:val="0"/>
          <w:sz w:val="28"/>
          <w:szCs w:val="28"/>
          <w:highlight w:val="none"/>
        </w:rPr>
        <w:t>）运用</w:t>
      </w:r>
      <w:r>
        <w:rPr>
          <w:rFonts w:hint="eastAsia" w:ascii="仿宋" w:hAnsi="仿宋" w:eastAsia="仿宋" w:cs="仿宋"/>
          <w:color w:val="auto"/>
          <w:kern w:val="0"/>
          <w:sz w:val="28"/>
          <w:szCs w:val="28"/>
          <w:highlight w:val="none"/>
          <w:lang w:val="en-US" w:eastAsia="zh-CN"/>
        </w:rPr>
        <w:t>现用</w:t>
      </w:r>
      <w:r>
        <w:rPr>
          <w:rFonts w:hint="eastAsia" w:ascii="仿宋" w:hAnsi="仿宋" w:eastAsia="仿宋" w:cs="仿宋"/>
          <w:color w:val="auto"/>
          <w:kern w:val="0"/>
          <w:sz w:val="28"/>
          <w:szCs w:val="28"/>
          <w:highlight w:val="none"/>
        </w:rPr>
        <w:t>水文监测系统，加强实时监测井下水量变化情况，出现异常及时采取措施处理</w:t>
      </w:r>
      <w:r>
        <w:rPr>
          <w:rFonts w:hint="eastAsia" w:ascii="仿宋" w:hAnsi="仿宋" w:eastAsia="仿宋" w:cs="仿宋"/>
          <w:color w:val="auto"/>
          <w:kern w:val="0"/>
          <w:sz w:val="28"/>
          <w:szCs w:val="28"/>
        </w:rPr>
        <w:t>。</w:t>
      </w:r>
    </w:p>
    <w:p w14:paraId="1910C29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14:paraId="6790A9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1.风险描述：测尘前未进行敲帮问顶，可能发生危岩悬矸掉落伤人风险。</w:t>
      </w:r>
    </w:p>
    <w:p w14:paraId="7CA6DF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管控措施：测尘前需对周围的安全情况进行确认，执行好“敲帮问顶”制度，规范好人员站位。</w:t>
      </w:r>
    </w:p>
    <w:p w14:paraId="47D7D2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2.测尘前未注意运行的车辆及机电设备，可能会被运行的车辆及机电设备撞伤的风险。</w:t>
      </w:r>
    </w:p>
    <w:p w14:paraId="38E71D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管控措施：测尘时要规范人员站位，时刻注意运行的车辆及机电设备。</w:t>
      </w:r>
    </w:p>
    <w:p w14:paraId="306BCB8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、粉尘检测前安全检查</w:t>
      </w:r>
    </w:p>
    <w:p w14:paraId="23B35E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1.顶帮</w:t>
      </w:r>
    </w:p>
    <w:p w14:paraId="0A218B1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检查测尘地点顶帮是否完好，严禁站在有片帮冒顶危险的地点测尘。</w:t>
      </w:r>
    </w:p>
    <w:p w14:paraId="52E954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2.机械设备运行</w:t>
      </w:r>
    </w:p>
    <w:p w14:paraId="33D2B2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检查测尘地点有无车辆及机械设备运行，测尘时应避开车辆及机械设备运行。</w:t>
      </w:r>
    </w:p>
    <w:p w14:paraId="6F6357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3.站位、后退路</w:t>
      </w:r>
    </w:p>
    <w:p w14:paraId="482C46A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检查站位是否安全，避开片帮冒顶、车辆及机械运行等伤害危险。并保证后退路畅通。</w:t>
      </w:r>
    </w:p>
    <w:p w14:paraId="6C4327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4.持证</w:t>
      </w:r>
    </w:p>
    <w:p w14:paraId="1F843F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测尘工必须经资质机构培训，取得操作资格证书后，持证上岗。</w:t>
      </w:r>
    </w:p>
    <w:p w14:paraId="5427FAA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 xml:space="preserve">、操作过程中注意事项 </w:t>
      </w:r>
    </w:p>
    <w:p w14:paraId="41499A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（一）</w:t>
      </w:r>
      <w:r>
        <w:rPr>
          <w:rFonts w:hint="eastAsia" w:ascii="仿宋" w:hAnsi="仿宋" w:eastAsia="仿宋" w:cs="仿宋"/>
          <w:b/>
          <w:color w:val="auto"/>
          <w:sz w:val="28"/>
          <w:szCs w:val="28"/>
          <w:highlight w:val="none"/>
        </w:rPr>
        <w:t>必须掌握的条款</w:t>
      </w:r>
    </w:p>
    <w:p w14:paraId="5DDF0C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碰撞</w:t>
      </w:r>
    </w:p>
    <w:p w14:paraId="73E84B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仪器随身携带，严禁碰撞、挤压。</w:t>
      </w:r>
    </w:p>
    <w:p w14:paraId="58A223E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测尘位置</w:t>
      </w:r>
    </w:p>
    <w:p w14:paraId="44DD6D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采样地点设在回风侧；采样高度，在人的呼吸带高度，一般为1.5m左右。</w:t>
      </w:r>
    </w:p>
    <w:p w14:paraId="2E8A315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开始时间</w:t>
      </w:r>
    </w:p>
    <w:p w14:paraId="74EE8F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连续性产尘作业，在生产达到正常状态5min后采样；间断性产尘作业，在工人作业时采样。</w:t>
      </w:r>
    </w:p>
    <w:p w14:paraId="1B881DC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采样口迎风</w:t>
      </w:r>
    </w:p>
    <w:p w14:paraId="2E87CC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测尘时仪器的采样口必须迎向风流。</w:t>
      </w:r>
    </w:p>
    <w:p w14:paraId="6024F94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流量</w:t>
      </w:r>
    </w:p>
    <w:p w14:paraId="4891DA9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采样流量(一般15～30L／min)，无漏气。</w:t>
      </w:r>
    </w:p>
    <w:p w14:paraId="7E9874E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记录</w:t>
      </w:r>
    </w:p>
    <w:p w14:paraId="40C2727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记录采样地点、时间、样号、流量、作业工艺。</w:t>
      </w:r>
    </w:p>
    <w:p w14:paraId="24063A5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滤膜放置</w:t>
      </w:r>
    </w:p>
    <w:p w14:paraId="026527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采样后，滤膜迅速放入采样盒内。要求受尘面向上、不要摇晃振动。</w:t>
      </w:r>
    </w:p>
    <w:p w14:paraId="645B7A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滤膜作废</w:t>
      </w:r>
    </w:p>
    <w:p w14:paraId="4F6485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若采样后的滤膜被污染或粉尘失落应作废、重新采样。</w:t>
      </w:r>
    </w:p>
    <w:p w14:paraId="7C3FB83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（二）全部条款</w:t>
      </w:r>
    </w:p>
    <w:p w14:paraId="07E59C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根据测尘地点和采样数量准备好使用的仪器、仪表、工具、附件、记录本。</w:t>
      </w:r>
    </w:p>
    <w:p w14:paraId="271499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检查测尘仪器是否完好，做到外表清洁、附件齐全、电键、旋转按钮灵敏可靠、蓄电池的电压、电量符合要求。</w:t>
      </w:r>
    </w:p>
    <w:p w14:paraId="426C661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使用粉尘采样器测尘时，要事先对滤膜称重、编号、记录滤膜重量，再放入滤膜盒内，要求滤膜不得有褶皱，滤膜盒盖要拧紧，并置于干燥器内。</w:t>
      </w:r>
    </w:p>
    <w:p w14:paraId="6580F6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仪器、仪表要随身携带，严禁碰撞、挤压，不得让他人代拿或摆弄。</w:t>
      </w:r>
    </w:p>
    <w:p w14:paraId="3ECCE5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选择测尘位置时应注意以下问题</w:t>
      </w:r>
    </w:p>
    <w:p w14:paraId="0B3CB1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★（1）采样地点设在回风侧。</w:t>
      </w:r>
    </w:p>
    <w:p w14:paraId="245C1C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★（2）采样高度，在人的呼吸带高度，一般为1.5m左右。</w:t>
      </w:r>
    </w:p>
    <w:p w14:paraId="72F3B2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（3）在掘进工作面采样时，应在巷道未安装风筒的一侧距装岩(煤)、打眼或喷浆等地点</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m处进行。</w:t>
      </w:r>
    </w:p>
    <w:p w14:paraId="629F5B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（4）在机械化采煤工作面采样时，应在采煤机回风侧、距采煤机10～15m处进行。</w:t>
      </w:r>
    </w:p>
    <w:p w14:paraId="54FDC0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（5）采煤工作面多工序同时作业时，应在回风巷、距工作面回风口10～15m处采样。</w:t>
      </w:r>
    </w:p>
    <w:p w14:paraId="106E8E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（6）在转载点采样时，应在其回风侧距转载点</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rPr>
        <w:t>处进行。</w:t>
      </w:r>
    </w:p>
    <w:p w14:paraId="43F890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（7）在其它产尘场所采样时，在不妨碍工人操作的条件下，采样地点应尽量靠近工人作业的呼吸带。</w:t>
      </w:r>
    </w:p>
    <w:p w14:paraId="22BE28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对测尘开始时间的要求</w:t>
      </w:r>
    </w:p>
    <w:p w14:paraId="52B492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（1）对于连续性产尘作业，应在生产达到正常状态5min后再进行采样。</w:t>
      </w:r>
    </w:p>
    <w:p w14:paraId="4E99D8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（2）对于间断性产尘作业，应在工人作业时采样。</w:t>
      </w:r>
    </w:p>
    <w:p w14:paraId="5AB124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测尘时仪器的采样口必须迎向风流。</w:t>
      </w:r>
    </w:p>
    <w:p w14:paraId="6C4BFF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采样时首先调节好粉尘采样器所需流量(一般15～30L／min)，并检查保证无漏气，然后取出准备好的滤膜夹，固定在采样器上。</w:t>
      </w:r>
    </w:p>
    <w:p w14:paraId="5C10F9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采样中应注意保持流速稳定，要详细记录采样地点、作业工艺、样号、流速及防尘措施等，同时记下采样时间。</w:t>
      </w:r>
    </w:p>
    <w:p w14:paraId="18423F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采样后，将滤膜固定圈取出，迅速放入采样盒内。要求受尘面向上、不要摇晃振动，然后带回实验室称重、分析。</w:t>
      </w:r>
    </w:p>
    <w:p w14:paraId="0793B1A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在实验室，将滤膜放在干燥器内干燥1小时，然后称重；如采样现场有水雾或发现滤膜表面湿度过大时，要先将滤膜放在60～65℃的烘干箱内烘干2小时，然后再放入干燥器内干燥30min，最后再将其置于分析天平上称重1次，直至恒重为止，应记录所称重量。</w:t>
      </w:r>
    </w:p>
    <w:p w14:paraId="40B4E0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测尘地点粉尘浓度按下式计算：</w:t>
      </w:r>
    </w:p>
    <w:p w14:paraId="3C9853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C=(W2-W1)×1000／QT</w:t>
      </w:r>
    </w:p>
    <w:p w14:paraId="133158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式中：C---空气中粉尘浓度，mg／m</w:t>
      </w:r>
      <w:r>
        <w:rPr>
          <w:rFonts w:hint="eastAsia" w:ascii="仿宋" w:hAnsi="仿宋" w:eastAsia="仿宋" w:cs="仿宋"/>
          <w:color w:val="auto"/>
          <w:sz w:val="28"/>
          <w:szCs w:val="28"/>
          <w:highlight w:val="none"/>
          <w:vertAlign w:val="superscript"/>
        </w:rPr>
        <w:t>3</w:t>
      </w:r>
    </w:p>
    <w:p w14:paraId="6F6B6E1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W2---采样后滤膜的重量，mg</w:t>
      </w:r>
    </w:p>
    <w:p w14:paraId="0BA6073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W1---采样前滤膜的重量，mg</w:t>
      </w:r>
    </w:p>
    <w:p w14:paraId="67F6A4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Q---采样时流量，L／min</w:t>
      </w:r>
    </w:p>
    <w:p w14:paraId="7536D5C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T---采样持续时间，min</w:t>
      </w:r>
    </w:p>
    <w:p w14:paraId="22F858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两个平行样品的粉尘浓度偏差率不超过20%时，为有效样品，并取两者平均值作为采样地点的粉尘浓度。</w:t>
      </w:r>
    </w:p>
    <w:p w14:paraId="37747B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滤膜在采样前后的称重间隔时间尽量缩短，以免影响测定结果的准确性。</w:t>
      </w:r>
    </w:p>
    <w:p w14:paraId="7F72AC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使用粉尘采样器测尘时，若采样后的滤膜被污染或粉尘失落应作废、重新采样。由于滤膜不耐高温，因此在55℃以上的采样现场不宜采用。</w:t>
      </w:r>
    </w:p>
    <w:p w14:paraId="42BC48E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、操作完成后确认</w:t>
      </w:r>
    </w:p>
    <w:p w14:paraId="1468F9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1.测尘结果记录</w:t>
      </w:r>
    </w:p>
    <w:p w14:paraId="27E467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测尘结束后，及时记录测尘地点、编号、粉尘浓度，并确保数据齐全、准确。</w:t>
      </w:r>
    </w:p>
    <w:p w14:paraId="420583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2.粉尘超标处理</w:t>
      </w:r>
    </w:p>
    <w:p w14:paraId="52A047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sz w:val="28"/>
          <w:szCs w:val="28"/>
          <w:highlight w:val="none"/>
        </w:rPr>
        <w:t>粉尘超标时，</w:t>
      </w:r>
      <w:r>
        <w:rPr>
          <w:rFonts w:hint="eastAsia" w:ascii="仿宋" w:hAnsi="仿宋" w:eastAsia="仿宋" w:cs="仿宋"/>
          <w:color w:val="auto"/>
          <w:kern w:val="0"/>
          <w:sz w:val="28"/>
          <w:szCs w:val="28"/>
          <w:highlight w:val="none"/>
        </w:rPr>
        <w:t>汇报通防部门，采取措施，进行处理。</w:t>
      </w:r>
    </w:p>
    <w:p w14:paraId="555FB880">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七、单元检测表确认</w:t>
      </w:r>
    </w:p>
    <w:p w14:paraId="2D74E64E">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8"/>
          <w:szCs w:val="28"/>
          <w:highlight w:val="none"/>
          <w:lang w:val="en-US" w:eastAsia="zh-CN"/>
        </w:rPr>
        <w:t>1.</w:t>
      </w:r>
      <w:r>
        <w:rPr>
          <w:rFonts w:hint="eastAsia" w:ascii="仿宋" w:hAnsi="仿宋" w:eastAsia="仿宋" w:cs="仿宋"/>
          <w:b w:val="0"/>
          <w:bCs/>
          <w:color w:val="auto"/>
          <w:kern w:val="2"/>
          <w:sz w:val="28"/>
          <w:szCs w:val="28"/>
          <w:highlight w:val="none"/>
          <w:lang w:val="en-US" w:eastAsia="zh-CN" w:bidi="ar-SA"/>
        </w:rPr>
        <w:t>现场确认测尘地点</w:t>
      </w:r>
      <w:r>
        <w:rPr>
          <w:rFonts w:hint="eastAsia" w:ascii="仿宋" w:hAnsi="仿宋" w:eastAsia="仿宋" w:cs="仿宋"/>
          <w:color w:val="auto"/>
          <w:sz w:val="28"/>
          <w:szCs w:val="28"/>
          <w:highlight w:val="none"/>
        </w:rPr>
        <w:t>和采样数量</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准备好使用的仪器、仪表、工具、附件、记录本。</w:t>
      </w:r>
    </w:p>
    <w:p w14:paraId="38086758">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.现场确认</w:t>
      </w:r>
      <w:r>
        <w:rPr>
          <w:rFonts w:hint="eastAsia" w:ascii="仿宋" w:hAnsi="仿宋" w:eastAsia="仿宋" w:cs="仿宋"/>
          <w:color w:val="auto"/>
          <w:sz w:val="28"/>
          <w:szCs w:val="28"/>
          <w:highlight w:val="none"/>
        </w:rPr>
        <w:t>测尘仪器完好，外表清洁、附件齐全、电键、旋转按钮灵敏可靠、蓄电池的电压、电量符合要求</w:t>
      </w:r>
      <w:r>
        <w:rPr>
          <w:rFonts w:hint="eastAsia" w:ascii="仿宋" w:hAnsi="仿宋" w:eastAsia="仿宋" w:cs="仿宋"/>
          <w:color w:val="auto"/>
          <w:sz w:val="28"/>
          <w:szCs w:val="28"/>
          <w:highlight w:val="none"/>
          <w:lang w:eastAsia="zh-CN"/>
        </w:rPr>
        <w:t>。</w:t>
      </w:r>
    </w:p>
    <w:p w14:paraId="1459CE4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color w:val="auto"/>
          <w:sz w:val="28"/>
          <w:szCs w:val="28"/>
          <w:highlight w:val="none"/>
          <w:lang w:val="en-US" w:eastAsia="zh-CN"/>
        </w:rPr>
        <w:t>现场确认</w:t>
      </w:r>
      <w:r>
        <w:rPr>
          <w:rFonts w:hint="eastAsia" w:ascii="仿宋" w:hAnsi="仿宋" w:eastAsia="仿宋" w:cs="仿宋"/>
          <w:color w:val="auto"/>
          <w:sz w:val="28"/>
          <w:szCs w:val="28"/>
          <w:highlight w:val="none"/>
        </w:rPr>
        <w:t>测尘地点顶帮完好，</w:t>
      </w:r>
      <w:r>
        <w:rPr>
          <w:rFonts w:hint="eastAsia" w:ascii="仿宋" w:hAnsi="仿宋" w:eastAsia="仿宋" w:cs="仿宋"/>
          <w:color w:val="auto"/>
          <w:sz w:val="28"/>
          <w:szCs w:val="28"/>
          <w:highlight w:val="none"/>
          <w:lang w:val="en-US" w:eastAsia="zh-CN"/>
        </w:rPr>
        <w:t>做到不</w:t>
      </w:r>
      <w:r>
        <w:rPr>
          <w:rFonts w:hint="eastAsia" w:ascii="仿宋" w:hAnsi="仿宋" w:eastAsia="仿宋" w:cs="仿宋"/>
          <w:color w:val="auto"/>
          <w:sz w:val="28"/>
          <w:szCs w:val="28"/>
          <w:highlight w:val="none"/>
        </w:rPr>
        <w:t>站在有片帮冒顶危险的地点测尘。</w:t>
      </w:r>
    </w:p>
    <w:p w14:paraId="146AF5F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、本工种案例教育</w:t>
      </w:r>
    </w:p>
    <w:p w14:paraId="43C1C5A2">
      <w:pPr>
        <w:pStyle w:val="5"/>
        <w:keepNext w:val="0"/>
        <w:keepLines w:val="0"/>
        <w:pageBreakBefore w:val="0"/>
        <w:widowControl w:val="0"/>
        <w:kinsoku/>
        <w:wordWrap/>
        <w:overflowPunct/>
        <w:topLinePunct w:val="0"/>
        <w:autoSpaceDE/>
        <w:autoSpaceDN/>
        <w:bidi w:val="0"/>
        <w:adjustRightInd/>
        <w:snapToGrid/>
        <w:spacing w:after="0" w:afterLines="0"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案例一：站位不当进行测尘，造成煤炭砸伤事故</w:t>
      </w:r>
    </w:p>
    <w:p w14:paraId="01BD35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2009</w:t>
      </w:r>
      <w:r>
        <w:rPr>
          <w:rFonts w:hint="eastAsia" w:ascii="仿宋" w:hAnsi="仿宋" w:eastAsia="仿宋" w:cs="仿宋"/>
          <w:color w:val="auto"/>
          <w:sz w:val="28"/>
          <w:szCs w:val="28"/>
          <w:highlight w:val="none"/>
        </w:rPr>
        <w:t>年</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月</w:t>
      </w:r>
      <w:r>
        <w:rPr>
          <w:rFonts w:hint="eastAsia" w:ascii="仿宋" w:hAnsi="仿宋" w:eastAsia="仿宋" w:cs="仿宋"/>
          <w:color w:val="auto"/>
          <w:sz w:val="28"/>
          <w:szCs w:val="28"/>
          <w:highlight w:val="none"/>
          <w:lang w:val="en-US" w:eastAsia="zh-CN"/>
        </w:rPr>
        <w:t>11</w:t>
      </w:r>
      <w:r>
        <w:rPr>
          <w:rFonts w:hint="eastAsia" w:ascii="仿宋" w:hAnsi="仿宋" w:eastAsia="仿宋" w:cs="仿宋"/>
          <w:color w:val="auto"/>
          <w:sz w:val="28"/>
          <w:szCs w:val="28"/>
          <w:highlight w:val="none"/>
        </w:rPr>
        <w:t>日，某矿通防工区测尘工</w:t>
      </w:r>
      <w:r>
        <w:rPr>
          <w:rFonts w:hint="eastAsia" w:ascii="仿宋" w:hAnsi="仿宋" w:eastAsia="仿宋" w:cs="仿宋"/>
          <w:color w:val="auto"/>
          <w:sz w:val="28"/>
          <w:szCs w:val="28"/>
          <w:highlight w:val="none"/>
          <w:lang w:val="en-US" w:eastAsia="zh-CN"/>
        </w:rPr>
        <w:t>张</w:t>
      </w:r>
      <w:r>
        <w:rPr>
          <w:rFonts w:hint="eastAsia" w:ascii="仿宋" w:hAnsi="仿宋" w:eastAsia="仿宋" w:cs="仿宋"/>
          <w:color w:val="auto"/>
          <w:sz w:val="28"/>
          <w:szCs w:val="28"/>
          <w:highlight w:val="none"/>
        </w:rPr>
        <w:t>某在</w:t>
      </w:r>
      <w:r>
        <w:rPr>
          <w:rFonts w:hint="eastAsia" w:ascii="仿宋" w:hAnsi="仿宋" w:eastAsia="仿宋" w:cs="仿宋"/>
          <w:color w:val="auto"/>
          <w:sz w:val="28"/>
          <w:szCs w:val="28"/>
          <w:highlight w:val="none"/>
          <w:lang w:val="en-US" w:eastAsia="zh-CN"/>
        </w:rPr>
        <w:t>井下2313</w:t>
      </w:r>
      <w:r>
        <w:rPr>
          <w:rFonts w:hint="eastAsia" w:ascii="仿宋" w:hAnsi="仿宋" w:eastAsia="仿宋" w:cs="仿宋"/>
          <w:color w:val="auto"/>
          <w:sz w:val="28"/>
          <w:szCs w:val="28"/>
          <w:highlight w:val="none"/>
        </w:rPr>
        <w:t>工作面测尘时为了获得较为准确的测尘效果，在没有观察工作面</w:t>
      </w:r>
      <w:r>
        <w:rPr>
          <w:rFonts w:hint="eastAsia" w:ascii="仿宋" w:hAnsi="仿宋" w:eastAsia="仿宋" w:cs="仿宋"/>
          <w:color w:val="auto"/>
          <w:sz w:val="28"/>
          <w:szCs w:val="28"/>
          <w:highlight w:val="none"/>
          <w:lang w:val="en-US" w:eastAsia="zh-CN"/>
        </w:rPr>
        <w:t>支柱</w:t>
      </w:r>
      <w:r>
        <w:rPr>
          <w:rFonts w:hint="eastAsia" w:ascii="仿宋" w:hAnsi="仿宋" w:eastAsia="仿宋" w:cs="仿宋"/>
          <w:color w:val="auto"/>
          <w:sz w:val="28"/>
          <w:szCs w:val="28"/>
          <w:highlight w:val="none"/>
        </w:rPr>
        <w:t>是否安全的情况下</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便进入工作面的</w:t>
      </w:r>
      <w:r>
        <w:rPr>
          <w:rFonts w:hint="eastAsia" w:ascii="仿宋" w:hAnsi="仿宋" w:eastAsia="仿宋" w:cs="仿宋"/>
          <w:color w:val="auto"/>
          <w:sz w:val="28"/>
          <w:szCs w:val="28"/>
          <w:highlight w:val="none"/>
          <w:lang w:val="en-US" w:eastAsia="zh-CN"/>
        </w:rPr>
        <w:t>支柱处</w:t>
      </w:r>
      <w:r>
        <w:rPr>
          <w:rFonts w:hint="eastAsia" w:ascii="仿宋" w:hAnsi="仿宋" w:eastAsia="仿宋" w:cs="仿宋"/>
          <w:color w:val="auto"/>
          <w:sz w:val="28"/>
          <w:szCs w:val="28"/>
          <w:highlight w:val="none"/>
        </w:rPr>
        <w:t>进行测尘工作，由于工作面</w:t>
      </w:r>
      <w:r>
        <w:rPr>
          <w:rFonts w:hint="eastAsia" w:ascii="仿宋" w:hAnsi="仿宋" w:eastAsia="仿宋" w:cs="仿宋"/>
          <w:color w:val="auto"/>
          <w:sz w:val="28"/>
          <w:szCs w:val="28"/>
          <w:highlight w:val="none"/>
          <w:lang w:val="en-US" w:eastAsia="zh-CN"/>
        </w:rPr>
        <w:t>顶板压力大</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支护不完好，支柱歪倒后砸到测尘工张某的左肩上</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险些酿成重大事故发生</w:t>
      </w:r>
      <w:r>
        <w:rPr>
          <w:rFonts w:hint="eastAsia" w:ascii="仿宋" w:hAnsi="仿宋" w:eastAsia="仿宋" w:cs="仿宋"/>
          <w:color w:val="auto"/>
          <w:sz w:val="28"/>
          <w:szCs w:val="28"/>
          <w:highlight w:val="none"/>
        </w:rPr>
        <w:t>。</w:t>
      </w:r>
    </w:p>
    <w:p w14:paraId="15CE2CE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事故主要原因：</w:t>
      </w:r>
    </w:p>
    <w:p w14:paraId="4FBE76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.测尘人员安全意识淡薄，测尘前没有检查工作面现场支柱支设是否牢固，现场隐患没有排除彻底。</w:t>
      </w:r>
    </w:p>
    <w:p w14:paraId="34760D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.测尘作业人员互保意识差，没有对现场存在的安全隐患进行及时的排除，员工间相互没有提醒安全注意事项</w:t>
      </w:r>
      <w:r>
        <w:rPr>
          <w:rFonts w:hint="eastAsia" w:ascii="仿宋" w:hAnsi="仿宋" w:eastAsia="仿宋" w:cs="仿宋"/>
          <w:color w:val="auto"/>
          <w:sz w:val="28"/>
          <w:szCs w:val="28"/>
          <w:highlight w:val="none"/>
        </w:rPr>
        <w:t>。</w:t>
      </w:r>
    </w:p>
    <w:p w14:paraId="791E0A6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防范措施：</w:t>
      </w:r>
    </w:p>
    <w:p w14:paraId="307594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.加强对工作人员的安全意识教育，强化规程措施的学习，严格按照作业规程进行施工。</w:t>
      </w:r>
    </w:p>
    <w:p w14:paraId="1A7CD7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.加强现场的跟班安全管理，做到一人操作一人监护，强化互保意识</w:t>
      </w:r>
      <w:r>
        <w:rPr>
          <w:rFonts w:hint="eastAsia" w:ascii="仿宋" w:hAnsi="仿宋" w:eastAsia="仿宋" w:cs="仿宋"/>
          <w:color w:val="auto"/>
          <w:sz w:val="28"/>
          <w:szCs w:val="28"/>
          <w:highlight w:val="none"/>
        </w:rPr>
        <w:t>。</w:t>
      </w:r>
    </w:p>
    <w:p w14:paraId="6F3B45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3.加强现场的隐患排查治理力度，工作前先对现场的隐患进行排查，做到不安全不生产。</w:t>
      </w:r>
    </w:p>
    <w:p w14:paraId="4415F421">
      <w:pPr>
        <w:pStyle w:val="5"/>
        <w:keepNext w:val="0"/>
        <w:keepLines w:val="0"/>
        <w:pageBreakBefore w:val="0"/>
        <w:widowControl w:val="0"/>
        <w:kinsoku/>
        <w:wordWrap/>
        <w:overflowPunct/>
        <w:topLinePunct w:val="0"/>
        <w:autoSpaceDE/>
        <w:autoSpaceDN/>
        <w:bidi w:val="0"/>
        <w:adjustRightInd/>
        <w:snapToGrid/>
        <w:spacing w:after="0" w:afterLines="0"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案例二：大量浮尘堆积，造成煤尘爆炸事故</w:t>
      </w:r>
    </w:p>
    <w:p w14:paraId="14402B7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2006</w:t>
      </w:r>
      <w:r>
        <w:rPr>
          <w:rFonts w:hint="eastAsia" w:ascii="仿宋" w:hAnsi="仿宋" w:eastAsia="仿宋" w:cs="仿宋"/>
          <w:color w:val="auto"/>
          <w:sz w:val="28"/>
          <w:szCs w:val="28"/>
          <w:highlight w:val="none"/>
        </w:rPr>
        <w:t>年</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月</w:t>
      </w:r>
      <w:r>
        <w:rPr>
          <w:rFonts w:hint="eastAsia" w:ascii="仿宋" w:hAnsi="仿宋" w:eastAsia="仿宋" w:cs="仿宋"/>
          <w:color w:val="auto"/>
          <w:sz w:val="28"/>
          <w:szCs w:val="28"/>
          <w:highlight w:val="none"/>
          <w:lang w:val="en-US" w:eastAsia="zh-CN"/>
        </w:rPr>
        <w:t>27日</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枣庄联创实业有限公司16108采煤工作面发生一起特大煤尘爆炸事故，共造成18人死亡。直接经济损失459.4万元</w:t>
      </w:r>
      <w:r>
        <w:rPr>
          <w:rFonts w:hint="eastAsia" w:ascii="仿宋" w:hAnsi="仿宋" w:eastAsia="仿宋" w:cs="仿宋"/>
          <w:color w:val="auto"/>
          <w:sz w:val="28"/>
          <w:szCs w:val="28"/>
          <w:highlight w:val="none"/>
        </w:rPr>
        <w:t>。</w:t>
      </w:r>
    </w:p>
    <w:p w14:paraId="0959528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事故主要原因：</w:t>
      </w:r>
    </w:p>
    <w:p w14:paraId="207A55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煤矿不按规定采取防尘措施，井下生产运输过程中大量煤尘飞扬致使井下维修硐室的煤尘达到爆炸浓度。</w:t>
      </w:r>
    </w:p>
    <w:p w14:paraId="2D6A1D7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16108工作面上面断层带底板岩石时，违章放炮和因断层裂隙增多造成乳化炸药爆炸过程中产生的火焰，引爆工作面扬起的煤尘，导致煤尘爆炸</w:t>
      </w:r>
      <w:r>
        <w:rPr>
          <w:rFonts w:hint="eastAsia" w:ascii="仿宋" w:hAnsi="仿宋" w:eastAsia="仿宋" w:cs="仿宋"/>
          <w:color w:val="auto"/>
          <w:sz w:val="28"/>
          <w:szCs w:val="28"/>
          <w:highlight w:val="none"/>
        </w:rPr>
        <w:t>。</w:t>
      </w:r>
    </w:p>
    <w:p w14:paraId="29A495CE">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防范措施：</w:t>
      </w:r>
    </w:p>
    <w:p w14:paraId="6A1279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严格执行湿式打眼、放炮前后洒水等综合防尘措施，保证防尘设施的正常使用</w:t>
      </w:r>
      <w:r>
        <w:rPr>
          <w:rFonts w:hint="eastAsia" w:ascii="仿宋" w:hAnsi="仿宋" w:eastAsia="仿宋" w:cs="仿宋"/>
          <w:color w:val="auto"/>
          <w:sz w:val="28"/>
          <w:szCs w:val="28"/>
          <w:highlight w:val="none"/>
        </w:rPr>
        <w:t>；</w:t>
      </w:r>
    </w:p>
    <w:p w14:paraId="174F45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建立完善矿井防尘系统，及时清除浮煤，杜绝煤尘积聚；</w:t>
      </w:r>
    </w:p>
    <w:p w14:paraId="5CA647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.严禁放眀炮、糊炮等违章放炮行为</w:t>
      </w:r>
      <w:r>
        <w:rPr>
          <w:rFonts w:hint="eastAsia" w:ascii="仿宋" w:hAnsi="仿宋" w:eastAsia="仿宋" w:cs="仿宋"/>
          <w:color w:val="auto"/>
          <w:sz w:val="28"/>
          <w:szCs w:val="28"/>
          <w:highlight w:val="none"/>
          <w:lang w:eastAsia="zh-CN"/>
        </w:rPr>
        <w:t>；</w:t>
      </w:r>
    </w:p>
    <w:p w14:paraId="167738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4.矿井必须加强放炮管理工作，严格执行“一炮三检”、“三人连锁放炮制度”。</w:t>
      </w:r>
    </w:p>
    <w:p w14:paraId="158BD76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、常见三违</w:t>
      </w:r>
    </w:p>
    <w:p w14:paraId="05E81CC1">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未经培训取得安全技术工种操作资格证，未持证上岗</w:t>
      </w:r>
      <w:r>
        <w:rPr>
          <w:rFonts w:hint="eastAsia" w:ascii="仿宋" w:hAnsi="仿宋" w:eastAsia="仿宋" w:cs="仿宋"/>
          <w:color w:val="auto"/>
          <w:sz w:val="28"/>
          <w:szCs w:val="28"/>
          <w:highlight w:val="none"/>
          <w:lang w:eastAsia="zh-CN"/>
        </w:rPr>
        <w:t>；</w:t>
      </w:r>
    </w:p>
    <w:p w14:paraId="7FE9716D">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不按规定测定粉尘、漏测、假测</w:t>
      </w:r>
      <w:r>
        <w:rPr>
          <w:rFonts w:hint="eastAsia" w:ascii="仿宋" w:hAnsi="仿宋" w:eastAsia="仿宋" w:cs="仿宋"/>
          <w:color w:val="auto"/>
          <w:sz w:val="28"/>
          <w:szCs w:val="28"/>
          <w:highlight w:val="none"/>
          <w:lang w:eastAsia="zh-CN"/>
        </w:rPr>
        <w:t>；</w:t>
      </w:r>
    </w:p>
    <w:p w14:paraId="0EE71A90">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粉尘测定设备没有定期送有资质的检测部门进行强检标校</w:t>
      </w:r>
      <w:r>
        <w:rPr>
          <w:rFonts w:hint="eastAsia" w:ascii="仿宋" w:hAnsi="仿宋" w:eastAsia="仿宋" w:cs="仿宋"/>
          <w:color w:val="auto"/>
          <w:sz w:val="28"/>
          <w:szCs w:val="28"/>
          <w:highlight w:val="none"/>
          <w:lang w:eastAsia="zh-CN"/>
        </w:rPr>
        <w:t>；</w:t>
      </w:r>
    </w:p>
    <w:p w14:paraId="5766BF5A">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粉尘中游离二氧化硅含量、粉尘分散度、个体粉尘浓度送检不及时</w:t>
      </w:r>
      <w:r>
        <w:rPr>
          <w:rFonts w:hint="eastAsia" w:ascii="仿宋" w:hAnsi="仿宋" w:eastAsia="仿宋" w:cs="仿宋"/>
          <w:color w:val="auto"/>
          <w:sz w:val="28"/>
          <w:szCs w:val="28"/>
          <w:highlight w:val="none"/>
          <w:lang w:eastAsia="zh-CN"/>
        </w:rPr>
        <w:t>；</w:t>
      </w:r>
    </w:p>
    <w:p w14:paraId="576DA459">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粉尘检测周期、次数不符合规定</w:t>
      </w:r>
      <w:r>
        <w:rPr>
          <w:rFonts w:hint="eastAsia" w:ascii="仿宋" w:hAnsi="仿宋" w:eastAsia="仿宋" w:cs="仿宋"/>
          <w:color w:val="auto"/>
          <w:sz w:val="28"/>
          <w:szCs w:val="28"/>
          <w:highlight w:val="none"/>
          <w:lang w:eastAsia="zh-CN"/>
        </w:rPr>
        <w:t>；</w:t>
      </w:r>
    </w:p>
    <w:p w14:paraId="62B8636F">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随意乱扔乱放或破坏粉尘测定设备</w:t>
      </w:r>
      <w:r>
        <w:rPr>
          <w:rFonts w:hint="eastAsia" w:ascii="仿宋" w:hAnsi="仿宋" w:eastAsia="仿宋" w:cs="仿宋"/>
          <w:color w:val="auto"/>
          <w:sz w:val="28"/>
          <w:szCs w:val="28"/>
          <w:highlight w:val="none"/>
          <w:lang w:eastAsia="zh-CN"/>
        </w:rPr>
        <w:t>；</w:t>
      </w:r>
    </w:p>
    <w:p w14:paraId="111AEAB2">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测尘记录填写不清</w:t>
      </w:r>
      <w:r>
        <w:rPr>
          <w:rFonts w:hint="eastAsia" w:ascii="仿宋" w:hAnsi="仿宋" w:eastAsia="仿宋" w:cs="仿宋"/>
          <w:color w:val="auto"/>
          <w:sz w:val="28"/>
          <w:szCs w:val="28"/>
          <w:highlight w:val="none"/>
          <w:lang w:eastAsia="zh-CN"/>
        </w:rPr>
        <w:t>；</w:t>
      </w:r>
    </w:p>
    <w:p w14:paraId="398C9F9B">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粉尘检测地点不符合规定。</w:t>
      </w:r>
    </w:p>
    <w:p w14:paraId="7DC60FF1">
      <w:pPr>
        <w:rPr>
          <w:rFonts w:hint="eastAsia" w:ascii="仿宋" w:hAnsi="仿宋" w:eastAsia="仿宋" w:cs="仿宋"/>
          <w:b/>
          <w:bCs/>
          <w:color w:val="auto"/>
          <w:kern w:val="0"/>
          <w:sz w:val="36"/>
          <w:szCs w:val="36"/>
          <w:highlight w:val="none"/>
          <w:lang w:val="en-US" w:eastAsia="zh-CN"/>
        </w:rPr>
      </w:pPr>
      <w:bookmarkStart w:id="495" w:name="_Toc5640"/>
      <w:bookmarkStart w:id="496" w:name="_Toc20586"/>
      <w:bookmarkStart w:id="497" w:name="_Toc1712"/>
      <w:bookmarkStart w:id="498" w:name="_Toc16243"/>
      <w:bookmarkStart w:id="499" w:name="_Toc24784"/>
      <w:bookmarkStart w:id="500" w:name="_Toc29807"/>
      <w:bookmarkStart w:id="501" w:name="_Toc8036"/>
      <w:r>
        <w:rPr>
          <w:rFonts w:hint="eastAsia" w:ascii="仿宋" w:hAnsi="仿宋" w:eastAsia="仿宋" w:cs="仿宋"/>
          <w:b/>
          <w:bCs/>
          <w:color w:val="auto"/>
          <w:kern w:val="0"/>
          <w:sz w:val="36"/>
          <w:szCs w:val="36"/>
          <w:highlight w:val="none"/>
          <w:lang w:val="en-US" w:eastAsia="zh-CN"/>
        </w:rPr>
        <w:br w:type="page"/>
      </w:r>
    </w:p>
    <w:p w14:paraId="53193BD3">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1"/>
        <w:rPr>
          <w:rFonts w:hint="eastAsia" w:ascii="仿宋" w:hAnsi="仿宋" w:eastAsia="仿宋" w:cs="仿宋"/>
          <w:b/>
          <w:bCs/>
          <w:color w:val="auto"/>
          <w:kern w:val="0"/>
          <w:sz w:val="36"/>
          <w:szCs w:val="36"/>
          <w:highlight w:val="none"/>
          <w:lang w:val="en-US" w:eastAsia="zh-CN"/>
        </w:rPr>
      </w:pPr>
      <w:bookmarkStart w:id="502" w:name="_Toc13599"/>
      <w:r>
        <w:rPr>
          <w:rFonts w:hint="eastAsia" w:ascii="仿宋" w:hAnsi="仿宋" w:eastAsia="仿宋" w:cs="仿宋"/>
          <w:b/>
          <w:bCs/>
          <w:color w:val="auto"/>
          <w:kern w:val="0"/>
          <w:sz w:val="36"/>
          <w:szCs w:val="36"/>
          <w:highlight w:val="none"/>
          <w:lang w:val="en-US" w:eastAsia="zh-CN"/>
        </w:rPr>
        <w:t>测风工</w:t>
      </w:r>
      <w:bookmarkEnd w:id="495"/>
      <w:bookmarkEnd w:id="496"/>
      <w:bookmarkEnd w:id="497"/>
      <w:bookmarkEnd w:id="498"/>
      <w:bookmarkEnd w:id="499"/>
      <w:bookmarkEnd w:id="500"/>
      <w:bookmarkEnd w:id="501"/>
      <w:bookmarkEnd w:id="502"/>
    </w:p>
    <w:tbl>
      <w:tblPr>
        <w:tblStyle w:val="12"/>
        <w:tblW w:w="9240" w:type="dxa"/>
        <w:jc w:val="center"/>
        <w:tblLayout w:type="fixed"/>
        <w:tblCellMar>
          <w:top w:w="0" w:type="dxa"/>
          <w:left w:w="108" w:type="dxa"/>
          <w:bottom w:w="0" w:type="dxa"/>
          <w:right w:w="108" w:type="dxa"/>
        </w:tblCellMar>
      </w:tblPr>
      <w:tblGrid>
        <w:gridCol w:w="885"/>
        <w:gridCol w:w="143"/>
        <w:gridCol w:w="2888"/>
        <w:gridCol w:w="962"/>
        <w:gridCol w:w="4362"/>
      </w:tblGrid>
      <w:tr w14:paraId="1F6AB954">
        <w:tblPrEx>
          <w:tblCellMar>
            <w:top w:w="0" w:type="dxa"/>
            <w:left w:w="108" w:type="dxa"/>
            <w:bottom w:w="0" w:type="dxa"/>
            <w:right w:w="108" w:type="dxa"/>
          </w:tblCellMar>
        </w:tblPrEx>
        <w:trPr>
          <w:trHeight w:val="652" w:hRule="atLeast"/>
          <w:jc w:val="center"/>
        </w:trPr>
        <w:tc>
          <w:tcPr>
            <w:tcW w:w="9240" w:type="dxa"/>
            <w:gridSpan w:val="5"/>
            <w:tcBorders>
              <w:top w:val="single" w:color="auto" w:sz="4" w:space="0"/>
              <w:left w:val="single" w:color="auto" w:sz="4" w:space="0"/>
              <w:bottom w:val="single" w:color="auto" w:sz="4" w:space="0"/>
              <w:right w:val="single" w:color="auto" w:sz="4" w:space="0"/>
            </w:tcBorders>
            <w:vAlign w:val="center"/>
          </w:tcPr>
          <w:p w14:paraId="2C271212">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8"/>
                <w:szCs w:val="28"/>
              </w:rPr>
            </w:pPr>
            <w:r>
              <w:rPr>
                <w:rFonts w:hint="eastAsia" w:ascii="仿宋" w:hAnsi="仿宋" w:eastAsia="仿宋" w:cs="仿宋"/>
                <w:b w:val="0"/>
                <w:bCs/>
                <w:color w:val="auto"/>
                <w:kern w:val="0"/>
                <w:sz w:val="21"/>
                <w:szCs w:val="21"/>
              </w:rPr>
              <w:t>岗位风险告知卡</w:t>
            </w:r>
          </w:p>
        </w:tc>
      </w:tr>
      <w:tr w14:paraId="4B76F809">
        <w:tblPrEx>
          <w:tblCellMar>
            <w:top w:w="0" w:type="dxa"/>
            <w:left w:w="108" w:type="dxa"/>
            <w:bottom w:w="0" w:type="dxa"/>
            <w:right w:w="108" w:type="dxa"/>
          </w:tblCellMar>
        </w:tblPrEx>
        <w:trPr>
          <w:trHeight w:val="2013" w:hRule="atLeast"/>
          <w:jc w:val="center"/>
        </w:trPr>
        <w:tc>
          <w:tcPr>
            <w:tcW w:w="1028" w:type="dxa"/>
            <w:gridSpan w:val="2"/>
            <w:tcBorders>
              <w:top w:val="single" w:color="auto" w:sz="4" w:space="0"/>
              <w:left w:val="single" w:color="auto" w:sz="4" w:space="0"/>
              <w:bottom w:val="single" w:color="auto" w:sz="4" w:space="0"/>
              <w:right w:val="single" w:color="auto" w:sz="4" w:space="0"/>
            </w:tcBorders>
            <w:vAlign w:val="center"/>
          </w:tcPr>
          <w:p w14:paraId="2B269636">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7EE1925F">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88" w:type="dxa"/>
            <w:tcBorders>
              <w:top w:val="single" w:color="auto" w:sz="4" w:space="0"/>
              <w:left w:val="nil"/>
              <w:bottom w:val="single" w:color="auto" w:sz="4" w:space="0"/>
              <w:right w:val="single" w:color="auto" w:sz="4" w:space="0"/>
            </w:tcBorders>
            <w:vAlign w:val="center"/>
          </w:tcPr>
          <w:p w14:paraId="520577FA">
            <w:pPr>
              <w:keepNext w:val="0"/>
              <w:keepLines w:val="0"/>
              <w:pageBreakBefore w:val="0"/>
              <w:widowControl/>
              <w:suppressLineNumbers w:val="0"/>
              <w:kinsoku/>
              <w:wordWrap/>
              <w:overflowPunct/>
              <w:topLinePunct w:val="0"/>
              <w:autoSpaceDE/>
              <w:autoSpaceDN/>
              <w:bidi w:val="0"/>
              <w:adjustRightInd/>
              <w:spacing w:line="480" w:lineRule="auto"/>
              <w:jc w:val="both"/>
              <w:textAlignment w:val="center"/>
              <w:outlineLvl w:val="9"/>
              <w:rPr>
                <w:rFonts w:hint="eastAsia" w:ascii="仿宋" w:hAnsi="仿宋" w:eastAsia="仿宋" w:cs="仿宋"/>
                <w:i w:val="0"/>
                <w:iCs w:val="0"/>
                <w:color w:val="auto"/>
                <w:kern w:val="2"/>
                <w:sz w:val="21"/>
                <w:szCs w:val="21"/>
                <w:u w:val="none"/>
                <w:lang w:val="en-US" w:eastAsia="zh-CN" w:bidi="ar-SA"/>
              </w:rPr>
            </w:pPr>
            <w:r>
              <w:rPr>
                <w:rFonts w:hint="eastAsia" w:ascii="仿宋" w:hAnsi="仿宋" w:eastAsia="仿宋" w:cs="仿宋"/>
                <w:i w:val="0"/>
                <w:iCs w:val="0"/>
                <w:color w:val="auto"/>
                <w:kern w:val="0"/>
                <w:sz w:val="21"/>
                <w:szCs w:val="21"/>
                <w:u w:val="none"/>
                <w:lang w:val="en-US" w:eastAsia="zh-CN" w:bidi="ar"/>
              </w:rPr>
              <w:t>冒顶（片帮）、煤尘、职业病危害</w:t>
            </w:r>
          </w:p>
        </w:tc>
        <w:tc>
          <w:tcPr>
            <w:tcW w:w="962" w:type="dxa"/>
            <w:tcBorders>
              <w:top w:val="single" w:color="auto" w:sz="4" w:space="0"/>
              <w:left w:val="nil"/>
              <w:bottom w:val="single" w:color="auto" w:sz="4" w:space="0"/>
              <w:right w:val="single" w:color="auto" w:sz="4" w:space="0"/>
            </w:tcBorders>
            <w:vAlign w:val="center"/>
          </w:tcPr>
          <w:p w14:paraId="18C7B2F1">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72FB0DDC">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362" w:type="dxa"/>
            <w:tcBorders>
              <w:top w:val="single" w:color="auto" w:sz="4" w:space="0"/>
              <w:left w:val="nil"/>
              <w:bottom w:val="single" w:color="auto" w:sz="4" w:space="0"/>
              <w:right w:val="single" w:color="auto" w:sz="4" w:space="0"/>
            </w:tcBorders>
            <w:vAlign w:val="center"/>
          </w:tcPr>
          <w:p w14:paraId="2ADA34D1">
            <w:pPr>
              <w:keepNext w:val="0"/>
              <w:keepLines w:val="0"/>
              <w:pageBreakBefore w:val="0"/>
              <w:widowControl/>
              <w:kinsoku/>
              <w:wordWrap/>
              <w:overflowPunct/>
              <w:topLinePunct w:val="0"/>
              <w:autoSpaceDE/>
              <w:autoSpaceDN/>
              <w:bidi w:val="0"/>
              <w:adjustRightInd/>
              <w:spacing w:line="480" w:lineRule="auto"/>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8650342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4B782936">
        <w:tblPrEx>
          <w:tblCellMar>
            <w:top w:w="0" w:type="dxa"/>
            <w:left w:w="108" w:type="dxa"/>
            <w:bottom w:w="0" w:type="dxa"/>
            <w:right w:w="108" w:type="dxa"/>
          </w:tblCellMar>
        </w:tblPrEx>
        <w:trPr>
          <w:trHeight w:val="678"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14:paraId="19DF017A">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324" w:type="dxa"/>
            <w:gridSpan w:val="2"/>
            <w:tcBorders>
              <w:top w:val="single" w:color="auto" w:sz="4" w:space="0"/>
              <w:left w:val="nil"/>
              <w:bottom w:val="single" w:color="auto" w:sz="4" w:space="0"/>
              <w:right w:val="single" w:color="auto" w:sz="4" w:space="0"/>
            </w:tcBorders>
            <w:vAlign w:val="center"/>
          </w:tcPr>
          <w:p w14:paraId="1778CBB1">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308FE10B">
        <w:tblPrEx>
          <w:tblCellMar>
            <w:top w:w="0" w:type="dxa"/>
            <w:left w:w="108" w:type="dxa"/>
            <w:bottom w:w="0" w:type="dxa"/>
            <w:right w:w="108" w:type="dxa"/>
          </w:tblCellMar>
        </w:tblPrEx>
        <w:trPr>
          <w:trHeight w:val="1332"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14:paraId="505E8CEE">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1.未持证上岗；未佩戴个体防护；空顶作业。</w:t>
            </w:r>
          </w:p>
        </w:tc>
        <w:tc>
          <w:tcPr>
            <w:tcW w:w="5324" w:type="dxa"/>
            <w:gridSpan w:val="2"/>
            <w:tcBorders>
              <w:top w:val="single" w:color="auto" w:sz="4" w:space="0"/>
              <w:left w:val="nil"/>
              <w:bottom w:val="single" w:color="auto" w:sz="4" w:space="0"/>
              <w:right w:val="single" w:color="auto" w:sz="4" w:space="0"/>
            </w:tcBorders>
            <w:vAlign w:val="center"/>
          </w:tcPr>
          <w:p w14:paraId="28498B8C">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1.经培训合格后，持证上岗；佩戴好安全帽、口罩；检查好顶帮支护情况，确保顶帮支护合格后方可上岗作业。</w:t>
            </w:r>
          </w:p>
        </w:tc>
      </w:tr>
      <w:tr w14:paraId="307927D4">
        <w:tblPrEx>
          <w:tblCellMar>
            <w:top w:w="0" w:type="dxa"/>
            <w:left w:w="108" w:type="dxa"/>
            <w:bottom w:w="0" w:type="dxa"/>
            <w:right w:w="108" w:type="dxa"/>
          </w:tblCellMar>
        </w:tblPrEx>
        <w:trPr>
          <w:trHeight w:val="919"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14:paraId="116423EF">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2.下井前未带齐测风仪器；测风仪器不完好。</w:t>
            </w:r>
          </w:p>
        </w:tc>
        <w:tc>
          <w:tcPr>
            <w:tcW w:w="5324" w:type="dxa"/>
            <w:gridSpan w:val="2"/>
            <w:tcBorders>
              <w:top w:val="single" w:color="auto" w:sz="4" w:space="0"/>
              <w:left w:val="nil"/>
              <w:bottom w:val="single" w:color="auto" w:sz="4" w:space="0"/>
              <w:right w:val="single" w:color="auto" w:sz="4" w:space="0"/>
            </w:tcBorders>
            <w:vAlign w:val="center"/>
          </w:tcPr>
          <w:p w14:paraId="514B08F0">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2.下井前带齐并检查各类仪器是否完好正常。</w:t>
            </w:r>
          </w:p>
        </w:tc>
      </w:tr>
      <w:tr w14:paraId="7C95A51A">
        <w:tblPrEx>
          <w:tblCellMar>
            <w:top w:w="0" w:type="dxa"/>
            <w:left w:w="108" w:type="dxa"/>
            <w:bottom w:w="0" w:type="dxa"/>
            <w:right w:w="108" w:type="dxa"/>
          </w:tblCellMar>
        </w:tblPrEx>
        <w:trPr>
          <w:trHeight w:val="2246"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14:paraId="2C3361E2">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3.测风作业不正规。</w:t>
            </w:r>
          </w:p>
        </w:tc>
        <w:tc>
          <w:tcPr>
            <w:tcW w:w="5324" w:type="dxa"/>
            <w:gridSpan w:val="2"/>
            <w:tcBorders>
              <w:top w:val="single" w:color="auto" w:sz="4" w:space="0"/>
              <w:left w:val="nil"/>
              <w:bottom w:val="single" w:color="auto" w:sz="4" w:space="0"/>
              <w:right w:val="single" w:color="auto" w:sz="4" w:space="0"/>
            </w:tcBorders>
            <w:vAlign w:val="center"/>
          </w:tcPr>
          <w:p w14:paraId="00CC982C">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3.测风时不得有人员、车辆经过；根据所测地点的风速，选择合适的风表；选用风表移动路线：可以采用折线法、四线法、迂回法、12点法、标准线路等方法之一；当巷道风速低于0.3m/s时，可以采用烟雾法测定。</w:t>
            </w:r>
          </w:p>
        </w:tc>
      </w:tr>
      <w:tr w14:paraId="20909CC7">
        <w:tblPrEx>
          <w:tblCellMar>
            <w:top w:w="0" w:type="dxa"/>
            <w:left w:w="108" w:type="dxa"/>
            <w:bottom w:w="0" w:type="dxa"/>
            <w:right w:w="108" w:type="dxa"/>
          </w:tblCellMar>
        </w:tblPrEx>
        <w:trPr>
          <w:trHeight w:val="2246"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14:paraId="484538D4">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4.台账未及时记录；风速、气体浓度、温度不符合要求时未采取进一步措施。</w:t>
            </w:r>
          </w:p>
        </w:tc>
        <w:tc>
          <w:tcPr>
            <w:tcW w:w="5324" w:type="dxa"/>
            <w:gridSpan w:val="2"/>
            <w:tcBorders>
              <w:top w:val="single" w:color="auto" w:sz="4" w:space="0"/>
              <w:left w:val="nil"/>
              <w:bottom w:val="single" w:color="auto" w:sz="4" w:space="0"/>
              <w:right w:val="single" w:color="auto" w:sz="4" w:space="0"/>
            </w:tcBorders>
            <w:vAlign w:val="center"/>
          </w:tcPr>
          <w:p w14:paraId="15F7472B">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做好各类报表、台帐，做好上报工作；测风员发现风速、气体浓度、温度不符合《煤矿安全规程》时，要立即采取措施，查明原因，通知所涉及作业场所得作业人员，采取撤离等措施，并立即向矿井通防部门和调度室汇报。</w:t>
            </w:r>
          </w:p>
        </w:tc>
      </w:tr>
      <w:tr w14:paraId="66972AAE">
        <w:tblPrEx>
          <w:tblCellMar>
            <w:top w:w="0" w:type="dxa"/>
            <w:left w:w="108" w:type="dxa"/>
            <w:bottom w:w="0" w:type="dxa"/>
            <w:right w:w="108" w:type="dxa"/>
          </w:tblCellMar>
        </w:tblPrEx>
        <w:trPr>
          <w:trHeight w:val="1092" w:hRule="atLeast"/>
          <w:jc w:val="center"/>
        </w:trPr>
        <w:tc>
          <w:tcPr>
            <w:tcW w:w="885" w:type="dxa"/>
            <w:tcBorders>
              <w:top w:val="nil"/>
              <w:left w:val="single" w:color="auto" w:sz="4" w:space="0"/>
              <w:bottom w:val="single" w:color="auto" w:sz="4" w:space="0"/>
              <w:right w:val="single" w:color="auto" w:sz="4" w:space="0"/>
            </w:tcBorders>
            <w:vAlign w:val="center"/>
          </w:tcPr>
          <w:p w14:paraId="4B0E13D1">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7B1B837C">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55" w:type="dxa"/>
            <w:gridSpan w:val="4"/>
            <w:tcBorders>
              <w:top w:val="single" w:color="auto" w:sz="4" w:space="0"/>
              <w:left w:val="nil"/>
              <w:bottom w:val="single" w:color="auto" w:sz="4" w:space="0"/>
              <w:right w:val="single" w:color="auto" w:sz="4" w:space="0"/>
            </w:tcBorders>
            <w:vAlign w:val="center"/>
          </w:tcPr>
          <w:p w14:paraId="391A550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7FEA576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002DBCE4">
        <w:tblPrEx>
          <w:tblCellMar>
            <w:top w:w="0" w:type="dxa"/>
            <w:left w:w="108" w:type="dxa"/>
            <w:bottom w:w="0" w:type="dxa"/>
            <w:right w:w="108" w:type="dxa"/>
          </w:tblCellMar>
        </w:tblPrEx>
        <w:trPr>
          <w:trHeight w:val="1662" w:hRule="atLeast"/>
          <w:jc w:val="center"/>
        </w:trPr>
        <w:tc>
          <w:tcPr>
            <w:tcW w:w="885" w:type="dxa"/>
            <w:tcBorders>
              <w:top w:val="nil"/>
              <w:left w:val="single" w:color="auto" w:sz="4" w:space="0"/>
              <w:bottom w:val="single" w:color="auto" w:sz="4" w:space="0"/>
              <w:right w:val="single" w:color="auto" w:sz="4" w:space="0"/>
            </w:tcBorders>
            <w:vAlign w:val="center"/>
          </w:tcPr>
          <w:p w14:paraId="0DD7BAF0">
            <w:pPr>
              <w:keepNext w:val="0"/>
              <w:keepLines w:val="0"/>
              <w:pageBreakBefore w:val="0"/>
              <w:widowControl/>
              <w:kinsoku/>
              <w:wordWrap/>
              <w:overflowPunct/>
              <w:topLinePunct w:val="0"/>
              <w:autoSpaceDE/>
              <w:autoSpaceDN/>
              <w:bidi w:val="0"/>
              <w:adjustRightInd/>
              <w:spacing w:line="36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33AABB14">
            <w:pPr>
              <w:keepNext w:val="0"/>
              <w:keepLines w:val="0"/>
              <w:pageBreakBefore w:val="0"/>
              <w:widowControl/>
              <w:kinsoku/>
              <w:wordWrap/>
              <w:overflowPunct/>
              <w:topLinePunct w:val="0"/>
              <w:autoSpaceDE/>
              <w:autoSpaceDN/>
              <w:bidi w:val="0"/>
              <w:adjustRightInd/>
              <w:spacing w:line="36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2FDC6188">
            <w:pPr>
              <w:keepNext w:val="0"/>
              <w:keepLines w:val="0"/>
              <w:pageBreakBefore w:val="0"/>
              <w:widowControl/>
              <w:kinsoku/>
              <w:wordWrap/>
              <w:overflowPunct/>
              <w:topLinePunct w:val="0"/>
              <w:autoSpaceDE/>
              <w:autoSpaceDN/>
              <w:bidi w:val="0"/>
              <w:adjustRightInd/>
              <w:spacing w:line="36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355" w:type="dxa"/>
            <w:gridSpan w:val="4"/>
            <w:tcBorders>
              <w:top w:val="single" w:color="auto" w:sz="4" w:space="0"/>
              <w:left w:val="nil"/>
              <w:bottom w:val="single" w:color="auto" w:sz="4" w:space="0"/>
              <w:right w:val="single" w:color="auto" w:sz="4" w:space="0"/>
            </w:tcBorders>
            <w:vAlign w:val="center"/>
          </w:tcPr>
          <w:p w14:paraId="452403D7">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1.出现紧急情况时，应立即停止工作。</w:t>
            </w:r>
          </w:p>
          <w:p w14:paraId="0006C495">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tbl>
      <w:tblPr>
        <w:tblStyle w:val="12"/>
        <w:tblpPr w:leftFromText="180" w:rightFromText="180" w:vertAnchor="text" w:horzAnchor="margin" w:tblpXSpec="center" w:tblpY="202"/>
        <w:tblW w:w="899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40"/>
        <w:gridCol w:w="4959"/>
      </w:tblGrid>
      <w:tr w14:paraId="7E0D07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8999" w:type="dxa"/>
            <w:gridSpan w:val="2"/>
            <w:vAlign w:val="center"/>
          </w:tcPr>
          <w:p w14:paraId="6CA5A317">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color w:val="auto"/>
                <w:sz w:val="21"/>
                <w:szCs w:val="21"/>
                <w:highlight w:val="none"/>
              </w:rPr>
            </w:pPr>
            <w:bookmarkStart w:id="503" w:name="_Toc12651"/>
            <w:bookmarkStart w:id="504" w:name="_Toc13323"/>
            <w:bookmarkStart w:id="505" w:name="_Toc24604"/>
            <w:r>
              <w:rPr>
                <w:rFonts w:hint="eastAsia" w:ascii="仿宋" w:hAnsi="仿宋" w:eastAsia="仿宋" w:cs="仿宋"/>
                <w:b/>
                <w:color w:val="auto"/>
                <w:sz w:val="21"/>
                <w:szCs w:val="21"/>
                <w:highlight w:val="none"/>
              </w:rPr>
              <w:t>测风工安全提示卡</w:t>
            </w:r>
            <w:bookmarkEnd w:id="503"/>
            <w:bookmarkEnd w:id="504"/>
            <w:bookmarkEnd w:id="505"/>
          </w:p>
          <w:p w14:paraId="5A4CB6C3">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p>
        </w:tc>
      </w:tr>
      <w:tr w14:paraId="66C1B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4040" w:type="dxa"/>
            <w:vAlign w:val="center"/>
          </w:tcPr>
          <w:p w14:paraId="71E7BA25">
            <w:pPr>
              <w:keepNext w:val="0"/>
              <w:keepLines w:val="0"/>
              <w:pageBreakBefore w:val="0"/>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操作前检查</w:t>
            </w:r>
          </w:p>
        </w:tc>
        <w:tc>
          <w:tcPr>
            <w:tcW w:w="4959" w:type="dxa"/>
            <w:vAlign w:val="center"/>
          </w:tcPr>
          <w:p w14:paraId="290A4311">
            <w:pPr>
              <w:keepNext w:val="0"/>
              <w:keepLines w:val="0"/>
              <w:pageBreakBefore w:val="0"/>
              <w:kinsoku/>
              <w:wordWrap/>
              <w:overflowPunct/>
              <w:topLinePunct w:val="0"/>
              <w:autoSpaceDE/>
              <w:autoSpaceDN/>
              <w:bidi w:val="0"/>
              <w:adjustRightInd/>
              <w:spacing w:line="240" w:lineRule="auto"/>
              <w:ind w:firstLine="630" w:firstLineChars="300"/>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持证</w:t>
            </w:r>
          </w:p>
        </w:tc>
      </w:tr>
      <w:tr w14:paraId="14611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4040" w:type="dxa"/>
            <w:vAlign w:val="top"/>
          </w:tcPr>
          <w:p w14:paraId="611582CA">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1.顶帮</w:t>
            </w:r>
          </w:p>
        </w:tc>
        <w:tc>
          <w:tcPr>
            <w:tcW w:w="4959" w:type="dxa"/>
            <w:vAlign w:val="center"/>
          </w:tcPr>
          <w:p w14:paraId="106B0694">
            <w:pPr>
              <w:keepNext w:val="0"/>
              <w:keepLines w:val="0"/>
              <w:pageBreakBefore w:val="0"/>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操作后确认</w:t>
            </w:r>
          </w:p>
        </w:tc>
      </w:tr>
      <w:tr w14:paraId="042409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4040" w:type="dxa"/>
            <w:vAlign w:val="top"/>
          </w:tcPr>
          <w:p w14:paraId="3DCE8535">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★2.机械设备运行</w:t>
            </w:r>
          </w:p>
        </w:tc>
        <w:tc>
          <w:tcPr>
            <w:tcW w:w="4959" w:type="dxa"/>
            <w:vAlign w:val="top"/>
          </w:tcPr>
          <w:p w14:paraId="02A555F0">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1.测风结果记录</w:t>
            </w:r>
          </w:p>
        </w:tc>
      </w:tr>
      <w:tr w14:paraId="645593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4040" w:type="dxa"/>
            <w:vAlign w:val="top"/>
          </w:tcPr>
          <w:p w14:paraId="51CAC8F0">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★3.站位、后退路</w:t>
            </w:r>
          </w:p>
        </w:tc>
        <w:tc>
          <w:tcPr>
            <w:tcW w:w="4959" w:type="dxa"/>
            <w:vAlign w:val="top"/>
          </w:tcPr>
          <w:p w14:paraId="5870E5CB">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2.风量不足处理</w:t>
            </w:r>
          </w:p>
        </w:tc>
      </w:tr>
      <w:tr w14:paraId="3922FA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8" w:hRule="exact"/>
        </w:trPr>
        <w:tc>
          <w:tcPr>
            <w:tcW w:w="8999" w:type="dxa"/>
            <w:gridSpan w:val="2"/>
            <w:vAlign w:val="top"/>
          </w:tcPr>
          <w:p w14:paraId="35FDBE00">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lang w:eastAsia="zh-CN"/>
              </w:rPr>
            </w:pPr>
            <w:r>
              <w:rPr>
                <w:rFonts w:hint="eastAsia" w:ascii="仿宋" w:hAnsi="仿宋" w:eastAsia="仿宋" w:cs="仿宋"/>
                <w:b w:val="0"/>
                <w:bCs w:val="0"/>
                <w:color w:val="auto"/>
                <w:sz w:val="21"/>
                <w:szCs w:val="21"/>
                <w:highlight w:val="none"/>
              </w:rPr>
              <w:t>手指口述：第一次按操作前内容逐项检查并口述确认，存在问题整改后再确认；中间再次操作只检查带“★”部分；操作全部结束后按操作后内容逐项检查并口述确认</w:t>
            </w:r>
            <w:r>
              <w:rPr>
                <w:rFonts w:hint="eastAsia" w:ascii="仿宋" w:hAnsi="仿宋" w:eastAsia="仿宋" w:cs="仿宋"/>
                <w:b w:val="0"/>
                <w:bCs w:val="0"/>
                <w:color w:val="auto"/>
                <w:sz w:val="21"/>
                <w:szCs w:val="21"/>
                <w:highlight w:val="none"/>
                <w:lang w:eastAsia="zh-CN"/>
              </w:rPr>
              <w:t>。</w:t>
            </w:r>
          </w:p>
        </w:tc>
      </w:tr>
    </w:tbl>
    <w:p w14:paraId="3301FC4C">
      <w:pPr>
        <w:pStyle w:val="7"/>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1547" w:tblpY="647"/>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4D5A1A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3" w:hRule="exact"/>
        </w:trPr>
        <w:tc>
          <w:tcPr>
            <w:tcW w:w="9060" w:type="dxa"/>
            <w:vAlign w:val="center"/>
          </w:tcPr>
          <w:p w14:paraId="0811267F">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b w:val="0"/>
                <w:bCs/>
                <w:color w:val="auto"/>
                <w:sz w:val="21"/>
                <w:szCs w:val="21"/>
                <w:highlight w:val="none"/>
                <w:lang w:val="en-US" w:eastAsia="zh-CN"/>
              </w:rPr>
            </w:pPr>
            <w:r>
              <w:rPr>
                <w:rFonts w:hint="eastAsia" w:ascii="仿宋" w:hAnsi="仿宋" w:eastAsia="仿宋" w:cs="仿宋"/>
                <w:b w:val="0"/>
                <w:bCs/>
                <w:color w:val="auto"/>
                <w:sz w:val="21"/>
                <w:szCs w:val="21"/>
                <w:highlight w:val="none"/>
              </w:rPr>
              <w:t>测风工</w:t>
            </w:r>
            <w:r>
              <w:rPr>
                <w:rFonts w:hint="eastAsia" w:ascii="仿宋" w:hAnsi="仿宋" w:eastAsia="仿宋" w:cs="仿宋"/>
                <w:b w:val="0"/>
                <w:bCs/>
                <w:color w:val="auto"/>
                <w:sz w:val="21"/>
                <w:szCs w:val="21"/>
                <w:highlight w:val="none"/>
                <w:lang w:val="en-US" w:eastAsia="zh-CN"/>
              </w:rPr>
              <w:t>单元检查表</w:t>
            </w:r>
          </w:p>
          <w:p w14:paraId="46D6FE21">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color w:val="auto"/>
                <w:sz w:val="21"/>
                <w:szCs w:val="21"/>
                <w:highlight w:val="none"/>
              </w:rPr>
            </w:pPr>
          </w:p>
        </w:tc>
      </w:tr>
      <w:tr w14:paraId="435EE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exact"/>
        </w:trPr>
        <w:tc>
          <w:tcPr>
            <w:tcW w:w="9060" w:type="dxa"/>
            <w:vAlign w:val="center"/>
          </w:tcPr>
          <w:p w14:paraId="316DA869">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lang w:val="en-US" w:eastAsia="zh-CN"/>
              </w:rPr>
              <w:t>1.</w:t>
            </w:r>
            <w:r>
              <w:rPr>
                <w:rFonts w:hint="eastAsia" w:ascii="仿宋" w:hAnsi="仿宋" w:eastAsia="仿宋" w:cs="仿宋"/>
                <w:color w:val="auto"/>
                <w:sz w:val="21"/>
                <w:szCs w:val="21"/>
                <w:highlight w:val="none"/>
              </w:rPr>
              <w:t>下井前要选好所使用仪表的类型、型号，并检查仪表是否完好、风表校正曲线是否吻合</w:t>
            </w:r>
            <w:r>
              <w:rPr>
                <w:rFonts w:hint="eastAsia" w:ascii="仿宋" w:hAnsi="仿宋" w:eastAsia="仿宋" w:cs="仿宋"/>
                <w:color w:val="auto"/>
                <w:sz w:val="21"/>
                <w:szCs w:val="21"/>
                <w:highlight w:val="none"/>
                <w:lang w:eastAsia="zh-CN"/>
              </w:rPr>
              <w:t>。</w:t>
            </w:r>
          </w:p>
          <w:p w14:paraId="1040780E">
            <w:pPr>
              <w:keepNext w:val="0"/>
              <w:keepLines w:val="0"/>
              <w:pageBreakBefore w:val="0"/>
              <w:kinsoku/>
              <w:wordWrap/>
              <w:overflowPunct/>
              <w:topLinePunct w:val="0"/>
              <w:autoSpaceDE/>
              <w:autoSpaceDN/>
              <w:bidi w:val="0"/>
              <w:adjustRightInd/>
              <w:spacing w:line="240" w:lineRule="auto"/>
              <w:ind w:firstLine="210" w:firstLineChars="100"/>
              <w:jc w:val="left"/>
              <w:outlineLvl w:val="9"/>
              <w:rPr>
                <w:rFonts w:hint="eastAsia" w:ascii="仿宋" w:hAnsi="仿宋" w:eastAsia="仿宋" w:cs="仿宋"/>
                <w:color w:val="auto"/>
                <w:kern w:val="2"/>
                <w:sz w:val="21"/>
                <w:szCs w:val="21"/>
                <w:highlight w:val="none"/>
                <w:lang w:val="en-US" w:eastAsia="zh-CN" w:bidi="ar-SA"/>
              </w:rPr>
            </w:pPr>
          </w:p>
        </w:tc>
      </w:tr>
      <w:tr w14:paraId="337E2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exact"/>
        </w:trPr>
        <w:tc>
          <w:tcPr>
            <w:tcW w:w="9060" w:type="dxa"/>
            <w:vAlign w:val="top"/>
          </w:tcPr>
          <w:p w14:paraId="34B2FDE4">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2.检查</w:t>
            </w:r>
            <w:r>
              <w:rPr>
                <w:rFonts w:hint="eastAsia" w:ascii="仿宋" w:hAnsi="仿宋" w:eastAsia="仿宋" w:cs="仿宋"/>
                <w:color w:val="auto"/>
                <w:sz w:val="21"/>
                <w:szCs w:val="21"/>
                <w:highlight w:val="none"/>
              </w:rPr>
              <w:t>风表开关、回零装置、指针是否灵敏可靠，外壳以及各部件螺钉有无松动、异常。</w:t>
            </w:r>
          </w:p>
        </w:tc>
      </w:tr>
      <w:tr w14:paraId="052D9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trPr>
        <w:tc>
          <w:tcPr>
            <w:tcW w:w="9060" w:type="dxa"/>
            <w:vAlign w:val="top"/>
          </w:tcPr>
          <w:p w14:paraId="656B5B3D">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3.检查</w:t>
            </w:r>
            <w:r>
              <w:rPr>
                <w:rFonts w:hint="eastAsia" w:ascii="仿宋" w:hAnsi="仿宋" w:eastAsia="仿宋" w:cs="仿宋"/>
                <w:color w:val="auto"/>
                <w:sz w:val="21"/>
                <w:szCs w:val="21"/>
                <w:highlight w:val="none"/>
              </w:rPr>
              <w:t>秒表的开关指针是否灵敏可靠，计时是否准确。</w:t>
            </w:r>
          </w:p>
        </w:tc>
      </w:tr>
      <w:tr w14:paraId="02E77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trPr>
        <w:tc>
          <w:tcPr>
            <w:tcW w:w="9060" w:type="dxa"/>
            <w:vAlign w:val="top"/>
          </w:tcPr>
          <w:p w14:paraId="2D02F4BB">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4.检查</w:t>
            </w:r>
            <w:r>
              <w:rPr>
                <w:rFonts w:hint="eastAsia" w:ascii="仿宋" w:hAnsi="仿宋" w:eastAsia="仿宋" w:cs="仿宋"/>
                <w:color w:val="auto"/>
                <w:sz w:val="21"/>
                <w:szCs w:val="21"/>
                <w:highlight w:val="none"/>
              </w:rPr>
              <w:t>瓦斯检测仪器各部件是否完整、电路（气路）是否畅通、气密性是否完好。</w:t>
            </w:r>
          </w:p>
          <w:p w14:paraId="3A0778DF">
            <w:pPr>
              <w:keepNext w:val="0"/>
              <w:keepLines w:val="0"/>
              <w:pageBreakBefore w:val="0"/>
              <w:kinsoku/>
              <w:wordWrap/>
              <w:overflowPunct/>
              <w:topLinePunct w:val="0"/>
              <w:autoSpaceDE/>
              <w:autoSpaceDN/>
              <w:bidi w:val="0"/>
              <w:adjustRightInd/>
              <w:spacing w:line="240" w:lineRule="auto"/>
              <w:ind w:firstLine="210" w:firstLineChars="100"/>
              <w:jc w:val="left"/>
              <w:outlineLvl w:val="9"/>
              <w:rPr>
                <w:rFonts w:hint="eastAsia" w:ascii="仿宋" w:hAnsi="仿宋" w:eastAsia="仿宋" w:cs="仿宋"/>
                <w:color w:val="auto"/>
                <w:sz w:val="21"/>
                <w:szCs w:val="21"/>
                <w:highlight w:val="none"/>
              </w:rPr>
            </w:pPr>
          </w:p>
        </w:tc>
      </w:tr>
      <w:tr w14:paraId="228A2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trPr>
        <w:tc>
          <w:tcPr>
            <w:tcW w:w="9060" w:type="dxa"/>
            <w:vAlign w:val="top"/>
          </w:tcPr>
          <w:p w14:paraId="1B646135">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5.检查</w:t>
            </w:r>
            <w:r>
              <w:rPr>
                <w:rFonts w:hint="eastAsia" w:ascii="仿宋" w:hAnsi="仿宋" w:eastAsia="仿宋" w:cs="仿宋"/>
                <w:color w:val="auto"/>
                <w:sz w:val="21"/>
                <w:szCs w:val="21"/>
                <w:highlight w:val="none"/>
              </w:rPr>
              <w:t>空盒气压计有无破损，刻度及温度校正表是否齐全，量程是否合乎要求。</w:t>
            </w:r>
          </w:p>
          <w:p w14:paraId="48D377D4">
            <w:pPr>
              <w:keepNext w:val="0"/>
              <w:keepLines w:val="0"/>
              <w:pageBreakBefore w:val="0"/>
              <w:kinsoku/>
              <w:wordWrap/>
              <w:overflowPunct/>
              <w:topLinePunct w:val="0"/>
              <w:autoSpaceDE/>
              <w:autoSpaceDN/>
              <w:bidi w:val="0"/>
              <w:adjustRightInd/>
              <w:spacing w:line="240" w:lineRule="auto"/>
              <w:ind w:firstLine="210" w:firstLineChars="100"/>
              <w:jc w:val="left"/>
              <w:outlineLvl w:val="9"/>
              <w:rPr>
                <w:rFonts w:hint="eastAsia" w:ascii="仿宋" w:hAnsi="仿宋" w:eastAsia="仿宋" w:cs="仿宋"/>
                <w:color w:val="auto"/>
                <w:sz w:val="21"/>
                <w:szCs w:val="21"/>
                <w:highlight w:val="none"/>
              </w:rPr>
            </w:pPr>
          </w:p>
        </w:tc>
      </w:tr>
      <w:tr w14:paraId="68BDA7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trPr>
        <w:tc>
          <w:tcPr>
            <w:tcW w:w="9060" w:type="dxa"/>
            <w:vAlign w:val="top"/>
          </w:tcPr>
          <w:p w14:paraId="5C2D7FD0">
            <w:pPr>
              <w:keepNext w:val="0"/>
              <w:keepLines w:val="0"/>
              <w:pageBreakBefore w:val="0"/>
              <w:numPr>
                <w:ilvl w:val="0"/>
                <w:numId w:val="24"/>
              </w:numPr>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检查测风地点顶帮是否完好。</w:t>
            </w:r>
          </w:p>
          <w:p w14:paraId="3EB98777">
            <w:pPr>
              <w:pStyle w:val="7"/>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left"/>
              <w:outlineLvl w:val="9"/>
              <w:rPr>
                <w:rFonts w:hint="eastAsia" w:ascii="仿宋" w:hAnsi="仿宋" w:eastAsia="仿宋" w:cs="仿宋"/>
                <w:color w:val="auto"/>
                <w:sz w:val="21"/>
                <w:szCs w:val="21"/>
                <w:lang w:val="en-US" w:eastAsia="zh-CN"/>
              </w:rPr>
            </w:pPr>
          </w:p>
        </w:tc>
      </w:tr>
    </w:tbl>
    <w:p w14:paraId="2EA8405F">
      <w:pPr>
        <w:pStyle w:val="7"/>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color w:val="auto"/>
          <w:sz w:val="28"/>
          <w:szCs w:val="28"/>
          <w:highlight w:val="none"/>
        </w:rPr>
      </w:pPr>
    </w:p>
    <w:p w14:paraId="35DEA79C">
      <w:pPr>
        <w:pStyle w:val="7"/>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1562" w:tblpY="753"/>
        <w:tblOverlap w:val="never"/>
        <w:tblW w:w="9060" w:type="dxa"/>
        <w:tblInd w:w="0" w:type="dxa"/>
        <w:tblLayout w:type="fixed"/>
        <w:tblCellMar>
          <w:top w:w="0" w:type="dxa"/>
          <w:left w:w="108" w:type="dxa"/>
          <w:bottom w:w="0" w:type="dxa"/>
          <w:right w:w="108" w:type="dxa"/>
        </w:tblCellMar>
      </w:tblPr>
      <w:tblGrid>
        <w:gridCol w:w="1676"/>
        <w:gridCol w:w="2168"/>
        <w:gridCol w:w="5216"/>
      </w:tblGrid>
      <w:tr w14:paraId="6E3C61E9">
        <w:tblPrEx>
          <w:tblCellMar>
            <w:top w:w="0" w:type="dxa"/>
            <w:left w:w="108" w:type="dxa"/>
            <w:bottom w:w="0" w:type="dxa"/>
            <w:right w:w="108" w:type="dxa"/>
          </w:tblCellMar>
        </w:tblPrEx>
        <w:trPr>
          <w:trHeight w:val="673" w:hRule="atLeast"/>
        </w:trPr>
        <w:tc>
          <w:tcPr>
            <w:tcW w:w="9060" w:type="dxa"/>
            <w:gridSpan w:val="3"/>
            <w:tcBorders>
              <w:top w:val="single" w:color="000000" w:sz="4" w:space="0"/>
              <w:left w:val="single" w:color="000000" w:sz="4" w:space="0"/>
              <w:bottom w:val="single" w:color="000000" w:sz="4" w:space="0"/>
              <w:right w:val="single" w:color="000000" w:sz="4" w:space="0"/>
            </w:tcBorders>
            <w:vAlign w:val="center"/>
          </w:tcPr>
          <w:p w14:paraId="4829C8FE">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color w:val="auto"/>
                <w:sz w:val="21"/>
                <w:szCs w:val="21"/>
                <w:highlight w:val="none"/>
                <w:lang w:val="en-US" w:eastAsia="zh-CN"/>
              </w:rPr>
              <w:t>测风工操作过程注意事项</w:t>
            </w:r>
          </w:p>
        </w:tc>
      </w:tr>
      <w:tr w14:paraId="19021A80">
        <w:tblPrEx>
          <w:tblCellMar>
            <w:top w:w="0" w:type="dxa"/>
            <w:left w:w="108" w:type="dxa"/>
            <w:bottom w:w="0" w:type="dxa"/>
            <w:right w:w="108" w:type="dxa"/>
          </w:tblCellMar>
        </w:tblPrEx>
        <w:trPr>
          <w:trHeight w:val="577" w:hRule="atLeast"/>
        </w:trPr>
        <w:tc>
          <w:tcPr>
            <w:tcW w:w="1676" w:type="dxa"/>
            <w:tcBorders>
              <w:top w:val="single" w:color="000000" w:sz="4" w:space="0"/>
              <w:left w:val="single" w:color="000000" w:sz="4" w:space="0"/>
              <w:bottom w:val="single" w:color="000000" w:sz="4" w:space="0"/>
              <w:right w:val="single" w:color="000000" w:sz="4" w:space="0"/>
            </w:tcBorders>
            <w:vAlign w:val="center"/>
          </w:tcPr>
          <w:p w14:paraId="7C968469">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w:t>
            </w:r>
          </w:p>
        </w:tc>
        <w:tc>
          <w:tcPr>
            <w:tcW w:w="2168" w:type="dxa"/>
            <w:tcBorders>
              <w:top w:val="single" w:color="000000" w:sz="4" w:space="0"/>
              <w:left w:val="single" w:color="000000" w:sz="4" w:space="0"/>
              <w:bottom w:val="single" w:color="000000" w:sz="4" w:space="0"/>
              <w:right w:val="single" w:color="000000" w:sz="4" w:space="0"/>
            </w:tcBorders>
            <w:vAlign w:val="center"/>
          </w:tcPr>
          <w:p w14:paraId="7A7AD90B">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5216" w:type="dxa"/>
            <w:tcBorders>
              <w:top w:val="single" w:color="000000" w:sz="4" w:space="0"/>
              <w:left w:val="single" w:color="000000" w:sz="4" w:space="0"/>
              <w:bottom w:val="single" w:color="000000" w:sz="4" w:space="0"/>
              <w:right w:val="single" w:color="000000" w:sz="4" w:space="0"/>
            </w:tcBorders>
            <w:vAlign w:val="center"/>
          </w:tcPr>
          <w:p w14:paraId="76F8D2F8">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14:paraId="1556A626">
        <w:tblPrEx>
          <w:tblCellMar>
            <w:top w:w="0" w:type="dxa"/>
            <w:left w:w="108" w:type="dxa"/>
            <w:bottom w:w="0" w:type="dxa"/>
            <w:right w:w="108" w:type="dxa"/>
          </w:tblCellMar>
        </w:tblPrEx>
        <w:trPr>
          <w:trHeight w:val="1018" w:hRule="atLeast"/>
        </w:trPr>
        <w:tc>
          <w:tcPr>
            <w:tcW w:w="1676" w:type="dxa"/>
            <w:vMerge w:val="restart"/>
            <w:tcBorders>
              <w:top w:val="single" w:color="000000" w:sz="4" w:space="0"/>
              <w:left w:val="single" w:color="000000" w:sz="4" w:space="0"/>
              <w:bottom w:val="single" w:color="000000" w:sz="4" w:space="0"/>
              <w:right w:val="single" w:color="000000" w:sz="4" w:space="0"/>
            </w:tcBorders>
            <w:vAlign w:val="center"/>
          </w:tcPr>
          <w:p w14:paraId="67074DC6">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测风</w:t>
            </w:r>
          </w:p>
        </w:tc>
        <w:tc>
          <w:tcPr>
            <w:tcW w:w="2168" w:type="dxa"/>
            <w:tcBorders>
              <w:top w:val="single" w:color="000000" w:sz="4" w:space="0"/>
              <w:left w:val="single" w:color="000000" w:sz="4" w:space="0"/>
              <w:bottom w:val="single" w:color="000000" w:sz="4" w:space="0"/>
              <w:right w:val="single" w:color="000000" w:sz="4" w:space="0"/>
            </w:tcBorders>
            <w:vAlign w:val="center"/>
          </w:tcPr>
          <w:p w14:paraId="360B8B8E">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选地点</w:t>
            </w:r>
          </w:p>
        </w:tc>
        <w:tc>
          <w:tcPr>
            <w:tcW w:w="5216" w:type="dxa"/>
            <w:tcBorders>
              <w:top w:val="single" w:color="000000" w:sz="4" w:space="0"/>
              <w:left w:val="single" w:color="000000" w:sz="4" w:space="0"/>
              <w:bottom w:val="single" w:color="000000" w:sz="4" w:space="0"/>
              <w:right w:val="single" w:color="000000" w:sz="4" w:space="0"/>
            </w:tcBorders>
            <w:vAlign w:val="center"/>
          </w:tcPr>
          <w:p w14:paraId="4360835F">
            <w:pPr>
              <w:keepNext w:val="0"/>
              <w:keepLines w:val="0"/>
              <w:pageBreakBefore w:val="0"/>
              <w:widowControl/>
              <w:suppressLineNumbers w:val="0"/>
              <w:kinsoku/>
              <w:wordWrap/>
              <w:overflowPunct/>
              <w:topLinePunct w:val="0"/>
              <w:autoSpaceDE/>
              <w:autoSpaceDN/>
              <w:bidi w:val="0"/>
              <w:adjustRightInd/>
              <w:spacing w:line="240" w:lineRule="auto"/>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选择测风站或顶帮完好、无片帮淋水、前后10米无拐弯、无障碍物的地点。</w:t>
            </w:r>
          </w:p>
        </w:tc>
      </w:tr>
      <w:tr w14:paraId="02C16FDB">
        <w:tblPrEx>
          <w:tblCellMar>
            <w:top w:w="0" w:type="dxa"/>
            <w:left w:w="108" w:type="dxa"/>
            <w:bottom w:w="0" w:type="dxa"/>
            <w:right w:w="108" w:type="dxa"/>
          </w:tblCellMar>
        </w:tblPrEx>
        <w:trPr>
          <w:trHeight w:val="577" w:hRule="atLeast"/>
        </w:trPr>
        <w:tc>
          <w:tcPr>
            <w:tcW w:w="1676" w:type="dxa"/>
            <w:vMerge w:val="continue"/>
            <w:tcBorders>
              <w:top w:val="single" w:color="000000" w:sz="4" w:space="0"/>
              <w:left w:val="single" w:color="000000" w:sz="4" w:space="0"/>
              <w:bottom w:val="single" w:color="000000" w:sz="4" w:space="0"/>
              <w:right w:val="single" w:color="000000" w:sz="4" w:space="0"/>
            </w:tcBorders>
            <w:vAlign w:val="center"/>
          </w:tcPr>
          <w:p w14:paraId="0907B508">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1FF7C052">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216" w:type="dxa"/>
            <w:tcBorders>
              <w:top w:val="single" w:color="000000" w:sz="4" w:space="0"/>
              <w:left w:val="single" w:color="000000" w:sz="4" w:space="0"/>
              <w:bottom w:val="single" w:color="000000" w:sz="4" w:space="0"/>
              <w:right w:val="single" w:color="000000" w:sz="4" w:space="0"/>
            </w:tcBorders>
            <w:vAlign w:val="center"/>
          </w:tcPr>
          <w:p w14:paraId="33AB7CEF">
            <w:pPr>
              <w:keepNext w:val="0"/>
              <w:keepLines w:val="0"/>
              <w:pageBreakBefore w:val="0"/>
              <w:widowControl/>
              <w:suppressLineNumbers w:val="0"/>
              <w:kinsoku/>
              <w:wordWrap/>
              <w:overflowPunct/>
              <w:topLinePunct w:val="0"/>
              <w:autoSpaceDE/>
              <w:autoSpaceDN/>
              <w:bidi w:val="0"/>
              <w:adjustRightInd/>
              <w:spacing w:line="240" w:lineRule="auto"/>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测风时，风表要拿稳，垂直与风流，距离障碍物不小于20cm。</w:t>
            </w:r>
          </w:p>
        </w:tc>
      </w:tr>
      <w:tr w14:paraId="295438D4">
        <w:tblPrEx>
          <w:tblCellMar>
            <w:top w:w="0" w:type="dxa"/>
            <w:left w:w="108" w:type="dxa"/>
            <w:bottom w:w="0" w:type="dxa"/>
            <w:right w:w="108" w:type="dxa"/>
          </w:tblCellMar>
        </w:tblPrEx>
        <w:trPr>
          <w:trHeight w:val="723" w:hRule="atLeast"/>
        </w:trPr>
        <w:tc>
          <w:tcPr>
            <w:tcW w:w="1676" w:type="dxa"/>
            <w:vMerge w:val="continue"/>
            <w:tcBorders>
              <w:top w:val="single" w:color="000000" w:sz="4" w:space="0"/>
              <w:left w:val="single" w:color="000000" w:sz="4" w:space="0"/>
              <w:bottom w:val="single" w:color="000000" w:sz="4" w:space="0"/>
              <w:right w:val="single" w:color="000000" w:sz="4" w:space="0"/>
            </w:tcBorders>
            <w:vAlign w:val="center"/>
          </w:tcPr>
          <w:p w14:paraId="071CABF1">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32086104">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记数据</w:t>
            </w:r>
          </w:p>
        </w:tc>
        <w:tc>
          <w:tcPr>
            <w:tcW w:w="5216" w:type="dxa"/>
            <w:tcBorders>
              <w:top w:val="single" w:color="000000" w:sz="4" w:space="0"/>
              <w:left w:val="single" w:color="000000" w:sz="4" w:space="0"/>
              <w:bottom w:val="single" w:color="000000" w:sz="4" w:space="0"/>
              <w:right w:val="single" w:color="000000" w:sz="4" w:space="0"/>
            </w:tcBorders>
            <w:vAlign w:val="center"/>
          </w:tcPr>
          <w:p w14:paraId="768F9BAD">
            <w:pPr>
              <w:keepNext w:val="0"/>
              <w:keepLines w:val="0"/>
              <w:pageBreakBefore w:val="0"/>
              <w:widowControl/>
              <w:suppressLineNumbers w:val="0"/>
              <w:kinsoku/>
              <w:wordWrap/>
              <w:overflowPunct/>
              <w:topLinePunct w:val="0"/>
              <w:autoSpaceDE/>
              <w:autoSpaceDN/>
              <w:bidi w:val="0"/>
              <w:adjustRightInd/>
              <w:spacing w:line="240" w:lineRule="auto"/>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将3次测风数据，求出平均值，计算风量。</w:t>
            </w:r>
          </w:p>
        </w:tc>
      </w:tr>
    </w:tbl>
    <w:p w14:paraId="37B6CD94">
      <w:pPr>
        <w:keepNext w:val="0"/>
        <w:keepLines w:val="0"/>
        <w:pageBreakBefore w:val="0"/>
        <w:widowControl w:val="0"/>
        <w:kinsoku/>
        <w:wordWrap/>
        <w:overflowPunct/>
        <w:topLinePunct w:val="0"/>
        <w:autoSpaceDE/>
        <w:autoSpaceDN/>
        <w:bidi w:val="0"/>
        <w:adjustRightInd/>
        <w:snapToGrid/>
        <w:spacing w:line="600" w:lineRule="exact"/>
        <w:textAlignment w:val="auto"/>
        <w:outlineLvl w:val="9"/>
        <w:rPr>
          <w:rFonts w:hint="eastAsia" w:ascii="仿宋" w:hAnsi="仿宋" w:eastAsia="仿宋" w:cs="仿宋"/>
          <w:b/>
          <w:color w:val="auto"/>
          <w:sz w:val="28"/>
          <w:szCs w:val="28"/>
          <w:highlight w:val="none"/>
        </w:rPr>
      </w:pPr>
    </w:p>
    <w:p w14:paraId="3D08D30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463A3A4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入井时必须戴安全帽、随身携带自救器和矿灯，严禁携带烟草和点火物品，严禁穿化纤衣服，入井前严禁喝酒。</w:t>
      </w:r>
    </w:p>
    <w:p w14:paraId="2BCDA0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必须经有资质的机构培训考试合格后持证上岗。</w:t>
      </w:r>
    </w:p>
    <w:p w14:paraId="75B7F6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上下井时，必须遵守乘罐制度，听从把钩工的指挥。</w:t>
      </w:r>
    </w:p>
    <w:p w14:paraId="3BD5D37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严格执行行车不行人制度，斜巷行人遇行车时立即进入躲避硐。</w:t>
      </w:r>
    </w:p>
    <w:p w14:paraId="1D7795C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在井下行走要走人行道，横穿巷道，过弯道、交叉口时，要做到一停、二看、三确认安全后通过。在架空线下行走，严禁携带长把工具、长材料。</w:t>
      </w:r>
    </w:p>
    <w:p w14:paraId="29AC9D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乘坐架空乘人装置时必须在规定候车区域等候，按顺序乘坐，不得在绳下穿越。</w:t>
      </w:r>
    </w:p>
    <w:p w14:paraId="21EF799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人员严禁站在起吊的重物下方或重物可能倒向的位置。严禁站在提升物体的绳道内、运行的设备或带电体上。</w:t>
      </w:r>
    </w:p>
    <w:p w14:paraId="7FF21C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严禁随意打开密闭、栅栏进入盲巷；严禁随意进入工作面隅角。</w:t>
      </w:r>
    </w:p>
    <w:p w14:paraId="091AC7C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严禁同时打开两道风门，严禁随意调节风窗。</w:t>
      </w:r>
    </w:p>
    <w:p w14:paraId="594893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严禁扒车、跳车和坐矿车，当车辆经过时，人员要及时躲避。</w:t>
      </w:r>
    </w:p>
    <w:p w14:paraId="07BF7D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跨越皮带时要走过桥，严禁直接蹬、坐皮带。严禁触及运行中的机电运输设备。</w:t>
      </w:r>
    </w:p>
    <w:p w14:paraId="6C4021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工作（休息）时必须随时检查自己周围顶帮、机械及车辆等安全情况，发现险情及时躲避或处理。</w:t>
      </w:r>
    </w:p>
    <w:p w14:paraId="214B8D3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（十三）</w:t>
      </w:r>
      <w:r>
        <w:rPr>
          <w:rFonts w:hint="eastAsia" w:ascii="仿宋" w:hAnsi="仿宋" w:eastAsia="仿宋" w:cs="仿宋"/>
          <w:color w:val="auto"/>
          <w:sz w:val="28"/>
          <w:szCs w:val="28"/>
          <w:highlight w:val="none"/>
        </w:rPr>
        <w:t>严禁在井下车场、各巷道口</w:t>
      </w:r>
      <w:r>
        <w:rPr>
          <w:rFonts w:hint="eastAsia" w:ascii="仿宋" w:hAnsi="仿宋" w:eastAsia="仿宋" w:cs="仿宋"/>
          <w:color w:val="auto"/>
          <w:sz w:val="28"/>
          <w:szCs w:val="28"/>
          <w:highlight w:val="none"/>
          <w:lang w:val="en-US" w:eastAsia="zh-CN"/>
        </w:rPr>
        <w:t>等地点</w:t>
      </w:r>
      <w:r>
        <w:rPr>
          <w:rFonts w:hint="eastAsia" w:ascii="仿宋" w:hAnsi="仿宋" w:eastAsia="仿宋" w:cs="仿宋"/>
          <w:color w:val="auto"/>
          <w:sz w:val="28"/>
          <w:szCs w:val="28"/>
          <w:highlight w:val="none"/>
        </w:rPr>
        <w:t>蹲坐休息。</w:t>
      </w:r>
    </w:p>
    <w:p w14:paraId="63AF1A0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（十四）</w:t>
      </w:r>
      <w:r>
        <w:rPr>
          <w:rFonts w:hint="eastAsia" w:ascii="仿宋" w:hAnsi="仿宋" w:eastAsia="仿宋" w:cs="仿宋"/>
          <w:color w:val="auto"/>
          <w:sz w:val="28"/>
          <w:szCs w:val="28"/>
          <w:highlight w:val="none"/>
        </w:rPr>
        <w:t>不得在产生噪声、辐射等危害的设备附近逗留。</w:t>
      </w:r>
    </w:p>
    <w:p w14:paraId="72970B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（十五）</w:t>
      </w:r>
      <w:r>
        <w:rPr>
          <w:rFonts w:hint="eastAsia" w:ascii="仿宋" w:hAnsi="仿宋" w:eastAsia="仿宋" w:cs="仿宋"/>
          <w:color w:val="auto"/>
          <w:sz w:val="28"/>
          <w:szCs w:val="28"/>
          <w:highlight w:val="none"/>
        </w:rPr>
        <w:t>发现有冒顶、透水预兆时，必须停止作业，立即撤出。</w:t>
      </w:r>
    </w:p>
    <w:p w14:paraId="2786BC3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（十六）</w:t>
      </w:r>
      <w:r>
        <w:rPr>
          <w:rFonts w:hint="eastAsia" w:ascii="仿宋" w:hAnsi="仿宋" w:eastAsia="仿宋" w:cs="仿宋"/>
          <w:color w:val="auto"/>
          <w:sz w:val="28"/>
          <w:szCs w:val="28"/>
          <w:highlight w:val="none"/>
        </w:rPr>
        <w:t>严格执行入井前安全确认制度。</w:t>
      </w:r>
    </w:p>
    <w:p w14:paraId="47C1A25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4B994EC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25488B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6A390B7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28EB5F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7265FE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15C20E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6445629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295EED2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32BECF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339BE5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5D8A41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6A9162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66ED493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7B185F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15AC62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26DC8E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1B5253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5345543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6F01E3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4A7FEBE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0217DE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782A050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0E429B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7049ADE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7148CB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4CA921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47F38D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261CAA0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10FE82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3C4D61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466DE3E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4A454C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31A9DF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2661B2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703A88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1D057E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7B9C2A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7D8A7A6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69D02A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4163687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24BC6E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6BA0B11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686B71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51F470F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007A46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7841AC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62BEFD1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32794DBE">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三</w:t>
      </w:r>
      <w:r>
        <w:rPr>
          <w:rFonts w:hint="eastAsia" w:ascii="仿宋" w:hAnsi="仿宋" w:eastAsia="仿宋" w:cs="仿宋"/>
          <w:b/>
          <w:color w:val="auto"/>
          <w:sz w:val="28"/>
          <w:szCs w:val="28"/>
          <w:highlight w:val="none"/>
        </w:rPr>
        <w:t>、安全风险辨识及管控措施</w:t>
      </w:r>
    </w:p>
    <w:p w14:paraId="73AC961C">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14:paraId="75D1595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1.风险描述：工作面存在自然发火风险。</w:t>
      </w:r>
    </w:p>
    <w:p w14:paraId="73A56412">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3DE85DB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（1）工作面回采期间沿煤层顶部回采，确保顶煤回采干净。</w:t>
      </w:r>
    </w:p>
    <w:p w14:paraId="326F0CA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（2）加强现场监督，确保上、下隅角封堵严实。</w:t>
      </w:r>
    </w:p>
    <w:p w14:paraId="1DB33F2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（3）设置自然发火观测点，定期进行检查。</w:t>
      </w:r>
    </w:p>
    <w:p w14:paraId="4BCA9F6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（4）每班结束后，安排专人对架空浮煤进行清理。</w:t>
      </w:r>
    </w:p>
    <w:p w14:paraId="2488F50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（5）在材料巷埋设4寸措施管路，在特殊地质构造位置埋设φ50地质钢管，回采期间对措施管路进行保护，防止措施管路遭到破坏。</w:t>
      </w:r>
    </w:p>
    <w:p w14:paraId="1DD2FA3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）定期对仪器仪表调校和鉴定，确保仪器仪表准确性。</w:t>
      </w:r>
    </w:p>
    <w:p w14:paraId="7488159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）按规定安设防尘供水管路，并敷设到工作面。</w:t>
      </w:r>
    </w:p>
    <w:p w14:paraId="06F1507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）利用措施管路定期对工作面进行注浆或注氮气，防止遗煤自燃。</w:t>
      </w:r>
    </w:p>
    <w:p w14:paraId="4C02CCE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）生产班对工作面架空喷洒阻化剂。</w:t>
      </w:r>
    </w:p>
    <w:p w14:paraId="6D0FB4A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14:paraId="73F5CC3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7B82C4D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（1）作业人员应正确使用防尘等个体防护用品，井下各单位应对作业人员使用个体防护用品情况采取措施加强管理。</w:t>
      </w:r>
    </w:p>
    <w:p w14:paraId="46440C4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14:paraId="03E2AEE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14:paraId="17FEF42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.风险描述：防灭火管理不到位可能造成火灾。</w:t>
      </w:r>
    </w:p>
    <w:p w14:paraId="2383F47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02A54C2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（1）各生产单位任何人发现井下火灾，应视瓦斯情况，立即采取一切可能的方法直接灭火，控制火势。</w:t>
      </w:r>
    </w:p>
    <w:p w14:paraId="248FC11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（2）各生产单位任何人发现井下火灾，未瓦斯情况，没有立即采取一切可能的方法直接灭火，控制火势时，</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对责任人进行相应的处罚。</w:t>
      </w:r>
    </w:p>
    <w:p w14:paraId="6E8B94A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风险描述：工作面存在水灾风险。</w:t>
      </w:r>
    </w:p>
    <w:p w14:paraId="7CC9C5E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49C15C2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）根据物探成果,利用钻探超前验证物探异常区。</w:t>
      </w:r>
    </w:p>
    <w:p w14:paraId="7EE2340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）按照预计最大涌水量安设排水系统，并保证排水系统畅通完善，巷道积水及时排出。</w:t>
      </w:r>
    </w:p>
    <w:p w14:paraId="3527BBB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）按照要求进行地质及水情水害预测预报工作。</w:t>
      </w:r>
    </w:p>
    <w:p w14:paraId="4E055EA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4</w:t>
      </w:r>
      <w:r>
        <w:rPr>
          <w:rFonts w:hint="eastAsia" w:ascii="仿宋" w:hAnsi="仿宋" w:eastAsia="仿宋" w:cs="仿宋"/>
          <w:color w:val="auto"/>
          <w:kern w:val="0"/>
          <w:sz w:val="28"/>
          <w:szCs w:val="28"/>
          <w:highlight w:val="none"/>
        </w:rPr>
        <w:t>）按要求进行涌水量观测。</w:t>
      </w:r>
    </w:p>
    <w:p w14:paraId="738A4A8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5</w:t>
      </w:r>
      <w:r>
        <w:rPr>
          <w:rFonts w:hint="eastAsia" w:ascii="仿宋" w:hAnsi="仿宋" w:eastAsia="仿宋" w:cs="仿宋"/>
          <w:color w:val="auto"/>
          <w:kern w:val="0"/>
          <w:sz w:val="28"/>
          <w:szCs w:val="28"/>
          <w:highlight w:val="none"/>
        </w:rPr>
        <w:t>）普及井下职工防治水知识，了解突水征兆，熟悉逃生路线和避灾方法。</w:t>
      </w:r>
    </w:p>
    <w:p w14:paraId="1523A79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6</w:t>
      </w:r>
      <w:r>
        <w:rPr>
          <w:rFonts w:hint="eastAsia" w:ascii="仿宋" w:hAnsi="仿宋" w:eastAsia="仿宋" w:cs="仿宋"/>
          <w:color w:val="auto"/>
          <w:kern w:val="0"/>
          <w:sz w:val="28"/>
          <w:szCs w:val="28"/>
          <w:highlight w:val="none"/>
        </w:rPr>
        <w:t>）落实应急处置措施，发生事故立即启动应急救援预案。</w:t>
      </w:r>
    </w:p>
    <w:p w14:paraId="5FB9880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7</w:t>
      </w:r>
      <w:r>
        <w:rPr>
          <w:rFonts w:hint="eastAsia" w:ascii="仿宋" w:hAnsi="仿宋" w:eastAsia="仿宋" w:cs="仿宋"/>
          <w:color w:val="auto"/>
          <w:kern w:val="0"/>
          <w:sz w:val="28"/>
          <w:szCs w:val="28"/>
          <w:highlight w:val="none"/>
        </w:rPr>
        <w:t>）运用</w:t>
      </w:r>
      <w:r>
        <w:rPr>
          <w:rFonts w:hint="eastAsia" w:ascii="仿宋" w:hAnsi="仿宋" w:eastAsia="仿宋" w:cs="仿宋"/>
          <w:color w:val="auto"/>
          <w:kern w:val="0"/>
          <w:sz w:val="28"/>
          <w:szCs w:val="28"/>
          <w:highlight w:val="none"/>
          <w:lang w:val="en-US" w:eastAsia="zh-CN"/>
        </w:rPr>
        <w:t>现用</w:t>
      </w:r>
      <w:r>
        <w:rPr>
          <w:rFonts w:hint="eastAsia" w:ascii="仿宋" w:hAnsi="仿宋" w:eastAsia="仿宋" w:cs="仿宋"/>
          <w:color w:val="auto"/>
          <w:kern w:val="0"/>
          <w:sz w:val="28"/>
          <w:szCs w:val="28"/>
          <w:highlight w:val="none"/>
        </w:rPr>
        <w:t>水文监测系统，加强实时监测井下水量变化情况，出现异常及时采取措施处理</w:t>
      </w:r>
      <w:r>
        <w:rPr>
          <w:rFonts w:hint="eastAsia" w:ascii="仿宋" w:hAnsi="仿宋" w:eastAsia="仿宋" w:cs="仿宋"/>
          <w:color w:val="auto"/>
          <w:kern w:val="0"/>
          <w:sz w:val="28"/>
          <w:szCs w:val="28"/>
        </w:rPr>
        <w:t>。</w:t>
      </w:r>
    </w:p>
    <w:p w14:paraId="6479AC8F">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14:paraId="7CFC08A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1</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测</w:t>
      </w:r>
      <w:r>
        <w:rPr>
          <w:rFonts w:hint="eastAsia" w:ascii="仿宋" w:hAnsi="仿宋" w:eastAsia="仿宋" w:cs="仿宋"/>
          <w:snapToGrid w:val="0"/>
          <w:color w:val="auto"/>
          <w:kern w:val="0"/>
          <w:sz w:val="28"/>
          <w:szCs w:val="28"/>
          <w:highlight w:val="none"/>
          <w:lang w:val="en-US" w:eastAsia="zh-CN"/>
        </w:rPr>
        <w:t>风</w:t>
      </w:r>
      <w:r>
        <w:rPr>
          <w:rFonts w:hint="eastAsia" w:ascii="仿宋" w:hAnsi="仿宋" w:eastAsia="仿宋" w:cs="仿宋"/>
          <w:snapToGrid w:val="0"/>
          <w:color w:val="auto"/>
          <w:kern w:val="0"/>
          <w:sz w:val="28"/>
          <w:szCs w:val="28"/>
          <w:highlight w:val="none"/>
        </w:rPr>
        <w:t>前未进行敲帮问顶，可能发生危岩悬矸掉落伤人风险。</w:t>
      </w:r>
    </w:p>
    <w:p w14:paraId="7FA8C7B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管控措施：测</w:t>
      </w:r>
      <w:r>
        <w:rPr>
          <w:rFonts w:hint="eastAsia" w:ascii="仿宋" w:hAnsi="仿宋" w:eastAsia="仿宋" w:cs="仿宋"/>
          <w:snapToGrid w:val="0"/>
          <w:color w:val="auto"/>
          <w:kern w:val="0"/>
          <w:sz w:val="28"/>
          <w:szCs w:val="28"/>
          <w:highlight w:val="none"/>
          <w:lang w:val="en-US" w:eastAsia="zh-CN"/>
        </w:rPr>
        <w:t>风</w:t>
      </w:r>
      <w:r>
        <w:rPr>
          <w:rFonts w:hint="eastAsia" w:ascii="仿宋" w:hAnsi="仿宋" w:eastAsia="仿宋" w:cs="仿宋"/>
          <w:snapToGrid w:val="0"/>
          <w:color w:val="auto"/>
          <w:kern w:val="0"/>
          <w:sz w:val="28"/>
          <w:szCs w:val="28"/>
          <w:highlight w:val="none"/>
        </w:rPr>
        <w:t>前需对周围的安全情况进行确认，执行好“敲帮问顶”制度，规范好人员站位。</w:t>
      </w:r>
    </w:p>
    <w:p w14:paraId="5D25814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2</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测</w:t>
      </w:r>
      <w:r>
        <w:rPr>
          <w:rFonts w:hint="eastAsia" w:ascii="仿宋" w:hAnsi="仿宋" w:eastAsia="仿宋" w:cs="仿宋"/>
          <w:snapToGrid w:val="0"/>
          <w:color w:val="auto"/>
          <w:kern w:val="0"/>
          <w:sz w:val="28"/>
          <w:szCs w:val="28"/>
          <w:highlight w:val="none"/>
          <w:lang w:val="en-US" w:eastAsia="zh-CN"/>
        </w:rPr>
        <w:t>风</w:t>
      </w:r>
      <w:r>
        <w:rPr>
          <w:rFonts w:hint="eastAsia" w:ascii="仿宋" w:hAnsi="仿宋" w:eastAsia="仿宋" w:cs="仿宋"/>
          <w:snapToGrid w:val="0"/>
          <w:color w:val="auto"/>
          <w:kern w:val="0"/>
          <w:sz w:val="28"/>
          <w:szCs w:val="28"/>
          <w:highlight w:val="none"/>
        </w:rPr>
        <w:t>前未注意运行的车辆及机电设备，可能会被运行的车辆及机电设备撞伤的风险。</w:t>
      </w:r>
    </w:p>
    <w:p w14:paraId="468EB27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管控措施：测</w:t>
      </w:r>
      <w:r>
        <w:rPr>
          <w:rFonts w:hint="eastAsia" w:ascii="仿宋" w:hAnsi="仿宋" w:eastAsia="仿宋" w:cs="仿宋"/>
          <w:snapToGrid w:val="0"/>
          <w:color w:val="auto"/>
          <w:kern w:val="0"/>
          <w:sz w:val="28"/>
          <w:szCs w:val="28"/>
          <w:highlight w:val="none"/>
          <w:lang w:val="en-US" w:eastAsia="zh-CN"/>
        </w:rPr>
        <w:t>风</w:t>
      </w:r>
      <w:r>
        <w:rPr>
          <w:rFonts w:hint="eastAsia" w:ascii="仿宋" w:hAnsi="仿宋" w:eastAsia="仿宋" w:cs="仿宋"/>
          <w:snapToGrid w:val="0"/>
          <w:color w:val="auto"/>
          <w:kern w:val="0"/>
          <w:sz w:val="28"/>
          <w:szCs w:val="28"/>
          <w:highlight w:val="none"/>
        </w:rPr>
        <w:t>时要规范人员站位，时刻注意运行的车辆及机电设备。</w:t>
      </w:r>
    </w:p>
    <w:p w14:paraId="3A954CEB">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、测风前安全检查</w:t>
      </w:r>
    </w:p>
    <w:p w14:paraId="499E2A8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1.顶帮</w:t>
      </w:r>
    </w:p>
    <w:p w14:paraId="46BB17E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检查测风地点顶帮是否完好，严禁站在有片帮冒顶危险的地点测风。</w:t>
      </w:r>
    </w:p>
    <w:p w14:paraId="02A4375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2.机械设备运行</w:t>
      </w:r>
    </w:p>
    <w:p w14:paraId="4CEC71E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检查测风地点有无车辆及机械设备运行，测风时应避开车辆及机械设备运行。</w:t>
      </w:r>
    </w:p>
    <w:p w14:paraId="20B4128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3.站位、后退路</w:t>
      </w:r>
    </w:p>
    <w:p w14:paraId="3246DA5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检查站位是否安全，避开片帮冒顶、车辆及机械运行等伤害危险。并保证后退路畅通。</w:t>
      </w:r>
    </w:p>
    <w:p w14:paraId="2FBBA10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4.持证</w:t>
      </w:r>
    </w:p>
    <w:p w14:paraId="4502C2C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测风工必须经资质机构培训，取得操作资格证书后，持证上岗。</w:t>
      </w:r>
    </w:p>
    <w:p w14:paraId="5AFBDCE3">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 xml:space="preserve">、操作过程中注意事项 </w:t>
      </w:r>
    </w:p>
    <w:p w14:paraId="67445B0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（一）</w:t>
      </w:r>
      <w:r>
        <w:rPr>
          <w:rFonts w:hint="eastAsia" w:ascii="仿宋" w:hAnsi="仿宋" w:eastAsia="仿宋" w:cs="仿宋"/>
          <w:b/>
          <w:color w:val="auto"/>
          <w:sz w:val="28"/>
          <w:szCs w:val="28"/>
          <w:highlight w:val="none"/>
        </w:rPr>
        <w:t>必须掌握的条款</w:t>
      </w:r>
    </w:p>
    <w:p w14:paraId="05EC0F7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1、避开行车</w:t>
      </w:r>
    </w:p>
    <w:p w14:paraId="7A0F690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测风时避开巷道行人、行车。</w:t>
      </w:r>
    </w:p>
    <w:p w14:paraId="1427CBE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平稳匀速</w:t>
      </w:r>
    </w:p>
    <w:p w14:paraId="2FF88E7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风表移动要平稳、匀速，测量过程不允许改变风表移动速度。</w:t>
      </w:r>
    </w:p>
    <w:p w14:paraId="0F8C748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风表位置</w:t>
      </w:r>
    </w:p>
    <w:p w14:paraId="123E34C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风表距测风员身体及巷道顶、帮、底20cm以上。</w:t>
      </w:r>
    </w:p>
    <w:p w14:paraId="4FE7F7A2">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风表方向</w:t>
      </w:r>
    </w:p>
    <w:p w14:paraId="72A67C5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风表与风流方向垂直。</w:t>
      </w:r>
    </w:p>
    <w:p w14:paraId="71E9652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风表保存</w:t>
      </w:r>
    </w:p>
    <w:p w14:paraId="6654F48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风表放入风表盒内保存，专人管理。</w:t>
      </w:r>
    </w:p>
    <w:p w14:paraId="1A1E1DF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问题汇报</w:t>
      </w:r>
    </w:p>
    <w:p w14:paraId="7AE6299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风速、温度不符合规定时，汇报处理。</w:t>
      </w:r>
    </w:p>
    <w:p w14:paraId="3B521EE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三对口</w:t>
      </w:r>
    </w:p>
    <w:p w14:paraId="13AF4AD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测风牌板、手册、报表“三对口”。</w:t>
      </w:r>
    </w:p>
    <w:p w14:paraId="22B27E1A">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（二）全部条款</w:t>
      </w:r>
    </w:p>
    <w:p w14:paraId="7F43C29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仪器入井前检查事项,有一项不符合要求严禁下井使用。</w:t>
      </w:r>
    </w:p>
    <w:p w14:paraId="6F6C77D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（1）下井前要选好所使用仪表的类型、型号，并检查仪表是否完好、风表校正曲线是否吻合。</w:t>
      </w:r>
    </w:p>
    <w:p w14:paraId="4E2BA1D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（2）风表开关、回零装置、指针是否灵敏可靠，外壳以及各部件螺钉有无松动、异常。</w:t>
      </w:r>
    </w:p>
    <w:p w14:paraId="77CBFF7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（3）秒表的开关指针是否灵敏可靠，计时是否准确。</w:t>
      </w:r>
    </w:p>
    <w:p w14:paraId="58E3539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（4）瓦斯检测仪器各部件是否完整、电路（气路）是否畅通、气密性是否完好。</w:t>
      </w:r>
    </w:p>
    <w:p w14:paraId="7166673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（5）空盒气压计有无破损，刻度及温度校正表是否齐全，量程是否合乎要求。</w:t>
      </w:r>
    </w:p>
    <w:p w14:paraId="4E6B647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测风时的注意事项</w:t>
      </w:r>
    </w:p>
    <w:p w14:paraId="75E80BA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（1）矿井每10天进行1次全面测风，巷道贯通后应随时测风。测风应在专门的测风站进行。在无测风站的地点测风时，要选择巷道断面规整、无片帮空顶、无障碍物、无淋水和前后10m内无拐弯的直线巷道内进行。</w:t>
      </w:r>
    </w:p>
    <w:p w14:paraId="25EFC7D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（2）回采工作面的风量一般应在工作面的进、回风巷分别测定。</w:t>
      </w:r>
    </w:p>
    <w:p w14:paraId="4287B73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（3）各硐室风量，应在硐室的回风侧进行测量。</w:t>
      </w:r>
    </w:p>
    <w:p w14:paraId="06D53C2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（4）主要通风机风量的测定：在主要通风机扩散器出口布置测点，测3～5次，取其平均值。</w:t>
      </w:r>
    </w:p>
    <w:p w14:paraId="7A2CF27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★（5）测风时要避开巷道行人、行车频繁的时间，避开附近风门开关频繁的时间，测风时不得有人员、车辆经过。</w:t>
      </w:r>
    </w:p>
    <w:p w14:paraId="49F42445">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（6）根据所测地点的风速，选择合适的风表（微速风表0.3～5 m/s；中速风表0.5～10m/s；高速风表10m/s以上）</w:t>
      </w:r>
      <w:r>
        <w:rPr>
          <w:rFonts w:hint="eastAsia" w:ascii="仿宋" w:hAnsi="仿宋" w:eastAsia="仿宋" w:cs="仿宋"/>
          <w:color w:val="auto"/>
          <w:sz w:val="28"/>
          <w:szCs w:val="28"/>
          <w:highlight w:val="none"/>
          <w:lang w:eastAsia="zh-CN"/>
        </w:rPr>
        <w:t>。</w:t>
      </w:r>
    </w:p>
    <w:p w14:paraId="5DB10386">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（7）测风前应关闭计数器，将风表指针回零（不能回零的记录初始数据），在风表运转30s时再开动计数器。在开停风表计数器的同时，开停风表。</w:t>
      </w:r>
    </w:p>
    <w:p w14:paraId="18C39A0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★（8）测风过程中，风表移动要平稳、匀速，不允许在测量过程中为了保证在1min走完全程而改变风表移动速度。</w:t>
      </w:r>
    </w:p>
    <w:p w14:paraId="2639239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★（9）风表在移动时，测风员持表姿势应采用侧身法。测风时风表不能离测风员身体及测风地点顶、帮、底部太近，应保持20cm以上的距离。</w:t>
      </w:r>
    </w:p>
    <w:p w14:paraId="0F2D297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★（10）测风过程中，测风员要能够看到刻度盘。风表要与风流方向垂直（在倾斜井巷中更要注意），角度不得大于10°。</w:t>
      </w:r>
    </w:p>
    <w:p w14:paraId="509093B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（11）在同一断面处测风不得少于3次，每次的结果误差不应超过5%，如果误差大于5%，需要加测1次，直至满足要求〔误差＝（最大读数－最小读数）/最小读数〕。取3次的平均值。</w:t>
      </w:r>
    </w:p>
    <w:p w14:paraId="139FAD4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（12）当巷道实际风速低于0.3m/s时，可以用烟雾法测定。</w:t>
      </w:r>
    </w:p>
    <w:p w14:paraId="3A5B81E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（13）风表使用完毕以后，如果叶片、轴上有水珠、应有脱脂棉轻轻擦去，或用吸水纸吸去水份后放入风表盒内保存。</w:t>
      </w:r>
    </w:p>
    <w:p w14:paraId="6E3462C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（14）风表的螺栓、螺帽不得随意拧紧或拧松，需要维修时，要交专门的维修人员。</w:t>
      </w:r>
    </w:p>
    <w:p w14:paraId="0AF2E8B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★（15）风表要放入风表盒内进行保存、携带、避免碰撞，不能用嘴吹动或用手拨动风表叶片，不得交非测风人员管理。</w:t>
      </w:r>
    </w:p>
    <w:p w14:paraId="0ABE383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★（16）测风员发现风速、气体浓度、温度不符合《煤矿安全规程》规定时，要立即采取措施，查明原因，通知所涉及作业场所的作业人员，采取撤离等措施，并立即向矿井通风部门和调度室汇报。</w:t>
      </w:r>
    </w:p>
    <w:p w14:paraId="21ADD6C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（17）将所测得该点的风速、风量、温度、瓦斯、二氧化碳等数据记录在测风本、现场测风记录牌上，并填写清楚日期、姓名。</w:t>
      </w:r>
    </w:p>
    <w:p w14:paraId="62364F2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（18）测算一下所测数据是否可靠，如个别点闭合差距较大，应分析原因，重新补测。</w:t>
      </w:r>
    </w:p>
    <w:p w14:paraId="586B099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★（19）上井后要及时填写测风报表，做到“牌板”、</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测风原始记录</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测风</w:t>
      </w:r>
      <w:r>
        <w:rPr>
          <w:rFonts w:hint="eastAsia" w:ascii="仿宋" w:hAnsi="仿宋" w:eastAsia="仿宋" w:cs="仿宋"/>
          <w:color w:val="auto"/>
          <w:sz w:val="28"/>
          <w:szCs w:val="28"/>
          <w:highlight w:val="none"/>
        </w:rPr>
        <w:t>报表”</w:t>
      </w:r>
      <w:r>
        <w:rPr>
          <w:rFonts w:hint="eastAsia" w:ascii="仿宋" w:hAnsi="仿宋" w:eastAsia="仿宋" w:cs="仿宋"/>
          <w:color w:val="auto"/>
          <w:sz w:val="28"/>
          <w:szCs w:val="28"/>
          <w:highlight w:val="none"/>
          <w:lang w:val="en-US" w:eastAsia="zh-CN"/>
        </w:rPr>
        <w:t>三对口。</w:t>
      </w:r>
    </w:p>
    <w:p w14:paraId="320FBA22">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测定温度、压力、瓦斯时注意事项</w:t>
      </w:r>
    </w:p>
    <w:p w14:paraId="4C6717C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温度测量：应采用最小分度为0.5℃并经过校正的温度计进行测量。测量时，温度计要离开人体及其他发热体0.5m以上。测量温度的地点为：掘进工作面距迎头2m处，采煤工作面在回风巷距工作面回风口15m处，机电硐室在回风口处。测定的时间应选择在8点-16点之间。</w:t>
      </w:r>
    </w:p>
    <w:p w14:paraId="2C84071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（2）压力测量：用空盒气压计测压时，应将仪器盒面平行于风流方向放置，等待10～2Omin，一边注意指针的位置，一边用手轻击气压计的玻璃，指针稳定后，读出测点的大气压力。</w:t>
      </w:r>
    </w:p>
    <w:p w14:paraId="6857096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（3）瓦斯和二氧化碳测量注意事项参照瓦斯检查员操作注意事项。</w:t>
      </w:r>
    </w:p>
    <w:p w14:paraId="336216E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局部通风机工作风量测定时注意事项</w:t>
      </w:r>
    </w:p>
    <w:p w14:paraId="27F34C4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（1）用风表测定时，先在风机吸风口前10m处测得风速，计算出该处风量，再在局部通风机后5m处测得风速，计算出该处风量，两处风量之差就是局部通风机的工作风量</w:t>
      </w:r>
      <w:r>
        <w:rPr>
          <w:rFonts w:hint="eastAsia" w:ascii="仿宋" w:hAnsi="仿宋" w:eastAsia="仿宋" w:cs="仿宋"/>
          <w:color w:val="auto"/>
          <w:sz w:val="28"/>
          <w:szCs w:val="28"/>
          <w:highlight w:val="none"/>
          <w:lang w:eastAsia="zh-CN"/>
        </w:rPr>
        <w:t>。</w:t>
      </w:r>
    </w:p>
    <w:p w14:paraId="144031C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（2）在局部通风机的进、出风口直接用高速风表测定时，应当手持风表紧靠防护网，按照绕线法在吸风口全断面内均匀地移动1min而测得，测风人员须站在一侧，不可正对进、出风口。</w:t>
      </w:r>
    </w:p>
    <w:p w14:paraId="72A1F47A">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、操作完成后确认</w:t>
      </w:r>
    </w:p>
    <w:p w14:paraId="4F71F00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1.测风结果记录</w:t>
      </w:r>
      <w:r>
        <w:rPr>
          <w:rFonts w:hint="eastAsia" w:ascii="仿宋" w:hAnsi="仿宋" w:eastAsia="仿宋" w:cs="仿宋"/>
          <w:color w:val="auto"/>
          <w:sz w:val="28"/>
          <w:szCs w:val="28"/>
          <w:highlight w:val="none"/>
          <w:lang w:eastAsia="zh-CN"/>
        </w:rPr>
        <w:t>。</w:t>
      </w:r>
    </w:p>
    <w:p w14:paraId="1571D581">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将测风结果及时记入测风牌板、手册，确保数据齐全、准确。</w:t>
      </w:r>
    </w:p>
    <w:p w14:paraId="3261DD4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lang w:eastAsia="zh-CN"/>
        </w:rPr>
      </w:pPr>
      <w:r>
        <w:rPr>
          <w:rFonts w:hint="eastAsia" w:ascii="仿宋" w:hAnsi="仿宋" w:eastAsia="仿宋" w:cs="仿宋"/>
          <w:color w:val="auto"/>
          <w:sz w:val="28"/>
          <w:szCs w:val="28"/>
          <w:highlight w:val="none"/>
        </w:rPr>
        <w:t>2.风量不足处理</w:t>
      </w:r>
      <w:r>
        <w:rPr>
          <w:rFonts w:hint="eastAsia" w:ascii="仿宋" w:hAnsi="仿宋" w:eastAsia="仿宋" w:cs="仿宋"/>
          <w:color w:val="auto"/>
          <w:sz w:val="28"/>
          <w:szCs w:val="28"/>
          <w:highlight w:val="none"/>
          <w:lang w:eastAsia="zh-CN"/>
        </w:rPr>
        <w:t>。</w:t>
      </w:r>
    </w:p>
    <w:p w14:paraId="517D178A">
      <w:pPr>
        <w:keepNext w:val="0"/>
        <w:keepLines w:val="0"/>
        <w:pageBreakBefore w:val="0"/>
        <w:widowControl/>
        <w:shd w:val="clear" w:color="auto" w:fill="FEFEFF"/>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风量不足时，汇报矿通防部门，查明原因，采取措施，进行处理。</w:t>
      </w:r>
    </w:p>
    <w:p w14:paraId="12F07958">
      <w:pPr>
        <w:keepNext w:val="0"/>
        <w:keepLines w:val="0"/>
        <w:pageBreakBefore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单元检查表确认</w:t>
      </w:r>
    </w:p>
    <w:p w14:paraId="02712DA6">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1.确认</w:t>
      </w:r>
      <w:r>
        <w:rPr>
          <w:rFonts w:hint="eastAsia" w:ascii="仿宋" w:hAnsi="仿宋" w:eastAsia="仿宋" w:cs="仿宋"/>
          <w:color w:val="auto"/>
          <w:sz w:val="28"/>
          <w:szCs w:val="28"/>
          <w:highlight w:val="none"/>
        </w:rPr>
        <w:t>下井前选好所使用仪表的类型、型号，并</w:t>
      </w:r>
      <w:r>
        <w:rPr>
          <w:rFonts w:hint="eastAsia" w:ascii="仿宋" w:hAnsi="仿宋" w:eastAsia="仿宋" w:cs="仿宋"/>
          <w:color w:val="auto"/>
          <w:sz w:val="28"/>
          <w:szCs w:val="28"/>
          <w:highlight w:val="none"/>
          <w:lang w:val="en-US" w:eastAsia="zh-CN"/>
        </w:rPr>
        <w:t>确认</w:t>
      </w:r>
      <w:r>
        <w:rPr>
          <w:rFonts w:hint="eastAsia" w:ascii="仿宋" w:hAnsi="仿宋" w:eastAsia="仿宋" w:cs="仿宋"/>
          <w:color w:val="auto"/>
          <w:sz w:val="28"/>
          <w:szCs w:val="28"/>
          <w:highlight w:val="none"/>
        </w:rPr>
        <w:t>仪表、风表校正曲线吻合。</w:t>
      </w:r>
    </w:p>
    <w:p w14:paraId="0CF0276E">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2.确认</w:t>
      </w:r>
      <w:r>
        <w:rPr>
          <w:rFonts w:hint="eastAsia" w:ascii="仿宋" w:hAnsi="仿宋" w:eastAsia="仿宋" w:cs="仿宋"/>
          <w:color w:val="auto"/>
          <w:sz w:val="28"/>
          <w:szCs w:val="28"/>
          <w:highlight w:val="none"/>
        </w:rPr>
        <w:t>风表开关、回零装置、指针灵敏可靠，外壳以及各部件螺钉无松动、异常。</w:t>
      </w:r>
    </w:p>
    <w:p w14:paraId="513728C2">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3.确认</w:t>
      </w:r>
      <w:r>
        <w:rPr>
          <w:rFonts w:hint="eastAsia" w:ascii="仿宋" w:hAnsi="仿宋" w:eastAsia="仿宋" w:cs="仿宋"/>
          <w:color w:val="auto"/>
          <w:sz w:val="28"/>
          <w:szCs w:val="28"/>
          <w:highlight w:val="none"/>
        </w:rPr>
        <w:t>秒表的开关指针灵敏可靠，计时准确。</w:t>
      </w:r>
    </w:p>
    <w:p w14:paraId="2D37C6AB">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4.确认</w:t>
      </w:r>
      <w:r>
        <w:rPr>
          <w:rFonts w:hint="eastAsia" w:ascii="仿宋" w:hAnsi="仿宋" w:eastAsia="仿宋" w:cs="仿宋"/>
          <w:color w:val="auto"/>
          <w:sz w:val="28"/>
          <w:szCs w:val="28"/>
          <w:highlight w:val="none"/>
        </w:rPr>
        <w:t>瓦斯检测仪器各部件否完整、电路（气路）畅通、气密性完好。</w:t>
      </w:r>
    </w:p>
    <w:p w14:paraId="1D1AAE24">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5.确认</w:t>
      </w:r>
      <w:r>
        <w:rPr>
          <w:rFonts w:hint="eastAsia" w:ascii="仿宋" w:hAnsi="仿宋" w:eastAsia="仿宋" w:cs="仿宋"/>
          <w:color w:val="auto"/>
          <w:sz w:val="28"/>
          <w:szCs w:val="28"/>
          <w:highlight w:val="none"/>
        </w:rPr>
        <w:t>空盒气压计无破损，刻度及温度校正表齐全，量程合乎要求。</w:t>
      </w:r>
    </w:p>
    <w:p w14:paraId="440196DF">
      <w:pPr>
        <w:keepNext w:val="0"/>
        <w:keepLines w:val="0"/>
        <w:pageBreakBefore w:val="0"/>
        <w:widowControl/>
        <w:shd w:val="clear" w:color="auto" w:fill="FEFEFF"/>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sz w:val="28"/>
          <w:szCs w:val="28"/>
          <w:highlight w:val="none"/>
          <w:lang w:val="en-US" w:eastAsia="zh-CN"/>
        </w:rPr>
        <w:t>6.确认测风地点顶帮完好。</w:t>
      </w:r>
    </w:p>
    <w:p w14:paraId="5F07E733">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、本工种案例教育</w:t>
      </w:r>
    </w:p>
    <w:p w14:paraId="2069EF87">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案例一：风量调节不及时，导致工作面停产事故</w:t>
      </w:r>
    </w:p>
    <w:p w14:paraId="79176CE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2007年9月24日夜班，0：20分，某矿通巷工区跟班副区长汇报：5103工作面实际风量低，调度室下达5103工作面停止生产命令，工作面已停止生产；调度室立即汇报矿总工程师、并安排通巷工区测风工去现场测风，通巷工区跟班副区长安排通风班长调整风量； 0：50分通巷工区测风工汇报：5103实际风量为140立方；通风班班长4：10完成5103工作面的风量调整，经过测风，4：20分通巷工区区长汇报：5103面实际风量已达到580立方，满足工作面风量需求，随后调度室下达5103工作面恢复生产命令，并恢复生产；因风量不足造成5103工作面停止生产4个小时。</w:t>
      </w:r>
    </w:p>
    <w:p w14:paraId="4F73631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（一）</w:t>
      </w:r>
      <w:r>
        <w:rPr>
          <w:rFonts w:hint="eastAsia" w:ascii="仿宋" w:hAnsi="仿宋" w:eastAsia="仿宋" w:cs="仿宋"/>
          <w:b w:val="0"/>
          <w:bCs w:val="0"/>
          <w:color w:val="auto"/>
          <w:sz w:val="28"/>
          <w:szCs w:val="28"/>
          <w:highlight w:val="none"/>
        </w:rPr>
        <w:t>事故主要原因</w:t>
      </w:r>
    </w:p>
    <w:p w14:paraId="1C262B7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巷工区通风班班长安全意识淡薄，工作责任心差，对5103工作面通风工作重视不够，缺乏系统思考，对5105运顺联络巷贯通后可能造成5103面风量降低预见性不强，封堵工作准备不充分，以至在5105贯通后采取措施不力，是造成此次5103工作面风量不足的直接原因。</w:t>
      </w:r>
    </w:p>
    <w:p w14:paraId="1354579D">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巷工区作为全矿负责通防工作的主体单位，对5103面风量一直不稳未引起高度重视，工作缺少超前意识，对5103面42#--68#架之间采空区顶板一直未垮落导致漏风采取措施不力，未及时在两端头挂挡风帘，也是是造成此次事故的主要原因。</w:t>
      </w:r>
    </w:p>
    <w:p w14:paraId="5CA3229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防范措施：</w:t>
      </w:r>
    </w:p>
    <w:p w14:paraId="6CB135D4">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测风员及时对矿井各个作业地点进行测风，发现风量不能满足生产需要时要及时汇报</w:t>
      </w:r>
      <w:r>
        <w:rPr>
          <w:rFonts w:hint="eastAsia" w:ascii="仿宋" w:hAnsi="仿宋" w:eastAsia="仿宋" w:cs="仿宋"/>
          <w:color w:val="auto"/>
          <w:sz w:val="28"/>
          <w:szCs w:val="28"/>
          <w:highlight w:val="none"/>
          <w:lang w:eastAsia="zh-CN"/>
        </w:rPr>
        <w:t>。</w:t>
      </w:r>
    </w:p>
    <w:p w14:paraId="4C1577C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各级管理人员要从思想上重视，合理对用风地点风量进行调节，保证各地点用风需要。</w:t>
      </w:r>
    </w:p>
    <w:p w14:paraId="4B552562">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案例二：局部风机喝循环，造成瓦斯积聚事故</w:t>
      </w:r>
    </w:p>
    <w:p w14:paraId="35DF8E9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某矿准备启封一条盲巷排放瓦斯，测风工调节风量后没有认真测风就急于上井，但在排放瓦斯过程中未能及时发现风机前风量不足，造成风机前瓦斯超限，导致风机不能正常运转，影响瓦斯排放。</w:t>
      </w:r>
    </w:p>
    <w:p w14:paraId="45E22AF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（一）</w:t>
      </w:r>
      <w:r>
        <w:rPr>
          <w:rFonts w:hint="eastAsia" w:ascii="仿宋" w:hAnsi="仿宋" w:eastAsia="仿宋" w:cs="仿宋"/>
          <w:b w:val="0"/>
          <w:bCs w:val="0"/>
          <w:color w:val="auto"/>
          <w:sz w:val="28"/>
          <w:szCs w:val="28"/>
          <w:highlight w:val="none"/>
        </w:rPr>
        <w:t>事故主要原因：</w:t>
      </w:r>
    </w:p>
    <w:p w14:paraId="49963C78">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风量调节工作不到位，风机安设处全风压风量不足；</w:t>
      </w:r>
    </w:p>
    <w:p w14:paraId="5A3A478C">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测风工作不认真，未及时发现全风压处风机风量不足；</w:t>
      </w:r>
    </w:p>
    <w:p w14:paraId="07E621E2">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多工种之间协作不到位。</w:t>
      </w:r>
    </w:p>
    <w:p w14:paraId="5612629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（二）</w:t>
      </w:r>
      <w:r>
        <w:rPr>
          <w:rFonts w:hint="eastAsia" w:ascii="仿宋" w:hAnsi="仿宋" w:eastAsia="仿宋" w:cs="仿宋"/>
          <w:b w:val="0"/>
          <w:bCs w:val="0"/>
          <w:color w:val="auto"/>
          <w:sz w:val="28"/>
          <w:szCs w:val="28"/>
          <w:highlight w:val="none"/>
        </w:rPr>
        <w:t>防范措施：</w:t>
      </w:r>
    </w:p>
    <w:p w14:paraId="0CCFCCB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加大对测风员管理，严格遵守测风员安全生产岗位责任；</w:t>
      </w:r>
    </w:p>
    <w:p w14:paraId="46F2080A">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特别是加大矿井风量的调节力度，杜绝风机喝循环风现象；</w:t>
      </w:r>
    </w:p>
    <w:p w14:paraId="0B6856B7">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加大各工种之间的协调工作。</w:t>
      </w:r>
    </w:p>
    <w:p w14:paraId="3C421B65">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九</w:t>
      </w:r>
      <w:r>
        <w:rPr>
          <w:rFonts w:hint="eastAsia" w:ascii="仿宋" w:hAnsi="仿宋" w:eastAsia="仿宋" w:cs="仿宋"/>
          <w:b/>
          <w:bCs/>
          <w:color w:val="auto"/>
          <w:sz w:val="28"/>
          <w:szCs w:val="28"/>
          <w:highlight w:val="none"/>
        </w:rPr>
        <w:t>、常见三违：</w:t>
      </w:r>
    </w:p>
    <w:p w14:paraId="08BAEE6E">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测风地点、数据与现场实际不符、计算错误、弄虚作假</w:t>
      </w:r>
      <w:r>
        <w:rPr>
          <w:rFonts w:hint="eastAsia" w:ascii="仿宋" w:hAnsi="仿宋" w:eastAsia="仿宋" w:cs="仿宋"/>
          <w:color w:val="auto"/>
          <w:sz w:val="28"/>
          <w:szCs w:val="28"/>
          <w:highlight w:val="none"/>
          <w:lang w:eastAsia="zh-CN"/>
        </w:rPr>
        <w:t>；</w:t>
      </w:r>
    </w:p>
    <w:p w14:paraId="3A3FEA5B">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测风周期违反规定</w:t>
      </w:r>
      <w:r>
        <w:rPr>
          <w:rFonts w:hint="eastAsia" w:ascii="仿宋" w:hAnsi="仿宋" w:eastAsia="仿宋" w:cs="仿宋"/>
          <w:color w:val="auto"/>
          <w:sz w:val="28"/>
          <w:szCs w:val="28"/>
          <w:highlight w:val="none"/>
          <w:lang w:eastAsia="zh-CN"/>
        </w:rPr>
        <w:t>；</w:t>
      </w:r>
    </w:p>
    <w:p w14:paraId="0CC1D11F">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在有顶板、车辆等隐患的地点测风未采取安全措施</w:t>
      </w:r>
      <w:r>
        <w:rPr>
          <w:rFonts w:hint="eastAsia" w:ascii="仿宋" w:hAnsi="仿宋" w:eastAsia="仿宋" w:cs="仿宋"/>
          <w:color w:val="auto"/>
          <w:sz w:val="28"/>
          <w:szCs w:val="28"/>
          <w:highlight w:val="none"/>
          <w:lang w:eastAsia="zh-CN"/>
        </w:rPr>
        <w:t>；</w:t>
      </w:r>
    </w:p>
    <w:p w14:paraId="395E0F70">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所测的风量闭合差距较大时，未及时查明原因，进行处理</w:t>
      </w:r>
      <w:r>
        <w:rPr>
          <w:rFonts w:hint="eastAsia" w:ascii="仿宋" w:hAnsi="仿宋" w:eastAsia="仿宋" w:cs="仿宋"/>
          <w:color w:val="auto"/>
          <w:sz w:val="28"/>
          <w:szCs w:val="28"/>
          <w:highlight w:val="none"/>
          <w:lang w:eastAsia="zh-CN"/>
        </w:rPr>
        <w:t>；</w:t>
      </w:r>
    </w:p>
    <w:p w14:paraId="49CD99C9">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测风结束后未在测风牌板上填写测风数据</w:t>
      </w:r>
      <w:r>
        <w:rPr>
          <w:rFonts w:hint="eastAsia" w:ascii="仿宋" w:hAnsi="仿宋" w:eastAsia="仿宋" w:cs="仿宋"/>
          <w:color w:val="auto"/>
          <w:sz w:val="28"/>
          <w:szCs w:val="28"/>
          <w:highlight w:val="none"/>
          <w:lang w:eastAsia="zh-CN"/>
        </w:rPr>
        <w:t>；</w:t>
      </w:r>
    </w:p>
    <w:p w14:paraId="5B9014D3">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在风井、风硐、主要通风机扩散器（塔）测风时未采取安全措施。</w:t>
      </w:r>
    </w:p>
    <w:p w14:paraId="51C79ADB">
      <w:pPr>
        <w:rPr>
          <w:rFonts w:hint="eastAsia" w:ascii="仿宋" w:hAnsi="仿宋" w:eastAsia="仿宋" w:cs="仿宋"/>
          <w:b/>
          <w:bCs/>
          <w:color w:val="auto"/>
          <w:kern w:val="0"/>
          <w:sz w:val="36"/>
          <w:szCs w:val="36"/>
          <w:highlight w:val="none"/>
          <w:lang w:val="en-US" w:eastAsia="zh-CN"/>
        </w:rPr>
      </w:pPr>
      <w:bookmarkStart w:id="506" w:name="_Toc29250"/>
      <w:bookmarkStart w:id="507" w:name="_Toc5518"/>
      <w:bookmarkStart w:id="508" w:name="_Toc13241"/>
      <w:bookmarkStart w:id="509" w:name="_Toc22912"/>
      <w:bookmarkStart w:id="510" w:name="_Toc19274"/>
      <w:bookmarkStart w:id="511" w:name="_Toc648"/>
      <w:bookmarkStart w:id="512" w:name="_Toc11322"/>
      <w:r>
        <w:rPr>
          <w:rFonts w:hint="eastAsia" w:ascii="仿宋" w:hAnsi="仿宋" w:eastAsia="仿宋" w:cs="仿宋"/>
          <w:b/>
          <w:bCs/>
          <w:color w:val="auto"/>
          <w:kern w:val="0"/>
          <w:sz w:val="36"/>
          <w:szCs w:val="36"/>
          <w:highlight w:val="none"/>
          <w:lang w:val="en-US" w:eastAsia="zh-CN"/>
        </w:rPr>
        <w:br w:type="page"/>
      </w:r>
    </w:p>
    <w:p w14:paraId="14BE04A6">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1"/>
        <w:rPr>
          <w:rFonts w:hint="eastAsia" w:ascii="仿宋" w:hAnsi="仿宋" w:eastAsia="仿宋" w:cs="仿宋"/>
          <w:b/>
          <w:bCs/>
          <w:color w:val="auto"/>
          <w:kern w:val="0"/>
          <w:sz w:val="36"/>
          <w:szCs w:val="36"/>
          <w:highlight w:val="none"/>
          <w:lang w:val="en-US" w:eastAsia="zh-CN"/>
        </w:rPr>
      </w:pPr>
      <w:bookmarkStart w:id="513" w:name="_Toc23277"/>
      <w:r>
        <w:rPr>
          <w:rFonts w:hint="eastAsia" w:ascii="仿宋" w:hAnsi="仿宋" w:eastAsia="仿宋" w:cs="仿宋"/>
          <w:b/>
          <w:bCs/>
          <w:color w:val="auto"/>
          <w:kern w:val="0"/>
          <w:sz w:val="36"/>
          <w:szCs w:val="36"/>
          <w:highlight w:val="none"/>
          <w:lang w:val="en-US" w:eastAsia="zh-CN"/>
        </w:rPr>
        <w:t>通风设施工</w:t>
      </w:r>
      <w:bookmarkEnd w:id="506"/>
      <w:bookmarkEnd w:id="507"/>
      <w:bookmarkEnd w:id="508"/>
      <w:bookmarkEnd w:id="509"/>
      <w:bookmarkEnd w:id="510"/>
      <w:bookmarkEnd w:id="511"/>
      <w:bookmarkEnd w:id="512"/>
      <w:bookmarkEnd w:id="513"/>
    </w:p>
    <w:tbl>
      <w:tblPr>
        <w:tblStyle w:val="12"/>
        <w:tblW w:w="9100" w:type="dxa"/>
        <w:jc w:val="center"/>
        <w:tblLayout w:type="fixed"/>
        <w:tblCellMar>
          <w:top w:w="0" w:type="dxa"/>
          <w:left w:w="108" w:type="dxa"/>
          <w:bottom w:w="0" w:type="dxa"/>
          <w:right w:w="108" w:type="dxa"/>
        </w:tblCellMar>
      </w:tblPr>
      <w:tblGrid>
        <w:gridCol w:w="859"/>
        <w:gridCol w:w="139"/>
        <w:gridCol w:w="2803"/>
        <w:gridCol w:w="933"/>
        <w:gridCol w:w="4366"/>
      </w:tblGrid>
      <w:tr w14:paraId="15823AEA">
        <w:tblPrEx>
          <w:tblCellMar>
            <w:top w:w="0" w:type="dxa"/>
            <w:left w:w="108" w:type="dxa"/>
            <w:bottom w:w="0" w:type="dxa"/>
            <w:right w:w="108" w:type="dxa"/>
          </w:tblCellMar>
        </w:tblPrEx>
        <w:trPr>
          <w:trHeight w:val="470" w:hRule="atLeast"/>
          <w:jc w:val="center"/>
        </w:trPr>
        <w:tc>
          <w:tcPr>
            <w:tcW w:w="9100" w:type="dxa"/>
            <w:gridSpan w:val="5"/>
            <w:tcBorders>
              <w:top w:val="single" w:color="auto" w:sz="4" w:space="0"/>
              <w:left w:val="single" w:color="auto" w:sz="4" w:space="0"/>
              <w:bottom w:val="single" w:color="auto" w:sz="4" w:space="0"/>
              <w:right w:val="single" w:color="auto" w:sz="4" w:space="0"/>
            </w:tcBorders>
            <w:vAlign w:val="center"/>
          </w:tcPr>
          <w:p w14:paraId="0A53B066">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1"/>
                <w:szCs w:val="21"/>
              </w:rPr>
            </w:pPr>
            <w:r>
              <w:rPr>
                <w:rFonts w:hint="eastAsia" w:ascii="仿宋" w:hAnsi="仿宋" w:eastAsia="仿宋" w:cs="仿宋"/>
                <w:b w:val="0"/>
                <w:bCs/>
                <w:color w:val="auto"/>
                <w:kern w:val="0"/>
                <w:sz w:val="21"/>
                <w:szCs w:val="21"/>
              </w:rPr>
              <w:t>岗位风险告知卡</w:t>
            </w:r>
          </w:p>
        </w:tc>
      </w:tr>
      <w:tr w14:paraId="65CDB17C">
        <w:tblPrEx>
          <w:tblCellMar>
            <w:top w:w="0" w:type="dxa"/>
            <w:left w:w="108" w:type="dxa"/>
            <w:bottom w:w="0" w:type="dxa"/>
            <w:right w:w="108" w:type="dxa"/>
          </w:tblCellMar>
        </w:tblPrEx>
        <w:trPr>
          <w:trHeight w:val="1738" w:hRule="atLeast"/>
          <w:jc w:val="center"/>
        </w:trPr>
        <w:tc>
          <w:tcPr>
            <w:tcW w:w="998" w:type="dxa"/>
            <w:gridSpan w:val="2"/>
            <w:tcBorders>
              <w:top w:val="single" w:color="auto" w:sz="4" w:space="0"/>
              <w:left w:val="single" w:color="auto" w:sz="4" w:space="0"/>
              <w:bottom w:val="single" w:color="auto" w:sz="4" w:space="0"/>
              <w:right w:val="single" w:color="auto" w:sz="4" w:space="0"/>
            </w:tcBorders>
            <w:vAlign w:val="center"/>
          </w:tcPr>
          <w:p w14:paraId="02743E53">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4646D3AC">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03" w:type="dxa"/>
            <w:tcBorders>
              <w:top w:val="single" w:color="auto" w:sz="4" w:space="0"/>
              <w:left w:val="nil"/>
              <w:bottom w:val="single" w:color="auto" w:sz="4" w:space="0"/>
              <w:right w:val="single" w:color="auto" w:sz="4" w:space="0"/>
            </w:tcBorders>
            <w:vAlign w:val="center"/>
          </w:tcPr>
          <w:p w14:paraId="08AB3B3F">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kern w:val="2"/>
                <w:sz w:val="21"/>
                <w:szCs w:val="21"/>
                <w:u w:val="none"/>
                <w:lang w:val="en-US" w:eastAsia="zh-CN" w:bidi="ar-SA"/>
              </w:rPr>
            </w:pPr>
            <w:r>
              <w:rPr>
                <w:rFonts w:hint="eastAsia" w:ascii="仿宋" w:hAnsi="仿宋" w:eastAsia="仿宋" w:cs="仿宋"/>
                <w:i w:val="0"/>
                <w:iCs w:val="0"/>
                <w:color w:val="auto"/>
                <w:kern w:val="0"/>
                <w:sz w:val="21"/>
                <w:szCs w:val="21"/>
                <w:u w:val="none"/>
                <w:lang w:val="en-US" w:eastAsia="zh-CN" w:bidi="ar"/>
              </w:rPr>
              <w:t>冒顶（片帮）、高处坠落</w:t>
            </w:r>
          </w:p>
        </w:tc>
        <w:tc>
          <w:tcPr>
            <w:tcW w:w="933" w:type="dxa"/>
            <w:tcBorders>
              <w:top w:val="single" w:color="auto" w:sz="4" w:space="0"/>
              <w:left w:val="nil"/>
              <w:bottom w:val="single" w:color="auto" w:sz="4" w:space="0"/>
              <w:right w:val="single" w:color="auto" w:sz="4" w:space="0"/>
            </w:tcBorders>
            <w:vAlign w:val="center"/>
          </w:tcPr>
          <w:p w14:paraId="62D4EEB9">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78F13969">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366" w:type="dxa"/>
            <w:tcBorders>
              <w:top w:val="single" w:color="auto" w:sz="4" w:space="0"/>
              <w:left w:val="nil"/>
              <w:bottom w:val="single" w:color="auto" w:sz="4" w:space="0"/>
              <w:right w:val="single" w:color="auto" w:sz="4" w:space="0"/>
            </w:tcBorders>
            <w:vAlign w:val="center"/>
          </w:tcPr>
          <w:p w14:paraId="41E7A586">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8650342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0461B06E">
        <w:tblPrEx>
          <w:tblCellMar>
            <w:top w:w="0" w:type="dxa"/>
            <w:left w:w="108" w:type="dxa"/>
            <w:bottom w:w="0" w:type="dxa"/>
            <w:right w:w="108" w:type="dxa"/>
          </w:tblCellMar>
        </w:tblPrEx>
        <w:trPr>
          <w:trHeight w:val="586"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14:paraId="24BCD15C">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299" w:type="dxa"/>
            <w:gridSpan w:val="2"/>
            <w:tcBorders>
              <w:top w:val="single" w:color="auto" w:sz="4" w:space="0"/>
              <w:left w:val="nil"/>
              <w:bottom w:val="single" w:color="auto" w:sz="4" w:space="0"/>
              <w:right w:val="single" w:color="auto" w:sz="4" w:space="0"/>
            </w:tcBorders>
            <w:vAlign w:val="center"/>
          </w:tcPr>
          <w:p w14:paraId="6387B11B">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19F2F3EF">
        <w:tblPrEx>
          <w:tblCellMar>
            <w:top w:w="0" w:type="dxa"/>
            <w:left w:w="108" w:type="dxa"/>
            <w:bottom w:w="0" w:type="dxa"/>
            <w:right w:w="108" w:type="dxa"/>
          </w:tblCellMar>
        </w:tblPrEx>
        <w:trPr>
          <w:trHeight w:val="1010"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14:paraId="7814A57B">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1.未佩戴个体防护；空顶作业。</w:t>
            </w:r>
          </w:p>
        </w:tc>
        <w:tc>
          <w:tcPr>
            <w:tcW w:w="5299" w:type="dxa"/>
            <w:gridSpan w:val="2"/>
            <w:tcBorders>
              <w:top w:val="single" w:color="auto" w:sz="4" w:space="0"/>
              <w:left w:val="nil"/>
              <w:bottom w:val="single" w:color="auto" w:sz="4" w:space="0"/>
              <w:right w:val="single" w:color="auto" w:sz="4" w:space="0"/>
            </w:tcBorders>
            <w:vAlign w:val="center"/>
          </w:tcPr>
          <w:p w14:paraId="1B0CE8C8">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1.佩戴好安全帽、口罩；检查好顶帮支护情况，确保顶帮支护合格后方可上岗作业。</w:t>
            </w:r>
          </w:p>
        </w:tc>
      </w:tr>
      <w:tr w14:paraId="060A84DE">
        <w:tblPrEx>
          <w:tblCellMar>
            <w:top w:w="0" w:type="dxa"/>
            <w:left w:w="108" w:type="dxa"/>
            <w:bottom w:w="0" w:type="dxa"/>
            <w:right w:w="108" w:type="dxa"/>
          </w:tblCellMar>
        </w:tblPrEx>
        <w:trPr>
          <w:trHeight w:val="739"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14:paraId="35F817D1">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2.脚手架不牢固。</w:t>
            </w:r>
          </w:p>
        </w:tc>
        <w:tc>
          <w:tcPr>
            <w:tcW w:w="5299" w:type="dxa"/>
            <w:gridSpan w:val="2"/>
            <w:tcBorders>
              <w:top w:val="single" w:color="auto" w:sz="4" w:space="0"/>
              <w:left w:val="nil"/>
              <w:bottom w:val="single" w:color="auto" w:sz="4" w:space="0"/>
              <w:right w:val="single" w:color="auto" w:sz="4" w:space="0"/>
            </w:tcBorders>
            <w:vAlign w:val="center"/>
          </w:tcPr>
          <w:p w14:paraId="12D34175">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2.脚手架牢固可靠。</w:t>
            </w:r>
          </w:p>
        </w:tc>
      </w:tr>
      <w:tr w14:paraId="0BC1EDB4">
        <w:tblPrEx>
          <w:tblCellMar>
            <w:top w:w="0" w:type="dxa"/>
            <w:left w:w="108" w:type="dxa"/>
            <w:bottom w:w="0" w:type="dxa"/>
            <w:right w:w="108" w:type="dxa"/>
          </w:tblCellMar>
        </w:tblPrEx>
        <w:trPr>
          <w:trHeight w:val="586"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14:paraId="32D846CE">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3.登高作业时未佩戴保险带。</w:t>
            </w:r>
          </w:p>
        </w:tc>
        <w:tc>
          <w:tcPr>
            <w:tcW w:w="5299" w:type="dxa"/>
            <w:gridSpan w:val="2"/>
            <w:tcBorders>
              <w:top w:val="single" w:color="auto" w:sz="4" w:space="0"/>
              <w:left w:val="nil"/>
              <w:bottom w:val="single" w:color="auto" w:sz="4" w:space="0"/>
              <w:right w:val="single" w:color="auto" w:sz="4" w:space="0"/>
            </w:tcBorders>
            <w:vAlign w:val="center"/>
          </w:tcPr>
          <w:p w14:paraId="7FDAAE1C">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3.登高作业时佩戴保险带。</w:t>
            </w:r>
          </w:p>
        </w:tc>
      </w:tr>
      <w:tr w14:paraId="0FFC1E0A">
        <w:tblPrEx>
          <w:tblCellMar>
            <w:top w:w="0" w:type="dxa"/>
            <w:left w:w="108" w:type="dxa"/>
            <w:bottom w:w="0" w:type="dxa"/>
            <w:right w:w="108" w:type="dxa"/>
          </w:tblCellMar>
        </w:tblPrEx>
        <w:trPr>
          <w:trHeight w:val="1085"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14:paraId="5EDF277E">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4.未制定高空作业时防止工具及物料掉落伤人的措施。</w:t>
            </w:r>
          </w:p>
        </w:tc>
        <w:tc>
          <w:tcPr>
            <w:tcW w:w="5299" w:type="dxa"/>
            <w:gridSpan w:val="2"/>
            <w:tcBorders>
              <w:top w:val="single" w:color="auto" w:sz="4" w:space="0"/>
              <w:left w:val="nil"/>
              <w:bottom w:val="single" w:color="auto" w:sz="4" w:space="0"/>
              <w:right w:val="single" w:color="auto" w:sz="4" w:space="0"/>
            </w:tcBorders>
            <w:vAlign w:val="center"/>
          </w:tcPr>
          <w:p w14:paraId="66CDC8DB">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4.搭设的作业平台、脚手架确保牢固、可靠，制定防止工具及物料掉落伤人的措施。</w:t>
            </w:r>
          </w:p>
        </w:tc>
      </w:tr>
      <w:tr w14:paraId="1DA77D89">
        <w:tblPrEx>
          <w:tblCellMar>
            <w:top w:w="0" w:type="dxa"/>
            <w:left w:w="108" w:type="dxa"/>
            <w:bottom w:w="0" w:type="dxa"/>
            <w:right w:w="108" w:type="dxa"/>
          </w:tblCellMar>
        </w:tblPrEx>
        <w:trPr>
          <w:trHeight w:val="572"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14:paraId="45DCF46D">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5.构筑通风设施时人员站位不当。</w:t>
            </w:r>
          </w:p>
        </w:tc>
        <w:tc>
          <w:tcPr>
            <w:tcW w:w="5299" w:type="dxa"/>
            <w:gridSpan w:val="2"/>
            <w:tcBorders>
              <w:top w:val="single" w:color="auto" w:sz="4" w:space="0"/>
              <w:left w:val="nil"/>
              <w:bottom w:val="single" w:color="auto" w:sz="4" w:space="0"/>
              <w:right w:val="single" w:color="auto" w:sz="4" w:space="0"/>
            </w:tcBorders>
            <w:vAlign w:val="center"/>
          </w:tcPr>
          <w:p w14:paraId="7E3CC2C3">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5.构筑通风设施时确保站位正确，注意观察过往车辆。</w:t>
            </w:r>
          </w:p>
        </w:tc>
      </w:tr>
      <w:tr w14:paraId="032E6474">
        <w:tblPrEx>
          <w:tblCellMar>
            <w:top w:w="0" w:type="dxa"/>
            <w:left w:w="108" w:type="dxa"/>
            <w:bottom w:w="0" w:type="dxa"/>
            <w:right w:w="108" w:type="dxa"/>
          </w:tblCellMar>
        </w:tblPrEx>
        <w:trPr>
          <w:trHeight w:val="1043" w:hRule="atLeast"/>
          <w:jc w:val="center"/>
        </w:trPr>
        <w:tc>
          <w:tcPr>
            <w:tcW w:w="859" w:type="dxa"/>
            <w:tcBorders>
              <w:top w:val="nil"/>
              <w:left w:val="single" w:color="auto" w:sz="4" w:space="0"/>
              <w:bottom w:val="single" w:color="auto" w:sz="4" w:space="0"/>
              <w:right w:val="single" w:color="auto" w:sz="4" w:space="0"/>
            </w:tcBorders>
            <w:vAlign w:val="center"/>
          </w:tcPr>
          <w:p w14:paraId="73F5F493">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2EA381C9">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241" w:type="dxa"/>
            <w:gridSpan w:val="4"/>
            <w:tcBorders>
              <w:top w:val="single" w:color="auto" w:sz="4" w:space="0"/>
              <w:left w:val="nil"/>
              <w:bottom w:val="single" w:color="auto" w:sz="4" w:space="0"/>
              <w:right w:val="single" w:color="auto" w:sz="4" w:space="0"/>
            </w:tcBorders>
            <w:vAlign w:val="center"/>
          </w:tcPr>
          <w:p w14:paraId="2699D02B">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3E1900B1">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36B43206">
        <w:tblPrEx>
          <w:tblCellMar>
            <w:top w:w="0" w:type="dxa"/>
            <w:left w:w="108" w:type="dxa"/>
            <w:bottom w:w="0" w:type="dxa"/>
            <w:right w:w="108" w:type="dxa"/>
          </w:tblCellMar>
        </w:tblPrEx>
        <w:trPr>
          <w:trHeight w:val="1553" w:hRule="atLeast"/>
          <w:jc w:val="center"/>
        </w:trPr>
        <w:tc>
          <w:tcPr>
            <w:tcW w:w="859" w:type="dxa"/>
            <w:tcBorders>
              <w:top w:val="nil"/>
              <w:left w:val="single" w:color="auto" w:sz="4" w:space="0"/>
              <w:bottom w:val="single" w:color="auto" w:sz="4" w:space="0"/>
              <w:right w:val="single" w:color="auto" w:sz="4" w:space="0"/>
            </w:tcBorders>
            <w:vAlign w:val="center"/>
          </w:tcPr>
          <w:p w14:paraId="4F6DC035">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63897671">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25238CEE">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241" w:type="dxa"/>
            <w:gridSpan w:val="4"/>
            <w:tcBorders>
              <w:top w:val="single" w:color="auto" w:sz="4" w:space="0"/>
              <w:left w:val="nil"/>
              <w:bottom w:val="single" w:color="auto" w:sz="4" w:space="0"/>
              <w:right w:val="single" w:color="auto" w:sz="4" w:space="0"/>
            </w:tcBorders>
            <w:vAlign w:val="center"/>
          </w:tcPr>
          <w:p w14:paraId="2565F19A">
            <w:pPr>
              <w:keepNext w:val="0"/>
              <w:keepLines w:val="0"/>
              <w:pageBreakBefore w:val="0"/>
              <w:widowControl/>
              <w:numPr>
                <w:ilvl w:val="0"/>
                <w:numId w:val="0"/>
              </w:numPr>
              <w:kinsoku/>
              <w:wordWrap/>
              <w:overflowPunct/>
              <w:topLinePunct w:val="0"/>
              <w:autoSpaceDE/>
              <w:autoSpaceDN/>
              <w:bidi w:val="0"/>
              <w:adjustRightInd/>
              <w:spacing w:line="240" w:lineRule="auto"/>
              <w:ind w:left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w:t>
            </w:r>
          </w:p>
          <w:p w14:paraId="04479DDD">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tbl>
      <w:tblPr>
        <w:tblStyle w:val="12"/>
        <w:tblpPr w:leftFromText="180" w:rightFromText="180" w:vertAnchor="text" w:horzAnchor="margin" w:tblpXSpec="center" w:tblpY="202"/>
        <w:tblW w:w="900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08"/>
        <w:gridCol w:w="4895"/>
      </w:tblGrid>
      <w:tr w14:paraId="120C4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exact"/>
        </w:trPr>
        <w:tc>
          <w:tcPr>
            <w:tcW w:w="9003" w:type="dxa"/>
            <w:gridSpan w:val="2"/>
            <w:vAlign w:val="center"/>
          </w:tcPr>
          <w:p w14:paraId="0358B035">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color w:val="auto"/>
                <w:sz w:val="21"/>
                <w:szCs w:val="21"/>
                <w:highlight w:val="none"/>
              </w:rPr>
            </w:pPr>
            <w:bookmarkStart w:id="514" w:name="_Toc24751"/>
            <w:bookmarkStart w:id="515" w:name="_Toc21694"/>
            <w:bookmarkStart w:id="516" w:name="_Toc9692"/>
            <w:r>
              <w:rPr>
                <w:rFonts w:hint="eastAsia" w:ascii="仿宋" w:hAnsi="仿宋" w:eastAsia="仿宋" w:cs="仿宋"/>
                <w:b/>
                <w:color w:val="auto"/>
                <w:sz w:val="21"/>
                <w:szCs w:val="21"/>
                <w:highlight w:val="none"/>
              </w:rPr>
              <w:t>通风设施工安全提示卡</w:t>
            </w:r>
            <w:bookmarkEnd w:id="514"/>
            <w:bookmarkEnd w:id="515"/>
            <w:bookmarkEnd w:id="516"/>
          </w:p>
          <w:p w14:paraId="56647208">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1"/>
                <w:szCs w:val="21"/>
                <w:highlight w:val="none"/>
              </w:rPr>
            </w:pPr>
          </w:p>
          <w:p w14:paraId="3352C425">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1"/>
                <w:szCs w:val="21"/>
                <w:highlight w:val="none"/>
              </w:rPr>
            </w:pPr>
          </w:p>
          <w:p w14:paraId="71F94757">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p>
        </w:tc>
      </w:tr>
      <w:tr w14:paraId="3042E7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 w:hRule="exact"/>
        </w:trPr>
        <w:tc>
          <w:tcPr>
            <w:tcW w:w="4108" w:type="dxa"/>
            <w:vAlign w:val="center"/>
          </w:tcPr>
          <w:p w14:paraId="308C0DE3">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操作前检查</w:t>
            </w:r>
          </w:p>
        </w:tc>
        <w:tc>
          <w:tcPr>
            <w:tcW w:w="4895" w:type="dxa"/>
            <w:vAlign w:val="center"/>
          </w:tcPr>
          <w:p w14:paraId="1692CCA4">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★4.脚手架</w:t>
            </w:r>
          </w:p>
        </w:tc>
      </w:tr>
      <w:tr w14:paraId="5342C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exact"/>
        </w:trPr>
        <w:tc>
          <w:tcPr>
            <w:tcW w:w="4108" w:type="dxa"/>
            <w:vAlign w:val="top"/>
          </w:tcPr>
          <w:p w14:paraId="0D5D483B">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★1.顶帮</w:t>
            </w:r>
          </w:p>
        </w:tc>
        <w:tc>
          <w:tcPr>
            <w:tcW w:w="4895" w:type="dxa"/>
            <w:vAlign w:val="center"/>
          </w:tcPr>
          <w:p w14:paraId="6C68B030">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★5.站位、后退路</w:t>
            </w:r>
          </w:p>
        </w:tc>
      </w:tr>
      <w:tr w14:paraId="1CF22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exact"/>
        </w:trPr>
        <w:tc>
          <w:tcPr>
            <w:tcW w:w="4108" w:type="dxa"/>
            <w:vAlign w:val="top"/>
          </w:tcPr>
          <w:p w14:paraId="0ACCA033">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2.通风、瓦斯</w:t>
            </w:r>
          </w:p>
        </w:tc>
        <w:tc>
          <w:tcPr>
            <w:tcW w:w="4895" w:type="dxa"/>
            <w:vAlign w:val="top"/>
          </w:tcPr>
          <w:p w14:paraId="5445B56D">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操作后确认</w:t>
            </w:r>
          </w:p>
        </w:tc>
      </w:tr>
      <w:tr w14:paraId="36685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exact"/>
        </w:trPr>
        <w:tc>
          <w:tcPr>
            <w:tcW w:w="4108" w:type="dxa"/>
            <w:vAlign w:val="top"/>
          </w:tcPr>
          <w:p w14:paraId="790DCDCA">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★3.机械设备运行</w:t>
            </w:r>
          </w:p>
        </w:tc>
        <w:tc>
          <w:tcPr>
            <w:tcW w:w="4895" w:type="dxa"/>
            <w:vAlign w:val="top"/>
          </w:tcPr>
          <w:p w14:paraId="19F918B1">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场地清理</w:t>
            </w:r>
          </w:p>
        </w:tc>
      </w:tr>
      <w:tr w14:paraId="6A5F9D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exact"/>
        </w:trPr>
        <w:tc>
          <w:tcPr>
            <w:tcW w:w="9003" w:type="dxa"/>
            <w:gridSpan w:val="2"/>
            <w:vAlign w:val="top"/>
          </w:tcPr>
          <w:p w14:paraId="298E5A80">
            <w:pPr>
              <w:keepNext w:val="0"/>
              <w:keepLines w:val="0"/>
              <w:pageBreakBefore w:val="0"/>
              <w:kinsoku/>
              <w:wordWrap/>
              <w:overflowPunct/>
              <w:topLinePunct w:val="0"/>
              <w:autoSpaceDE/>
              <w:autoSpaceDN/>
              <w:bidi w:val="0"/>
              <w:adjustRightInd/>
              <w:spacing w:line="240" w:lineRule="auto"/>
              <w:ind w:firstLine="420" w:firstLineChars="2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手指口述：第一次按操作前内容逐项检查并口述确认，存在问题整改后再确认；中间再次操作只检查带“★”部分；操作全部结束后按操作后内容逐项检查并口述确认。</w:t>
            </w:r>
          </w:p>
        </w:tc>
      </w:tr>
    </w:tbl>
    <w:p w14:paraId="709856A6">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1637" w:tblpY="287"/>
        <w:tblW w:w="88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60"/>
      </w:tblGrid>
      <w:tr w14:paraId="5C0F7C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7" w:hRule="exact"/>
        </w:trPr>
        <w:tc>
          <w:tcPr>
            <w:tcW w:w="8860" w:type="dxa"/>
            <w:vAlign w:val="center"/>
          </w:tcPr>
          <w:p w14:paraId="41EA7FC2">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val="0"/>
                <w:bCs/>
                <w:color w:val="auto"/>
                <w:sz w:val="21"/>
                <w:szCs w:val="21"/>
                <w:highlight w:val="none"/>
                <w:lang w:val="en-US" w:eastAsia="zh-CN"/>
              </w:rPr>
            </w:pPr>
            <w:r>
              <w:rPr>
                <w:rFonts w:hint="eastAsia" w:ascii="仿宋" w:hAnsi="仿宋" w:eastAsia="仿宋" w:cs="仿宋"/>
                <w:b w:val="0"/>
                <w:bCs/>
                <w:color w:val="auto"/>
                <w:sz w:val="21"/>
                <w:szCs w:val="21"/>
                <w:highlight w:val="none"/>
              </w:rPr>
              <w:t>通风设施工</w:t>
            </w:r>
            <w:r>
              <w:rPr>
                <w:rFonts w:hint="eastAsia" w:ascii="仿宋" w:hAnsi="仿宋" w:eastAsia="仿宋" w:cs="仿宋"/>
                <w:b w:val="0"/>
                <w:bCs/>
                <w:color w:val="auto"/>
                <w:sz w:val="21"/>
                <w:szCs w:val="21"/>
                <w:highlight w:val="none"/>
                <w:lang w:val="en-US" w:eastAsia="zh-CN"/>
              </w:rPr>
              <w:t>单元检查表</w:t>
            </w:r>
          </w:p>
          <w:p w14:paraId="720D2C8C">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sz w:val="21"/>
                <w:szCs w:val="21"/>
                <w:highlight w:val="none"/>
              </w:rPr>
            </w:pPr>
          </w:p>
        </w:tc>
      </w:tr>
      <w:tr w14:paraId="444BB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exact"/>
        </w:trPr>
        <w:tc>
          <w:tcPr>
            <w:tcW w:w="8860" w:type="dxa"/>
            <w:vAlign w:val="top"/>
          </w:tcPr>
          <w:p w14:paraId="42978200">
            <w:pPr>
              <w:keepNext w:val="0"/>
              <w:keepLines w:val="0"/>
              <w:pageBreakBefore w:val="0"/>
              <w:widowControl w:val="0"/>
              <w:kinsoku/>
              <w:wordWrap/>
              <w:overflowPunct/>
              <w:topLinePunct w:val="0"/>
              <w:autoSpaceDE/>
              <w:autoSpaceDN/>
              <w:bidi w:val="0"/>
              <w:adjustRightInd/>
              <w:spacing w:line="240" w:lineRule="exact"/>
              <w:jc w:val="left"/>
              <w:textAlignment w:val="auto"/>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sz w:val="21"/>
                <w:szCs w:val="21"/>
                <w:highlight w:val="none"/>
                <w:lang w:val="en-US" w:eastAsia="zh-CN"/>
              </w:rPr>
              <w:t>1.检查</w:t>
            </w:r>
            <w:r>
              <w:rPr>
                <w:rFonts w:hint="eastAsia" w:ascii="仿宋" w:hAnsi="仿宋" w:eastAsia="仿宋" w:cs="仿宋"/>
                <w:color w:val="auto"/>
                <w:sz w:val="21"/>
                <w:szCs w:val="21"/>
                <w:highlight w:val="none"/>
              </w:rPr>
              <w:t>井下装卸笨重材料时</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互相照应，材料靠巷帮</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堆放整齐</w:t>
            </w:r>
            <w:r>
              <w:rPr>
                <w:rFonts w:hint="eastAsia" w:ascii="仿宋" w:hAnsi="仿宋" w:eastAsia="仿宋" w:cs="仿宋"/>
                <w:color w:val="auto"/>
                <w:sz w:val="21"/>
                <w:szCs w:val="21"/>
                <w:highlight w:val="none"/>
                <w:lang w:eastAsia="zh-CN"/>
              </w:rPr>
              <w:t>，</w:t>
            </w:r>
            <w:r>
              <w:rPr>
                <w:rFonts w:hint="eastAsia" w:ascii="仿宋" w:hAnsi="仿宋" w:eastAsia="仿宋" w:cs="仿宋"/>
                <w:color w:val="auto"/>
                <w:sz w:val="21"/>
                <w:szCs w:val="21"/>
                <w:highlight w:val="none"/>
                <w:lang w:val="en-US" w:eastAsia="zh-CN"/>
              </w:rPr>
              <w:t>是否影响通风断面。</w:t>
            </w:r>
          </w:p>
        </w:tc>
      </w:tr>
      <w:tr w14:paraId="259F8C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exact"/>
        </w:trPr>
        <w:tc>
          <w:tcPr>
            <w:tcW w:w="8860" w:type="dxa"/>
            <w:vAlign w:val="top"/>
          </w:tcPr>
          <w:p w14:paraId="3F2FA5B4">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sz w:val="21"/>
                <w:szCs w:val="21"/>
                <w:highlight w:val="none"/>
                <w:lang w:val="en-US" w:eastAsia="zh-CN"/>
              </w:rPr>
              <w:t>2.检查是否</w:t>
            </w:r>
            <w:r>
              <w:rPr>
                <w:rFonts w:hint="eastAsia" w:ascii="仿宋" w:hAnsi="仿宋" w:eastAsia="仿宋" w:cs="仿宋"/>
                <w:color w:val="auto"/>
                <w:sz w:val="21"/>
                <w:szCs w:val="21"/>
                <w:highlight w:val="none"/>
              </w:rPr>
              <w:t>按照施工设计施工，</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随意改变安设的位置、类型等。</w:t>
            </w:r>
          </w:p>
        </w:tc>
      </w:tr>
      <w:tr w14:paraId="05AAD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exact"/>
        </w:trPr>
        <w:tc>
          <w:tcPr>
            <w:tcW w:w="8860" w:type="dxa"/>
            <w:vAlign w:val="top"/>
          </w:tcPr>
          <w:p w14:paraId="26291FC3">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3.检查</w:t>
            </w:r>
            <w:r>
              <w:rPr>
                <w:rFonts w:hint="eastAsia" w:ascii="仿宋" w:hAnsi="仿宋" w:eastAsia="仿宋" w:cs="仿宋"/>
                <w:color w:val="auto"/>
                <w:sz w:val="21"/>
                <w:szCs w:val="21"/>
                <w:highlight w:val="none"/>
              </w:rPr>
              <w:t>在有水沟的巷道中砌墙时，</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设置反水池，</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保持水流畅通。</w:t>
            </w:r>
          </w:p>
          <w:p w14:paraId="3E9BB3DE">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kern w:val="2"/>
                <w:sz w:val="21"/>
                <w:szCs w:val="21"/>
                <w:highlight w:val="none"/>
                <w:lang w:val="en-US" w:eastAsia="zh-CN" w:bidi="ar-SA"/>
              </w:rPr>
            </w:pPr>
          </w:p>
        </w:tc>
      </w:tr>
      <w:tr w14:paraId="35065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exact"/>
        </w:trPr>
        <w:tc>
          <w:tcPr>
            <w:tcW w:w="8860" w:type="dxa"/>
            <w:vAlign w:val="top"/>
          </w:tcPr>
          <w:p w14:paraId="42691AB6">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4.</w:t>
            </w:r>
            <w:r>
              <w:rPr>
                <w:rFonts w:hint="eastAsia" w:ascii="仿宋" w:hAnsi="仿宋" w:eastAsia="仿宋" w:cs="仿宋"/>
                <w:color w:val="auto"/>
                <w:sz w:val="21"/>
                <w:szCs w:val="21"/>
                <w:highlight w:val="none"/>
              </w:rPr>
              <w:t>砌墙时</w:t>
            </w:r>
            <w:r>
              <w:rPr>
                <w:rFonts w:hint="eastAsia" w:ascii="仿宋" w:hAnsi="仿宋" w:eastAsia="仿宋" w:cs="仿宋"/>
                <w:color w:val="auto"/>
                <w:sz w:val="21"/>
                <w:szCs w:val="21"/>
                <w:highlight w:val="none"/>
                <w:lang w:val="en-US" w:eastAsia="zh-CN"/>
              </w:rPr>
              <w:t>检查</w:t>
            </w:r>
            <w:r>
              <w:rPr>
                <w:rFonts w:hint="eastAsia" w:ascii="仿宋" w:hAnsi="仿宋" w:eastAsia="仿宋" w:cs="仿宋"/>
                <w:color w:val="auto"/>
                <w:sz w:val="21"/>
                <w:szCs w:val="21"/>
                <w:highlight w:val="none"/>
              </w:rPr>
              <w:t>竖缝要错开，横缝</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水平，排列</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整齐。</w:t>
            </w:r>
          </w:p>
          <w:p w14:paraId="51E08621">
            <w:pPr>
              <w:keepNext w:val="0"/>
              <w:keepLines w:val="0"/>
              <w:pageBreakBefore w:val="0"/>
              <w:kinsoku/>
              <w:wordWrap/>
              <w:overflowPunct/>
              <w:topLinePunct w:val="0"/>
              <w:autoSpaceDE/>
              <w:autoSpaceDN/>
              <w:bidi w:val="0"/>
              <w:adjustRightInd/>
              <w:spacing w:line="600" w:lineRule="exact"/>
              <w:ind w:firstLine="210" w:firstLineChars="100"/>
              <w:jc w:val="both"/>
              <w:outlineLvl w:val="9"/>
              <w:rPr>
                <w:rFonts w:hint="eastAsia" w:ascii="仿宋" w:hAnsi="仿宋" w:eastAsia="仿宋" w:cs="仿宋"/>
                <w:color w:val="auto"/>
                <w:kern w:val="2"/>
                <w:sz w:val="21"/>
                <w:szCs w:val="21"/>
                <w:highlight w:val="none"/>
                <w:lang w:val="en-US" w:eastAsia="zh-CN" w:bidi="ar-SA"/>
              </w:rPr>
            </w:pPr>
          </w:p>
        </w:tc>
      </w:tr>
      <w:tr w14:paraId="3B1F5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exact"/>
        </w:trPr>
        <w:tc>
          <w:tcPr>
            <w:tcW w:w="8860" w:type="dxa"/>
            <w:tcBorders>
              <w:left w:val="single" w:color="auto" w:sz="4" w:space="0"/>
              <w:bottom w:val="single" w:color="auto" w:sz="4" w:space="0"/>
              <w:right w:val="single" w:color="auto" w:sz="4" w:space="0"/>
            </w:tcBorders>
            <w:vAlign w:val="top"/>
          </w:tcPr>
          <w:p w14:paraId="27413955">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sz w:val="21"/>
                <w:szCs w:val="21"/>
                <w:highlight w:val="none"/>
                <w:lang w:val="en-US" w:eastAsia="zh-CN"/>
              </w:rPr>
              <w:t>5.检查是否</w:t>
            </w:r>
            <w:r>
              <w:rPr>
                <w:rFonts w:hint="eastAsia" w:ascii="仿宋" w:hAnsi="仿宋" w:eastAsia="仿宋" w:cs="仿宋"/>
                <w:color w:val="auto"/>
                <w:sz w:val="21"/>
                <w:szCs w:val="21"/>
                <w:highlight w:val="none"/>
              </w:rPr>
              <w:t>按规定进行掏槽，</w:t>
            </w:r>
            <w:r>
              <w:rPr>
                <w:rFonts w:hint="eastAsia" w:ascii="仿宋" w:hAnsi="仿宋" w:eastAsia="仿宋" w:cs="仿宋"/>
                <w:color w:val="auto"/>
                <w:sz w:val="21"/>
                <w:szCs w:val="21"/>
                <w:highlight w:val="none"/>
                <w:lang w:val="en-US" w:eastAsia="zh-CN"/>
              </w:rPr>
              <w:t>是否用</w:t>
            </w:r>
            <w:r>
              <w:rPr>
                <w:rFonts w:hint="eastAsia" w:ascii="仿宋" w:hAnsi="仿宋" w:eastAsia="仿宋" w:cs="仿宋"/>
                <w:color w:val="auto"/>
                <w:sz w:val="21"/>
                <w:szCs w:val="21"/>
                <w:highlight w:val="none"/>
              </w:rPr>
              <w:t>锤、钎、镐施工。</w:t>
            </w:r>
          </w:p>
        </w:tc>
      </w:tr>
      <w:tr w14:paraId="1B5F6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exact"/>
        </w:trPr>
        <w:tc>
          <w:tcPr>
            <w:tcW w:w="8860" w:type="dxa"/>
            <w:tcBorders>
              <w:top w:val="single" w:color="auto" w:sz="4" w:space="0"/>
              <w:left w:val="single" w:color="auto" w:sz="4" w:space="0"/>
              <w:bottom w:val="single" w:color="auto" w:sz="4" w:space="0"/>
              <w:right w:val="single" w:color="auto" w:sz="4" w:space="0"/>
            </w:tcBorders>
            <w:vAlign w:val="top"/>
          </w:tcPr>
          <w:p w14:paraId="68F49683">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6.</w:t>
            </w:r>
            <w:r>
              <w:rPr>
                <w:rFonts w:hint="eastAsia" w:ascii="仿宋" w:hAnsi="仿宋" w:eastAsia="仿宋" w:cs="仿宋"/>
                <w:color w:val="auto"/>
                <w:sz w:val="21"/>
                <w:szCs w:val="21"/>
                <w:highlight w:val="none"/>
              </w:rPr>
              <w:t>在有电缆、管路处施工时，</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保管</w:t>
            </w:r>
            <w:r>
              <w:rPr>
                <w:rFonts w:hint="eastAsia" w:ascii="仿宋" w:hAnsi="仿宋" w:eastAsia="仿宋" w:cs="仿宋"/>
                <w:color w:val="auto"/>
                <w:sz w:val="21"/>
                <w:szCs w:val="21"/>
                <w:highlight w:val="none"/>
                <w:lang w:val="en-US" w:eastAsia="zh-CN"/>
              </w:rPr>
              <w:t>好</w:t>
            </w:r>
            <w:r>
              <w:rPr>
                <w:rFonts w:hint="eastAsia" w:ascii="仿宋" w:hAnsi="仿宋" w:eastAsia="仿宋" w:cs="仿宋"/>
                <w:color w:val="auto"/>
                <w:sz w:val="21"/>
                <w:szCs w:val="21"/>
                <w:highlight w:val="none"/>
              </w:rPr>
              <w:t>电缆管路。</w:t>
            </w:r>
          </w:p>
          <w:p w14:paraId="0D032899">
            <w:pPr>
              <w:keepNext w:val="0"/>
              <w:keepLines w:val="0"/>
              <w:pageBreakBefore w:val="0"/>
              <w:kinsoku/>
              <w:wordWrap/>
              <w:overflowPunct/>
              <w:topLinePunct w:val="0"/>
              <w:autoSpaceDE/>
              <w:autoSpaceDN/>
              <w:bidi w:val="0"/>
              <w:adjustRightInd/>
              <w:spacing w:line="600" w:lineRule="exact"/>
              <w:ind w:firstLine="210" w:firstLineChars="100"/>
              <w:jc w:val="both"/>
              <w:outlineLvl w:val="9"/>
              <w:rPr>
                <w:rFonts w:hint="eastAsia" w:ascii="仿宋" w:hAnsi="仿宋" w:eastAsia="仿宋" w:cs="仿宋"/>
                <w:color w:val="auto"/>
                <w:kern w:val="2"/>
                <w:sz w:val="21"/>
                <w:szCs w:val="21"/>
                <w:highlight w:val="none"/>
                <w:lang w:val="en-US" w:eastAsia="zh-CN" w:bidi="ar-SA"/>
              </w:rPr>
            </w:pPr>
          </w:p>
        </w:tc>
      </w:tr>
    </w:tbl>
    <w:p w14:paraId="6EF2FE48">
      <w:pPr>
        <w:pStyle w:val="2"/>
        <w:keepNext w:val="0"/>
        <w:keepLines w:val="0"/>
        <w:pageBreakBefore w:val="0"/>
        <w:widowControl w:val="0"/>
        <w:kinsoku/>
        <w:wordWrap/>
        <w:overflowPunct/>
        <w:topLinePunct w:val="0"/>
        <w:autoSpaceDE/>
        <w:autoSpaceDN/>
        <w:bidi w:val="0"/>
        <w:adjustRightInd/>
        <w:snapToGrid/>
        <w:spacing w:line="240" w:lineRule="exact"/>
        <w:jc w:val="center"/>
        <w:textAlignment w:val="auto"/>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Spec="center" w:tblpY="422"/>
        <w:tblOverlap w:val="never"/>
        <w:tblW w:w="8861" w:type="dxa"/>
        <w:jc w:val="center"/>
        <w:tblLayout w:type="fixed"/>
        <w:tblCellMar>
          <w:top w:w="0" w:type="dxa"/>
          <w:left w:w="108" w:type="dxa"/>
          <w:bottom w:w="0" w:type="dxa"/>
          <w:right w:w="108" w:type="dxa"/>
        </w:tblCellMar>
      </w:tblPr>
      <w:tblGrid>
        <w:gridCol w:w="1834"/>
        <w:gridCol w:w="1966"/>
        <w:gridCol w:w="5061"/>
      </w:tblGrid>
      <w:tr w14:paraId="35389FE5">
        <w:tblPrEx>
          <w:tblCellMar>
            <w:top w:w="0" w:type="dxa"/>
            <w:left w:w="108" w:type="dxa"/>
            <w:bottom w:w="0" w:type="dxa"/>
            <w:right w:w="108" w:type="dxa"/>
          </w:tblCellMar>
        </w:tblPrEx>
        <w:trPr>
          <w:trHeight w:val="524" w:hRule="atLeast"/>
          <w:jc w:val="center"/>
        </w:trPr>
        <w:tc>
          <w:tcPr>
            <w:tcW w:w="8861" w:type="dxa"/>
            <w:gridSpan w:val="3"/>
            <w:tcBorders>
              <w:top w:val="single" w:color="auto" w:sz="4" w:space="0"/>
              <w:left w:val="single" w:color="auto" w:sz="4" w:space="0"/>
              <w:bottom w:val="single" w:color="auto" w:sz="4" w:space="0"/>
              <w:right w:val="single" w:color="auto" w:sz="4" w:space="0"/>
            </w:tcBorders>
            <w:vAlign w:val="center"/>
          </w:tcPr>
          <w:p w14:paraId="65559008">
            <w:pPr>
              <w:keepNext w:val="0"/>
              <w:keepLines w:val="0"/>
              <w:pageBreakBefore w:val="0"/>
              <w:kinsoku/>
              <w:wordWrap/>
              <w:overflowPunct/>
              <w:topLinePunct w:val="0"/>
              <w:autoSpaceDE/>
              <w:autoSpaceDN/>
              <w:bidi w:val="0"/>
              <w:adjustRightInd/>
              <w:spacing w:line="600" w:lineRule="exact"/>
              <w:ind w:firstLine="2951" w:firstLineChars="1400"/>
              <w:jc w:val="both"/>
              <w:outlineLvl w:val="9"/>
              <w:rPr>
                <w:rFonts w:hint="eastAsia" w:ascii="仿宋" w:hAnsi="仿宋" w:eastAsia="仿宋" w:cs="仿宋"/>
                <w:color w:val="auto"/>
                <w:sz w:val="21"/>
                <w:szCs w:val="21"/>
                <w:highlight w:val="none"/>
              </w:rPr>
            </w:pPr>
            <w:r>
              <w:rPr>
                <w:rFonts w:hint="eastAsia" w:ascii="仿宋" w:hAnsi="仿宋" w:eastAsia="仿宋" w:cs="仿宋"/>
                <w:b/>
                <w:color w:val="auto"/>
                <w:sz w:val="21"/>
                <w:szCs w:val="21"/>
                <w:highlight w:val="none"/>
                <w:lang w:val="en-US" w:eastAsia="zh-CN"/>
              </w:rPr>
              <w:t>通风设施工操作过程注意事项</w:t>
            </w:r>
          </w:p>
        </w:tc>
      </w:tr>
      <w:tr w14:paraId="4173A415">
        <w:tblPrEx>
          <w:tblCellMar>
            <w:top w:w="0" w:type="dxa"/>
            <w:left w:w="108" w:type="dxa"/>
            <w:bottom w:w="0" w:type="dxa"/>
            <w:right w:w="108" w:type="dxa"/>
          </w:tblCellMar>
        </w:tblPrEx>
        <w:trPr>
          <w:trHeight w:val="372" w:hRule="atLeast"/>
          <w:jc w:val="center"/>
        </w:trPr>
        <w:tc>
          <w:tcPr>
            <w:tcW w:w="1834" w:type="dxa"/>
            <w:tcBorders>
              <w:top w:val="single" w:color="auto" w:sz="4" w:space="0"/>
              <w:left w:val="single" w:color="000000" w:sz="4" w:space="0"/>
              <w:bottom w:val="single" w:color="000000" w:sz="4" w:space="0"/>
              <w:right w:val="single" w:color="000000" w:sz="4" w:space="0"/>
            </w:tcBorders>
            <w:vAlign w:val="center"/>
          </w:tcPr>
          <w:p w14:paraId="1C8552E0">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b/>
                <w:bCs/>
                <w:color w:val="auto"/>
                <w:sz w:val="21"/>
                <w:szCs w:val="21"/>
                <w:highlight w:val="none"/>
              </w:rPr>
            </w:pPr>
            <w:r>
              <w:rPr>
                <w:rFonts w:hint="eastAsia" w:ascii="仿宋" w:hAnsi="仿宋" w:eastAsia="仿宋" w:cs="仿宋"/>
                <w:b/>
                <w:bCs/>
                <w:color w:val="auto"/>
                <w:sz w:val="21"/>
                <w:szCs w:val="21"/>
                <w:highlight w:val="none"/>
                <w:lang w:val="en-US" w:eastAsia="zh-CN"/>
              </w:rPr>
              <w:t>操作</w:t>
            </w:r>
          </w:p>
        </w:tc>
        <w:tc>
          <w:tcPr>
            <w:tcW w:w="1966" w:type="dxa"/>
            <w:tcBorders>
              <w:top w:val="single" w:color="auto" w:sz="4" w:space="0"/>
              <w:left w:val="single" w:color="000000" w:sz="4" w:space="0"/>
              <w:bottom w:val="single" w:color="000000" w:sz="4" w:space="0"/>
              <w:right w:val="single" w:color="000000" w:sz="4" w:space="0"/>
            </w:tcBorders>
            <w:vAlign w:val="center"/>
          </w:tcPr>
          <w:p w14:paraId="0AB54A4B">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b/>
                <w:bCs/>
                <w:color w:val="auto"/>
                <w:sz w:val="21"/>
                <w:szCs w:val="21"/>
                <w:highlight w:val="none"/>
              </w:rPr>
            </w:pPr>
            <w:r>
              <w:rPr>
                <w:rFonts w:hint="eastAsia" w:ascii="仿宋" w:hAnsi="仿宋" w:eastAsia="仿宋" w:cs="仿宋"/>
                <w:b/>
                <w:bCs/>
                <w:color w:val="auto"/>
                <w:sz w:val="21"/>
                <w:szCs w:val="21"/>
                <w:highlight w:val="none"/>
                <w:lang w:val="en-US" w:eastAsia="zh-CN"/>
              </w:rPr>
              <w:t>提示词</w:t>
            </w:r>
          </w:p>
        </w:tc>
        <w:tc>
          <w:tcPr>
            <w:tcW w:w="5061" w:type="dxa"/>
            <w:tcBorders>
              <w:top w:val="single" w:color="auto" w:sz="4" w:space="0"/>
              <w:left w:val="single" w:color="000000" w:sz="4" w:space="0"/>
              <w:bottom w:val="single" w:color="000000" w:sz="4" w:space="0"/>
              <w:right w:val="single" w:color="000000" w:sz="4" w:space="0"/>
            </w:tcBorders>
            <w:vAlign w:val="center"/>
          </w:tcPr>
          <w:p w14:paraId="7058F0C4">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b/>
                <w:bCs/>
                <w:color w:val="auto"/>
                <w:sz w:val="21"/>
                <w:szCs w:val="21"/>
                <w:highlight w:val="none"/>
              </w:rPr>
            </w:pPr>
            <w:r>
              <w:rPr>
                <w:rFonts w:hint="eastAsia" w:ascii="仿宋" w:hAnsi="仿宋" w:eastAsia="仿宋" w:cs="仿宋"/>
                <w:b/>
                <w:bCs/>
                <w:color w:val="auto"/>
                <w:sz w:val="21"/>
                <w:szCs w:val="21"/>
                <w:highlight w:val="none"/>
                <w:lang w:val="en-US" w:eastAsia="zh-CN"/>
              </w:rPr>
              <w:t>操作注意事项解释</w:t>
            </w:r>
          </w:p>
        </w:tc>
      </w:tr>
      <w:tr w14:paraId="582D1ED0">
        <w:tblPrEx>
          <w:tblCellMar>
            <w:top w:w="0" w:type="dxa"/>
            <w:left w:w="108" w:type="dxa"/>
            <w:bottom w:w="0" w:type="dxa"/>
            <w:right w:w="108" w:type="dxa"/>
          </w:tblCellMar>
        </w:tblPrEx>
        <w:trPr>
          <w:trHeight w:val="57" w:hRule="atLeast"/>
          <w:jc w:val="center"/>
        </w:trPr>
        <w:tc>
          <w:tcPr>
            <w:tcW w:w="1834" w:type="dxa"/>
            <w:vMerge w:val="restart"/>
            <w:tcBorders>
              <w:top w:val="single" w:color="000000" w:sz="4" w:space="0"/>
              <w:left w:val="single" w:color="000000" w:sz="4" w:space="0"/>
              <w:right w:val="single" w:color="000000" w:sz="4" w:space="0"/>
            </w:tcBorders>
            <w:vAlign w:val="center"/>
          </w:tcPr>
          <w:p w14:paraId="02C8B8E9">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lang w:val="en-US" w:eastAsia="zh-CN"/>
              </w:rPr>
              <w:t>建密闭</w:t>
            </w:r>
          </w:p>
        </w:tc>
        <w:tc>
          <w:tcPr>
            <w:tcW w:w="1966" w:type="dxa"/>
            <w:tcBorders>
              <w:top w:val="single" w:color="000000" w:sz="4" w:space="0"/>
              <w:left w:val="single" w:color="000000" w:sz="4" w:space="0"/>
              <w:bottom w:val="single" w:color="000000" w:sz="4" w:space="0"/>
              <w:right w:val="single" w:color="000000" w:sz="4" w:space="0"/>
            </w:tcBorders>
            <w:vAlign w:val="center"/>
          </w:tcPr>
          <w:p w14:paraId="46592093">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1.</w:t>
            </w:r>
            <w:r>
              <w:rPr>
                <w:rFonts w:hint="eastAsia" w:ascii="仿宋" w:hAnsi="仿宋" w:eastAsia="仿宋" w:cs="仿宋"/>
                <w:color w:val="auto"/>
                <w:sz w:val="21"/>
                <w:szCs w:val="21"/>
                <w:highlight w:val="none"/>
              </w:rPr>
              <w:t>掏槽</w:t>
            </w:r>
          </w:p>
        </w:tc>
        <w:tc>
          <w:tcPr>
            <w:tcW w:w="5061" w:type="dxa"/>
            <w:tcBorders>
              <w:top w:val="single" w:color="000000" w:sz="4" w:space="0"/>
              <w:left w:val="single" w:color="000000" w:sz="4" w:space="0"/>
              <w:bottom w:val="single" w:color="000000" w:sz="4" w:space="0"/>
              <w:right w:val="single" w:color="000000" w:sz="4" w:space="0"/>
            </w:tcBorders>
            <w:vAlign w:val="top"/>
          </w:tcPr>
          <w:p w14:paraId="581D5454">
            <w:pPr>
              <w:keepNext w:val="0"/>
              <w:keepLines w:val="0"/>
              <w:pageBreakBefore w:val="0"/>
              <w:kinsoku/>
              <w:wordWrap/>
              <w:overflowPunct/>
              <w:topLinePunct w:val="0"/>
              <w:autoSpaceDE/>
              <w:autoSpaceDN/>
              <w:bidi w:val="0"/>
              <w:adjustRightInd/>
              <w:spacing w:line="360" w:lineRule="auto"/>
              <w:jc w:val="both"/>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用锤、钎、镐施工。</w:t>
            </w:r>
          </w:p>
        </w:tc>
      </w:tr>
      <w:tr w14:paraId="54FE6D43">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14:paraId="0FCA4D2A">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eastAsia="zh-CN"/>
              </w:rPr>
            </w:pPr>
          </w:p>
        </w:tc>
        <w:tc>
          <w:tcPr>
            <w:tcW w:w="1966" w:type="dxa"/>
            <w:tcBorders>
              <w:top w:val="single" w:color="000000" w:sz="4" w:space="0"/>
              <w:left w:val="single" w:color="000000" w:sz="4" w:space="0"/>
              <w:bottom w:val="single" w:color="000000" w:sz="4" w:space="0"/>
              <w:right w:val="single" w:color="000000" w:sz="4" w:space="0"/>
            </w:tcBorders>
            <w:vAlign w:val="center"/>
          </w:tcPr>
          <w:p w14:paraId="75989E4B">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rPr>
              <w:t>2</w:t>
            </w:r>
            <w:r>
              <w:rPr>
                <w:rFonts w:hint="eastAsia" w:ascii="仿宋" w:hAnsi="仿宋" w:eastAsia="仿宋" w:cs="仿宋"/>
                <w:color w:val="auto"/>
                <w:sz w:val="21"/>
                <w:szCs w:val="21"/>
                <w:highlight w:val="none"/>
                <w:lang w:val="en-US" w:eastAsia="zh-CN"/>
              </w:rPr>
              <w:t>.剪</w:t>
            </w:r>
            <w:r>
              <w:rPr>
                <w:rFonts w:hint="eastAsia" w:ascii="仿宋" w:hAnsi="仿宋" w:eastAsia="仿宋" w:cs="仿宋"/>
                <w:color w:val="auto"/>
                <w:sz w:val="21"/>
                <w:szCs w:val="21"/>
                <w:highlight w:val="none"/>
              </w:rPr>
              <w:t>网</w:t>
            </w:r>
          </w:p>
        </w:tc>
        <w:tc>
          <w:tcPr>
            <w:tcW w:w="5061" w:type="dxa"/>
            <w:tcBorders>
              <w:top w:val="single" w:color="000000" w:sz="4" w:space="0"/>
              <w:left w:val="single" w:color="000000" w:sz="4" w:space="0"/>
              <w:bottom w:val="single" w:color="000000" w:sz="4" w:space="0"/>
              <w:right w:val="single" w:color="000000" w:sz="4" w:space="0"/>
            </w:tcBorders>
            <w:vAlign w:val="center"/>
          </w:tcPr>
          <w:p w14:paraId="0360678D">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rPr>
              <w:t>掏槽前先将锚网剪掉，剪网人员站在锚网完好处。</w:t>
            </w:r>
          </w:p>
        </w:tc>
      </w:tr>
      <w:tr w14:paraId="6436DED0">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14:paraId="12C8EA57">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14:paraId="04EC0559">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 xml:space="preserve">    </w:t>
            </w:r>
            <w:r>
              <w:rPr>
                <w:rFonts w:hint="eastAsia" w:ascii="仿宋" w:hAnsi="仿宋" w:eastAsia="仿宋" w:cs="仿宋"/>
                <w:color w:val="auto"/>
                <w:sz w:val="21"/>
                <w:szCs w:val="21"/>
                <w:highlight w:val="none"/>
              </w:rPr>
              <w:t>3</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电缆保护</w:t>
            </w:r>
          </w:p>
        </w:tc>
        <w:tc>
          <w:tcPr>
            <w:tcW w:w="5061" w:type="dxa"/>
            <w:tcBorders>
              <w:top w:val="single" w:color="000000" w:sz="4" w:space="0"/>
              <w:left w:val="single" w:color="000000" w:sz="4" w:space="0"/>
              <w:bottom w:val="single" w:color="000000" w:sz="4" w:space="0"/>
              <w:right w:val="single" w:color="000000" w:sz="4" w:space="0"/>
            </w:tcBorders>
            <w:vAlign w:val="center"/>
          </w:tcPr>
          <w:p w14:paraId="7CBDEE01">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电缆、管路处施工，要妥善保管电缆管路，防止碰坏。</w:t>
            </w:r>
          </w:p>
        </w:tc>
      </w:tr>
      <w:tr w14:paraId="22013327">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14:paraId="0BC21C29">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14:paraId="102CE8DC">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 xml:space="preserve">  </w:t>
            </w:r>
            <w:r>
              <w:rPr>
                <w:rFonts w:hint="eastAsia" w:ascii="仿宋" w:hAnsi="仿宋" w:eastAsia="仿宋" w:cs="仿宋"/>
                <w:color w:val="auto"/>
                <w:sz w:val="21"/>
                <w:szCs w:val="21"/>
                <w:highlight w:val="none"/>
              </w:rPr>
              <w:t>4</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导电体</w:t>
            </w:r>
          </w:p>
        </w:tc>
        <w:tc>
          <w:tcPr>
            <w:tcW w:w="5061" w:type="dxa"/>
            <w:tcBorders>
              <w:top w:val="single" w:color="000000" w:sz="4" w:space="0"/>
              <w:left w:val="single" w:color="000000" w:sz="4" w:space="0"/>
              <w:bottom w:val="single" w:color="000000" w:sz="4" w:space="0"/>
              <w:right w:val="single" w:color="000000" w:sz="4" w:space="0"/>
            </w:tcBorders>
            <w:vAlign w:val="center"/>
          </w:tcPr>
          <w:p w14:paraId="3AE74330">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密闭处的钢轨、电缆、管路断开。</w:t>
            </w:r>
          </w:p>
        </w:tc>
      </w:tr>
      <w:tr w14:paraId="0086ACB4">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bottom w:val="single" w:color="000000" w:sz="4" w:space="0"/>
              <w:right w:val="single" w:color="000000" w:sz="4" w:space="0"/>
            </w:tcBorders>
            <w:vAlign w:val="center"/>
          </w:tcPr>
          <w:p w14:paraId="5B613C33">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14:paraId="5CE3D842">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 xml:space="preserve">  </w:t>
            </w:r>
            <w:r>
              <w:rPr>
                <w:rFonts w:hint="eastAsia" w:ascii="仿宋" w:hAnsi="仿宋" w:eastAsia="仿宋" w:cs="仿宋"/>
                <w:color w:val="auto"/>
                <w:sz w:val="21"/>
                <w:szCs w:val="21"/>
                <w:highlight w:val="none"/>
              </w:rPr>
              <w:t>5</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密闭孔</w:t>
            </w:r>
          </w:p>
        </w:tc>
        <w:tc>
          <w:tcPr>
            <w:tcW w:w="5061" w:type="dxa"/>
            <w:tcBorders>
              <w:top w:val="single" w:color="000000" w:sz="4" w:space="0"/>
              <w:left w:val="single" w:color="000000" w:sz="4" w:space="0"/>
              <w:bottom w:val="single" w:color="000000" w:sz="4" w:space="0"/>
              <w:right w:val="single" w:color="000000" w:sz="4" w:space="0"/>
            </w:tcBorders>
            <w:vAlign w:val="center"/>
          </w:tcPr>
          <w:p w14:paraId="6B95AAA9">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rPr>
              <w:t>防火密闭墙厚度大于</w:t>
            </w:r>
            <w:r>
              <w:rPr>
                <w:rFonts w:hint="eastAsia" w:ascii="仿宋" w:hAnsi="仿宋" w:eastAsia="仿宋" w:cs="仿宋"/>
                <w:color w:val="auto"/>
                <w:sz w:val="21"/>
                <w:szCs w:val="21"/>
                <w:highlight w:val="none"/>
                <w:lang w:val="en-US" w:eastAsia="zh-CN"/>
              </w:rPr>
              <w:t>60</w:t>
            </w:r>
            <w:r>
              <w:rPr>
                <w:rFonts w:hint="eastAsia" w:ascii="仿宋" w:hAnsi="仿宋" w:eastAsia="仿宋" w:cs="仿宋"/>
                <w:color w:val="auto"/>
                <w:sz w:val="21"/>
                <w:szCs w:val="21"/>
                <w:highlight w:val="none"/>
              </w:rPr>
              <w:t>cm。</w:t>
            </w:r>
            <w:r>
              <w:rPr>
                <w:rFonts w:hint="eastAsia" w:ascii="仿宋" w:hAnsi="仿宋" w:eastAsia="仿宋" w:cs="仿宋"/>
                <w:color w:val="auto"/>
                <w:sz w:val="21"/>
                <w:szCs w:val="21"/>
                <w:highlight w:val="none"/>
                <w:lang w:eastAsia="zh-CN"/>
              </w:rPr>
              <w:t>密闭内</w:t>
            </w:r>
            <w:r>
              <w:rPr>
                <w:rFonts w:hint="eastAsia" w:ascii="仿宋" w:hAnsi="仿宋" w:eastAsia="仿宋" w:cs="仿宋"/>
                <w:color w:val="auto"/>
                <w:sz w:val="21"/>
                <w:szCs w:val="21"/>
                <w:highlight w:val="none"/>
              </w:rPr>
              <w:t>有水的设反水池</w:t>
            </w:r>
            <w:r>
              <w:rPr>
                <w:rFonts w:hint="eastAsia" w:ascii="仿宋" w:hAnsi="仿宋" w:eastAsia="仿宋" w:cs="仿宋"/>
                <w:color w:val="auto"/>
                <w:sz w:val="21"/>
                <w:szCs w:val="21"/>
                <w:highlight w:val="none"/>
                <w:lang w:eastAsia="zh-CN"/>
              </w:rPr>
              <w:t>。</w:t>
            </w:r>
          </w:p>
        </w:tc>
      </w:tr>
      <w:tr w14:paraId="3040880A">
        <w:tblPrEx>
          <w:tblCellMar>
            <w:top w:w="0" w:type="dxa"/>
            <w:left w:w="108" w:type="dxa"/>
            <w:bottom w:w="0" w:type="dxa"/>
            <w:right w:w="108" w:type="dxa"/>
          </w:tblCellMar>
        </w:tblPrEx>
        <w:trPr>
          <w:trHeight w:val="57" w:hRule="atLeast"/>
          <w:jc w:val="center"/>
        </w:trPr>
        <w:tc>
          <w:tcPr>
            <w:tcW w:w="1834" w:type="dxa"/>
            <w:vMerge w:val="restart"/>
            <w:tcBorders>
              <w:top w:val="single" w:color="000000" w:sz="4" w:space="0"/>
              <w:left w:val="single" w:color="000000" w:sz="4" w:space="0"/>
              <w:right w:val="single" w:color="000000" w:sz="4" w:space="0"/>
            </w:tcBorders>
            <w:vAlign w:val="center"/>
          </w:tcPr>
          <w:p w14:paraId="14E4C79F">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建风门</w:t>
            </w:r>
          </w:p>
        </w:tc>
        <w:tc>
          <w:tcPr>
            <w:tcW w:w="1966" w:type="dxa"/>
            <w:tcBorders>
              <w:top w:val="single" w:color="000000" w:sz="4" w:space="0"/>
              <w:left w:val="single" w:color="000000" w:sz="4" w:space="0"/>
              <w:bottom w:val="single" w:color="000000" w:sz="4" w:space="0"/>
              <w:right w:val="single" w:color="000000" w:sz="4" w:space="0"/>
            </w:tcBorders>
            <w:vAlign w:val="center"/>
          </w:tcPr>
          <w:p w14:paraId="76852D55">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平行施工</w:t>
            </w:r>
          </w:p>
        </w:tc>
        <w:tc>
          <w:tcPr>
            <w:tcW w:w="5061" w:type="dxa"/>
            <w:tcBorders>
              <w:top w:val="single" w:color="000000" w:sz="4" w:space="0"/>
              <w:left w:val="single" w:color="000000" w:sz="4" w:space="0"/>
              <w:bottom w:val="single" w:color="000000" w:sz="4" w:space="0"/>
              <w:right w:val="single" w:color="000000" w:sz="4" w:space="0"/>
            </w:tcBorders>
            <w:vAlign w:val="center"/>
          </w:tcPr>
          <w:p w14:paraId="627B9A6B">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砌墙垛时要求两边墙垛施工平行进行，逐渐把门框牢固嵌入墙垛内。</w:t>
            </w:r>
          </w:p>
        </w:tc>
      </w:tr>
      <w:tr w14:paraId="15E11B26">
        <w:tblPrEx>
          <w:tblCellMar>
            <w:top w:w="0" w:type="dxa"/>
            <w:left w:w="108" w:type="dxa"/>
            <w:bottom w:w="0" w:type="dxa"/>
            <w:right w:w="108" w:type="dxa"/>
          </w:tblCellMar>
        </w:tblPrEx>
        <w:trPr>
          <w:trHeight w:val="736" w:hRule="atLeast"/>
          <w:jc w:val="center"/>
        </w:trPr>
        <w:tc>
          <w:tcPr>
            <w:tcW w:w="1834" w:type="dxa"/>
            <w:vMerge w:val="continue"/>
            <w:tcBorders>
              <w:left w:val="single" w:color="000000" w:sz="4" w:space="0"/>
              <w:right w:val="single" w:color="000000" w:sz="4" w:space="0"/>
            </w:tcBorders>
            <w:vAlign w:val="center"/>
          </w:tcPr>
          <w:p w14:paraId="2BA5245F">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14:paraId="7FFD6DF5">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留管线孔</w:t>
            </w:r>
          </w:p>
        </w:tc>
        <w:tc>
          <w:tcPr>
            <w:tcW w:w="5061" w:type="dxa"/>
            <w:tcBorders>
              <w:top w:val="single" w:color="000000" w:sz="4" w:space="0"/>
              <w:left w:val="single" w:color="000000" w:sz="4" w:space="0"/>
              <w:bottom w:val="single" w:color="000000" w:sz="4" w:space="0"/>
              <w:right w:val="single" w:color="000000" w:sz="4" w:space="0"/>
            </w:tcBorders>
            <w:vAlign w:val="center"/>
          </w:tcPr>
          <w:p w14:paraId="38F9D6CD">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需要在风门墙垛中通过管线，砌墙时要预留管线孔。</w:t>
            </w:r>
          </w:p>
        </w:tc>
      </w:tr>
      <w:tr w14:paraId="78AE92A8">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14:paraId="65E20869">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14:paraId="631D33DA">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抹墙体</w:t>
            </w:r>
          </w:p>
        </w:tc>
        <w:tc>
          <w:tcPr>
            <w:tcW w:w="5061" w:type="dxa"/>
            <w:tcBorders>
              <w:top w:val="single" w:color="000000" w:sz="4" w:space="0"/>
              <w:left w:val="single" w:color="000000" w:sz="4" w:space="0"/>
              <w:bottom w:val="single" w:color="000000" w:sz="4" w:space="0"/>
              <w:right w:val="single" w:color="000000" w:sz="4" w:space="0"/>
            </w:tcBorders>
            <w:vAlign w:val="center"/>
          </w:tcPr>
          <w:p w14:paraId="5AB82698">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风门墙垛砌好后，墙两边均要用细灰砂浆勾缝或涂抹平整，做到不漏风。水泥砂浆凝固后，方可挂风门门扇。</w:t>
            </w:r>
          </w:p>
        </w:tc>
      </w:tr>
      <w:tr w14:paraId="185FFDFF">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14:paraId="4BB11C00">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14:paraId="3046958F">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包门框</w:t>
            </w:r>
          </w:p>
        </w:tc>
        <w:tc>
          <w:tcPr>
            <w:tcW w:w="5061" w:type="dxa"/>
            <w:tcBorders>
              <w:top w:val="single" w:color="000000" w:sz="4" w:space="0"/>
              <w:left w:val="single" w:color="000000" w:sz="4" w:space="0"/>
              <w:bottom w:val="single" w:color="000000" w:sz="4" w:space="0"/>
              <w:right w:val="single" w:color="000000" w:sz="4" w:space="0"/>
            </w:tcBorders>
            <w:vAlign w:val="center"/>
          </w:tcPr>
          <w:p w14:paraId="73B8A9D0">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门框要包边沿口，有衬垫，四周接触严密</w:t>
            </w:r>
          </w:p>
        </w:tc>
      </w:tr>
      <w:tr w14:paraId="635B740E">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bottom w:val="single" w:color="000000" w:sz="4" w:space="0"/>
              <w:right w:val="single" w:color="000000" w:sz="4" w:space="0"/>
            </w:tcBorders>
            <w:vAlign w:val="center"/>
          </w:tcPr>
          <w:p w14:paraId="794EFF07">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14:paraId="3442C480">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安自动风门</w:t>
            </w:r>
          </w:p>
        </w:tc>
        <w:tc>
          <w:tcPr>
            <w:tcW w:w="5061" w:type="dxa"/>
            <w:tcBorders>
              <w:top w:val="single" w:color="000000" w:sz="4" w:space="0"/>
              <w:left w:val="single" w:color="000000" w:sz="4" w:space="0"/>
              <w:bottom w:val="single" w:color="000000" w:sz="4" w:space="0"/>
              <w:right w:val="single" w:color="000000" w:sz="4" w:space="0"/>
            </w:tcBorders>
            <w:vAlign w:val="center"/>
          </w:tcPr>
          <w:p w14:paraId="68062106">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自动风门应灵敏可靠、开关自如。风门自动关闭，安设闭锁装置，通车风门安设可视窗。</w:t>
            </w:r>
          </w:p>
        </w:tc>
      </w:tr>
    </w:tbl>
    <w:p w14:paraId="364EA29E">
      <w:pPr>
        <w:keepNext w:val="0"/>
        <w:keepLines w:val="0"/>
        <w:pageBreakBefore w:val="0"/>
        <w:widowControl w:val="0"/>
        <w:kinsoku/>
        <w:wordWrap/>
        <w:overflowPunct/>
        <w:topLinePunct w:val="0"/>
        <w:autoSpaceDE/>
        <w:autoSpaceDN/>
        <w:bidi w:val="0"/>
        <w:adjustRightInd/>
        <w:snapToGrid/>
        <w:spacing w:line="240" w:lineRule="exact"/>
        <w:textAlignment w:val="auto"/>
        <w:outlineLvl w:val="9"/>
        <w:rPr>
          <w:rFonts w:hint="eastAsia" w:ascii="仿宋" w:hAnsi="仿宋" w:eastAsia="仿宋" w:cs="仿宋"/>
          <w:b/>
          <w:color w:val="auto"/>
          <w:sz w:val="28"/>
          <w:szCs w:val="28"/>
          <w:highlight w:val="none"/>
        </w:rPr>
      </w:pPr>
    </w:p>
    <w:p w14:paraId="20B5B6A4">
      <w:pPr>
        <w:keepNext w:val="0"/>
        <w:keepLines w:val="0"/>
        <w:pageBreakBefore w:val="0"/>
        <w:widowControl w:val="0"/>
        <w:kinsoku/>
        <w:wordWrap/>
        <w:overflowPunct/>
        <w:topLinePunct w:val="0"/>
        <w:autoSpaceDE/>
        <w:autoSpaceDN/>
        <w:bidi w:val="0"/>
        <w:adjustRightInd/>
        <w:snapToGrid/>
        <w:spacing w:line="500" w:lineRule="exact"/>
        <w:ind w:firstLine="281" w:firstLineChars="1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06F234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入井时必须戴安全帽、随身携带自救器和矿灯，严禁携带烟草和点火物品，严禁穿化纤衣服，入井前严禁喝酒。</w:t>
      </w:r>
    </w:p>
    <w:p w14:paraId="528527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必须经有资质的机构培训考试合格后持证上岗。</w:t>
      </w:r>
    </w:p>
    <w:p w14:paraId="6715E3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上下井时，必须遵守乘罐制度，听从把钩工的指挥。</w:t>
      </w:r>
    </w:p>
    <w:p w14:paraId="0B107C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严格执行行车不行人制度，斜巷行人遇行车时立即进入躲避硐。</w:t>
      </w:r>
    </w:p>
    <w:p w14:paraId="487899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在井下行走要走人行道，横穿巷道，过弯道、交叉口时，要做到一停、二看、三确认安全后通过。在架空线下行走，严禁携带长把工具、长材料。</w:t>
      </w:r>
    </w:p>
    <w:p w14:paraId="0DBDA0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乘坐架空乘人装置时必须在规定候车区域等候，按顺序乘坐，不得在绳下穿越。</w:t>
      </w:r>
    </w:p>
    <w:p w14:paraId="5CE7D28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人员严禁站在起吊的重物下方或重物可能倒向的位置。严禁站在提升物体的绳道内、运行的设备或带电体上。</w:t>
      </w:r>
    </w:p>
    <w:p w14:paraId="320E79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严禁随意打开密闭、栅栏进入盲巷；严禁随意进入工作面隅角。</w:t>
      </w:r>
    </w:p>
    <w:p w14:paraId="771504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严禁同时打开两道风门，严禁随意调节风窗。</w:t>
      </w:r>
    </w:p>
    <w:p w14:paraId="6877AC7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严禁扒车、跳车和坐矿车，当车辆经过时，人员要及时躲避。</w:t>
      </w:r>
    </w:p>
    <w:p w14:paraId="66B60E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跨越皮带时要走过桥，严禁直接蹬、坐皮带。严禁触及运行中的机电运输设备。</w:t>
      </w:r>
    </w:p>
    <w:p w14:paraId="2B909E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工作（休息）时必须随时检查自己周围顶帮、机械及车辆等安全情况，发现险情及时躲避或处理。</w:t>
      </w:r>
    </w:p>
    <w:p w14:paraId="1CF01E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（十三）</w:t>
      </w:r>
      <w:r>
        <w:rPr>
          <w:rFonts w:hint="eastAsia" w:ascii="仿宋" w:hAnsi="仿宋" w:eastAsia="仿宋" w:cs="仿宋"/>
          <w:color w:val="auto"/>
          <w:sz w:val="28"/>
          <w:szCs w:val="28"/>
          <w:highlight w:val="none"/>
        </w:rPr>
        <w:t>严禁在井下车场、各巷道口</w:t>
      </w:r>
      <w:r>
        <w:rPr>
          <w:rFonts w:hint="eastAsia" w:ascii="仿宋" w:hAnsi="仿宋" w:eastAsia="仿宋" w:cs="仿宋"/>
          <w:color w:val="auto"/>
          <w:sz w:val="28"/>
          <w:szCs w:val="28"/>
          <w:highlight w:val="none"/>
          <w:lang w:val="en-US" w:eastAsia="zh-CN"/>
        </w:rPr>
        <w:t>等地点</w:t>
      </w:r>
      <w:r>
        <w:rPr>
          <w:rFonts w:hint="eastAsia" w:ascii="仿宋" w:hAnsi="仿宋" w:eastAsia="仿宋" w:cs="仿宋"/>
          <w:color w:val="auto"/>
          <w:sz w:val="28"/>
          <w:szCs w:val="28"/>
          <w:highlight w:val="none"/>
        </w:rPr>
        <w:t>蹲坐休息。</w:t>
      </w:r>
    </w:p>
    <w:p w14:paraId="4FD90D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（十四）</w:t>
      </w:r>
      <w:r>
        <w:rPr>
          <w:rFonts w:hint="eastAsia" w:ascii="仿宋" w:hAnsi="仿宋" w:eastAsia="仿宋" w:cs="仿宋"/>
          <w:color w:val="auto"/>
          <w:sz w:val="28"/>
          <w:szCs w:val="28"/>
          <w:highlight w:val="none"/>
        </w:rPr>
        <w:t>不得在产生噪声、辐射等危害的设备附近逗留。</w:t>
      </w:r>
    </w:p>
    <w:p w14:paraId="6CE84E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（十五）</w:t>
      </w:r>
      <w:r>
        <w:rPr>
          <w:rFonts w:hint="eastAsia" w:ascii="仿宋" w:hAnsi="仿宋" w:eastAsia="仿宋" w:cs="仿宋"/>
          <w:color w:val="auto"/>
          <w:sz w:val="28"/>
          <w:szCs w:val="28"/>
          <w:highlight w:val="none"/>
        </w:rPr>
        <w:t>发现有冒顶、透水预兆时，必须停止作业，立即撤出。</w:t>
      </w:r>
    </w:p>
    <w:p w14:paraId="6F959E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（十六）</w:t>
      </w:r>
      <w:r>
        <w:rPr>
          <w:rFonts w:hint="eastAsia" w:ascii="仿宋" w:hAnsi="仿宋" w:eastAsia="仿宋" w:cs="仿宋"/>
          <w:color w:val="auto"/>
          <w:sz w:val="28"/>
          <w:szCs w:val="28"/>
          <w:highlight w:val="none"/>
        </w:rPr>
        <w:t>严格执行入井前安全确认制度。</w:t>
      </w:r>
    </w:p>
    <w:p w14:paraId="461BA3F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17E5807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1DFCD86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69029C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33256BA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08CCCFC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7696F9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464CBF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1C09720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62A35F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755C06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32CEAA6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144C7E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154E57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380EC9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450856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65BD8C2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34135B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2A55994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1E5DEA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0830B06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2FF0BA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68FCA2F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389D8F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2CD58F9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52CE8F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12C483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7F67E6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46785A6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57A9842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2B3CCEB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2CF299D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630CD1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1F1BDA5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1E2779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5024EC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681988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74B5CF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24EB56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79FF59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7C13E8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6C28577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39CA605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795EE8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09B11D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6013D3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10CCEA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13C3E15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190B2C5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三</w:t>
      </w:r>
      <w:r>
        <w:rPr>
          <w:rFonts w:hint="eastAsia" w:ascii="仿宋" w:hAnsi="仿宋" w:eastAsia="仿宋" w:cs="仿宋"/>
          <w:b/>
          <w:color w:val="auto"/>
          <w:sz w:val="28"/>
          <w:szCs w:val="28"/>
          <w:highlight w:val="none"/>
        </w:rPr>
        <w:t>、安全风险辨识及管控措施</w:t>
      </w:r>
    </w:p>
    <w:p w14:paraId="500A3EF8">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14:paraId="13F0BA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1.风险描述：工作面存在自然发火风险。</w:t>
      </w:r>
    </w:p>
    <w:p w14:paraId="18CFB7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4B90CC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（1）工作面回采期间沿煤层顶部回采，确保顶煤回采干净。</w:t>
      </w:r>
    </w:p>
    <w:p w14:paraId="7EE0AE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（2）加强现场监督，确保上、下隅角封堵严实。</w:t>
      </w:r>
    </w:p>
    <w:p w14:paraId="4DB2015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（3）设置自然发火观测点，定期进行检查。</w:t>
      </w:r>
    </w:p>
    <w:p w14:paraId="308F11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（4）每班结束后，安排专人对架空浮煤进行清理。</w:t>
      </w:r>
    </w:p>
    <w:p w14:paraId="376380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（5）在材料巷埋设4寸措施管路，在特殊地质构造位置埋设φ50地质钢管，回采期间对措施管路进行保护，防止措施管路遭到破坏。</w:t>
      </w:r>
    </w:p>
    <w:p w14:paraId="09F7DD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）定期对仪器仪表调校和鉴定，确保仪器仪表准确性。</w:t>
      </w:r>
    </w:p>
    <w:p w14:paraId="715A8E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）按规定安设防尘供水管路，并敷设到工作面。</w:t>
      </w:r>
    </w:p>
    <w:p w14:paraId="110838E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）利用措施管路定期对工作面进行注浆或注氮气，防止遗煤自燃。</w:t>
      </w:r>
    </w:p>
    <w:p w14:paraId="6AE187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）生产班对工作面架空喷洒阻化剂。</w:t>
      </w:r>
    </w:p>
    <w:p w14:paraId="2AD32A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14:paraId="2EB7A4F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7890E4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（1）作业人员应正确使用防尘等个体防护用品，井下各单位应对作业人员使用个体防护用品情况采取措施加强管理。</w:t>
      </w:r>
    </w:p>
    <w:p w14:paraId="6C2A74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14:paraId="2671D4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14:paraId="16BAC19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.风险描述：防灭火管理不到位可能造成火灾。</w:t>
      </w:r>
    </w:p>
    <w:p w14:paraId="0FABD7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05343DD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（1）各生产单位任何人发现井下火灾，应视瓦斯情况，立即采取一切可能的方法直接灭火，控制火势。</w:t>
      </w:r>
    </w:p>
    <w:p w14:paraId="07423D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（2）各生产单位任何人发现井下火灾，未瓦斯情况，没有立即采取一切可能的方法直接灭火，控制火势时，</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对责任人进行相应的处罚。</w:t>
      </w:r>
    </w:p>
    <w:p w14:paraId="70A1BE7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风险描述：工作面存在水灾风险。</w:t>
      </w:r>
    </w:p>
    <w:p w14:paraId="25E978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490285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）根据物探成果,利用钻探超前验证物探异常区。</w:t>
      </w:r>
    </w:p>
    <w:p w14:paraId="48CD791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）按照预计最大涌水量安设排水系统，并保证排水系统畅通完善，巷道积水及时排出。</w:t>
      </w:r>
    </w:p>
    <w:p w14:paraId="690CE0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）按照要求进行地质及水情水害预测预报工作。</w:t>
      </w:r>
    </w:p>
    <w:p w14:paraId="26B4256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4</w:t>
      </w:r>
      <w:r>
        <w:rPr>
          <w:rFonts w:hint="eastAsia" w:ascii="仿宋" w:hAnsi="仿宋" w:eastAsia="仿宋" w:cs="仿宋"/>
          <w:color w:val="auto"/>
          <w:kern w:val="0"/>
          <w:sz w:val="28"/>
          <w:szCs w:val="28"/>
          <w:highlight w:val="none"/>
        </w:rPr>
        <w:t>）按要求进行涌水量观测。</w:t>
      </w:r>
    </w:p>
    <w:p w14:paraId="1E480A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5</w:t>
      </w:r>
      <w:r>
        <w:rPr>
          <w:rFonts w:hint="eastAsia" w:ascii="仿宋" w:hAnsi="仿宋" w:eastAsia="仿宋" w:cs="仿宋"/>
          <w:color w:val="auto"/>
          <w:kern w:val="0"/>
          <w:sz w:val="28"/>
          <w:szCs w:val="28"/>
          <w:highlight w:val="none"/>
        </w:rPr>
        <w:t>）普及井下职工防治水知识，了解突水征兆，熟悉逃生路线和避灾方法。</w:t>
      </w:r>
    </w:p>
    <w:p w14:paraId="3E79B9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6</w:t>
      </w:r>
      <w:r>
        <w:rPr>
          <w:rFonts w:hint="eastAsia" w:ascii="仿宋" w:hAnsi="仿宋" w:eastAsia="仿宋" w:cs="仿宋"/>
          <w:color w:val="auto"/>
          <w:kern w:val="0"/>
          <w:sz w:val="28"/>
          <w:szCs w:val="28"/>
          <w:highlight w:val="none"/>
        </w:rPr>
        <w:t>）落实应急处置措施，发生事故立即启动应急救援预案。</w:t>
      </w:r>
    </w:p>
    <w:p w14:paraId="04BE3A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7</w:t>
      </w:r>
      <w:r>
        <w:rPr>
          <w:rFonts w:hint="eastAsia" w:ascii="仿宋" w:hAnsi="仿宋" w:eastAsia="仿宋" w:cs="仿宋"/>
          <w:color w:val="auto"/>
          <w:kern w:val="0"/>
          <w:sz w:val="28"/>
          <w:szCs w:val="28"/>
          <w:highlight w:val="none"/>
        </w:rPr>
        <w:t>）运用</w:t>
      </w:r>
      <w:r>
        <w:rPr>
          <w:rFonts w:hint="eastAsia" w:ascii="仿宋" w:hAnsi="仿宋" w:eastAsia="仿宋" w:cs="仿宋"/>
          <w:color w:val="auto"/>
          <w:kern w:val="0"/>
          <w:sz w:val="28"/>
          <w:szCs w:val="28"/>
          <w:highlight w:val="none"/>
          <w:lang w:val="en-US" w:eastAsia="zh-CN"/>
        </w:rPr>
        <w:t>现用</w:t>
      </w:r>
      <w:r>
        <w:rPr>
          <w:rFonts w:hint="eastAsia" w:ascii="仿宋" w:hAnsi="仿宋" w:eastAsia="仿宋" w:cs="仿宋"/>
          <w:color w:val="auto"/>
          <w:kern w:val="0"/>
          <w:sz w:val="28"/>
          <w:szCs w:val="28"/>
          <w:highlight w:val="none"/>
        </w:rPr>
        <w:t>水文监测系统，加强实时监测井下水量变化情况，出现异常及时采取措施处理</w:t>
      </w:r>
      <w:r>
        <w:rPr>
          <w:rFonts w:hint="eastAsia" w:ascii="仿宋" w:hAnsi="仿宋" w:eastAsia="仿宋" w:cs="仿宋"/>
          <w:color w:val="auto"/>
          <w:kern w:val="0"/>
          <w:sz w:val="28"/>
          <w:szCs w:val="28"/>
        </w:rPr>
        <w:t>。</w:t>
      </w:r>
    </w:p>
    <w:p w14:paraId="1676D57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14:paraId="469E72C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1</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施工时可能发生顶板危岩悬矸掉落伤人事故风险。</w:t>
      </w:r>
    </w:p>
    <w:p w14:paraId="561411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管控措施：施工期间严格执行敲帮问顶制度，及时摘除危岩悬矸。</w:t>
      </w:r>
    </w:p>
    <w:p w14:paraId="4DEE9A5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2</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施工时未注意运行的车辆及机电设备，可能会被运行的车辆及机电设备撞伤的风险。</w:t>
      </w:r>
    </w:p>
    <w:p w14:paraId="2A787C1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管控措施：施工时要规范人员站位，时刻注意运行的车辆及机电设备。</w:t>
      </w:r>
    </w:p>
    <w:p w14:paraId="5613FC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3</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蹬高作业架手架或梯子搭设不牢固，可能发生人员脱落摔伤风险。</w:t>
      </w:r>
    </w:p>
    <w:p w14:paraId="3A936A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管控措施：施工时脚手架或梯子要搭设牢固，人员规范站位，做好安全监护，系好保险带。</w:t>
      </w:r>
    </w:p>
    <w:p w14:paraId="04ED390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4</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施工地点人工抬运超长、超重物料行走时路面湿滑，可能摔倒被物料砸伤。</w:t>
      </w:r>
    </w:p>
    <w:p w14:paraId="5C4FD4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管控措施：人员抬运物料时要相互配合，正确站位，步调一致，用力均匀，做好互保、联保工作。</w:t>
      </w:r>
    </w:p>
    <w:p w14:paraId="6C0371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5</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密闭施工时现场施工人员未随身携带</w:t>
      </w:r>
      <w:r>
        <w:rPr>
          <w:rFonts w:hint="eastAsia" w:ascii="仿宋" w:hAnsi="仿宋" w:eastAsia="仿宋" w:cs="仿宋"/>
          <w:snapToGrid w:val="0"/>
          <w:color w:val="auto"/>
          <w:kern w:val="0"/>
          <w:sz w:val="28"/>
          <w:szCs w:val="28"/>
          <w:highlight w:val="none"/>
          <w:lang w:val="en-US" w:eastAsia="zh-CN"/>
        </w:rPr>
        <w:t>一氧化碳便携仪</w:t>
      </w:r>
      <w:r>
        <w:rPr>
          <w:rFonts w:hint="eastAsia" w:ascii="仿宋" w:hAnsi="仿宋" w:eastAsia="仿宋" w:cs="仿宋"/>
          <w:snapToGrid w:val="0"/>
          <w:color w:val="auto"/>
          <w:kern w:val="0"/>
          <w:sz w:val="28"/>
          <w:szCs w:val="28"/>
          <w:highlight w:val="none"/>
        </w:rPr>
        <w:t>、便携式甲烷检测报警仪，同时在施工现场通风不良的情况下，可能存在瓦斯涌出积聚引起爆炸的风险。</w:t>
      </w:r>
    </w:p>
    <w:p w14:paraId="6031F6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管控措施：施工时班组长以上人员必须随身携带</w:t>
      </w:r>
      <w:r>
        <w:rPr>
          <w:rFonts w:hint="eastAsia" w:ascii="仿宋" w:hAnsi="仿宋" w:eastAsia="仿宋" w:cs="仿宋"/>
          <w:snapToGrid w:val="0"/>
          <w:color w:val="auto"/>
          <w:kern w:val="0"/>
          <w:sz w:val="28"/>
          <w:szCs w:val="28"/>
          <w:highlight w:val="none"/>
          <w:lang w:val="en-US" w:eastAsia="zh-CN"/>
        </w:rPr>
        <w:t>一氧化碳便携仪</w:t>
      </w:r>
      <w:r>
        <w:rPr>
          <w:rFonts w:hint="eastAsia" w:ascii="仿宋" w:hAnsi="仿宋" w:eastAsia="仿宋" w:cs="仿宋"/>
          <w:snapToGrid w:val="0"/>
          <w:color w:val="auto"/>
          <w:kern w:val="0"/>
          <w:sz w:val="28"/>
          <w:szCs w:val="28"/>
          <w:highlight w:val="none"/>
        </w:rPr>
        <w:t>、便携式甲烷检测报警仪，并将甲烷检测报警仪悬挂在施工地点的上方(距帮不小于200mm，距顶板不大于300mm)，若施工地点瓦斯出现异常，必须停止工作采取措施进行处理，待瓦斯浓度降到安全浓度下，方可允许施工。</w:t>
      </w:r>
    </w:p>
    <w:p w14:paraId="22CDF1A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、施工前安全检查</w:t>
      </w:r>
    </w:p>
    <w:p w14:paraId="248B2C7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1.顶帮</w:t>
      </w:r>
    </w:p>
    <w:p w14:paraId="5CEF37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由外向里逐步检查施工地点前后5m范围内顶帮情况，发现问题及时处理，处理完后方可施工。</w:t>
      </w:r>
    </w:p>
    <w:p w14:paraId="479481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2.通风、瓦斯、（导电体）</w:t>
      </w:r>
    </w:p>
    <w:p w14:paraId="777B85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施工地点通风良好，瓦斯小于1%，二氧化碳小于1.5%，一氧化碳小于0.0024%，氧气大于18% ,否则立即撤出人员，汇报通防部门，进行处理。密闭施工前，密闭外钢轨、电缆、管路必须断开。</w:t>
      </w:r>
    </w:p>
    <w:p w14:paraId="0DE82A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3.机械设备运行</w:t>
      </w:r>
    </w:p>
    <w:p w14:paraId="39E3A2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当施工地点有车辆及机械设备运行时，要设专人指挥来往车辆，确保人员安全。</w:t>
      </w:r>
    </w:p>
    <w:p w14:paraId="53122F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4.脚手架</w:t>
      </w:r>
    </w:p>
    <w:p w14:paraId="78D496D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当砌墙高度超过</w:t>
      </w:r>
      <w:r>
        <w:rPr>
          <w:rFonts w:hint="eastAsia" w:ascii="仿宋" w:hAnsi="仿宋" w:eastAsia="仿宋" w:cs="仿宋"/>
          <w:color w:val="auto"/>
          <w:sz w:val="28"/>
          <w:szCs w:val="28"/>
          <w:highlight w:val="none"/>
          <w:lang w:val="en-US" w:eastAsia="zh-CN"/>
        </w:rPr>
        <w:t>1.5</w:t>
      </w:r>
      <w:r>
        <w:rPr>
          <w:rFonts w:hint="eastAsia" w:ascii="仿宋" w:hAnsi="仿宋" w:eastAsia="仿宋" w:cs="仿宋"/>
          <w:color w:val="auto"/>
          <w:sz w:val="28"/>
          <w:szCs w:val="28"/>
          <w:highlight w:val="none"/>
        </w:rPr>
        <w:t>m时，要搭设脚手架，脚手架应牢固可靠。</w:t>
      </w:r>
    </w:p>
    <w:p w14:paraId="2307ED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5.站位、后退路</w:t>
      </w:r>
    </w:p>
    <w:p w14:paraId="531D7F4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检查站位是否安全，避开片帮、冒顶、砌墙材料掉落、车辆及机械运行等危险情况，并保证后退路畅通。</w:t>
      </w:r>
    </w:p>
    <w:p w14:paraId="07E7C0D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、施工过程中的注意事项</w:t>
      </w:r>
    </w:p>
    <w:p w14:paraId="6FF44DE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（一）必须掌握的条款</w:t>
      </w:r>
    </w:p>
    <w:p w14:paraId="7341C60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掏槽</w:t>
      </w:r>
    </w:p>
    <w:p w14:paraId="4563E8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用锤、钎、镐施工。</w:t>
      </w:r>
    </w:p>
    <w:p w14:paraId="0CC899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.剪</w:t>
      </w:r>
      <w:r>
        <w:rPr>
          <w:rFonts w:hint="eastAsia" w:ascii="仿宋" w:hAnsi="仿宋" w:eastAsia="仿宋" w:cs="仿宋"/>
          <w:color w:val="auto"/>
          <w:sz w:val="28"/>
          <w:szCs w:val="28"/>
          <w:highlight w:val="none"/>
        </w:rPr>
        <w:t>网</w:t>
      </w:r>
    </w:p>
    <w:p w14:paraId="3E021A0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掏槽前先将锚网剪掉，剪网人员站在锚网完好处。</w:t>
      </w:r>
    </w:p>
    <w:p w14:paraId="2DC3849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电缆保护</w:t>
      </w:r>
    </w:p>
    <w:p w14:paraId="221EF5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电缆、管路处施工，要妥善保管电缆管路，防止碰坏。</w:t>
      </w:r>
    </w:p>
    <w:p w14:paraId="7CAD91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导电体</w:t>
      </w:r>
    </w:p>
    <w:p w14:paraId="07FAF2A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密闭处的钢轨、电缆、管路断开。</w:t>
      </w:r>
    </w:p>
    <w:p w14:paraId="2472A5F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密闭孔</w:t>
      </w:r>
    </w:p>
    <w:p w14:paraId="2EA21F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防火密闭墙厚度大于</w:t>
      </w:r>
      <w:r>
        <w:rPr>
          <w:rFonts w:hint="eastAsia" w:ascii="仿宋" w:hAnsi="仿宋" w:eastAsia="仿宋" w:cs="仿宋"/>
          <w:color w:val="auto"/>
          <w:sz w:val="28"/>
          <w:szCs w:val="28"/>
          <w:highlight w:val="none"/>
          <w:lang w:val="en-US" w:eastAsia="zh-CN"/>
        </w:rPr>
        <w:t>60</w:t>
      </w:r>
      <w:r>
        <w:rPr>
          <w:rFonts w:hint="eastAsia" w:ascii="仿宋" w:hAnsi="仿宋" w:eastAsia="仿宋" w:cs="仿宋"/>
          <w:color w:val="auto"/>
          <w:sz w:val="28"/>
          <w:szCs w:val="28"/>
          <w:highlight w:val="none"/>
        </w:rPr>
        <w:t>cm。</w:t>
      </w:r>
      <w:r>
        <w:rPr>
          <w:rFonts w:hint="eastAsia" w:ascii="仿宋" w:hAnsi="仿宋" w:eastAsia="仿宋" w:cs="仿宋"/>
          <w:color w:val="auto"/>
          <w:sz w:val="28"/>
          <w:szCs w:val="28"/>
          <w:highlight w:val="none"/>
          <w:lang w:eastAsia="zh-CN"/>
        </w:rPr>
        <w:t>密闭内</w:t>
      </w:r>
      <w:r>
        <w:rPr>
          <w:rFonts w:hint="eastAsia" w:ascii="仿宋" w:hAnsi="仿宋" w:eastAsia="仿宋" w:cs="仿宋"/>
          <w:color w:val="auto"/>
          <w:sz w:val="28"/>
          <w:szCs w:val="28"/>
          <w:highlight w:val="none"/>
        </w:rPr>
        <w:t>有水的设反水池。</w:t>
      </w:r>
    </w:p>
    <w:p w14:paraId="10555E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闭锁、可视窗</w:t>
      </w:r>
    </w:p>
    <w:p w14:paraId="66454B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风门设闭锁，通车风门设可视窗。</w:t>
      </w:r>
    </w:p>
    <w:p w14:paraId="429409B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调节风窗</w:t>
      </w:r>
    </w:p>
    <w:p w14:paraId="23C63B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调节风窗设可调节的插板，四周设刻度条，有锁定装置。</w:t>
      </w:r>
    </w:p>
    <w:p w14:paraId="39FF5100">
      <w:pPr>
        <w:keepNext w:val="0"/>
        <w:keepLines w:val="0"/>
        <w:pageBreakBefore w:val="0"/>
        <w:widowControl w:val="0"/>
        <w:kinsoku/>
        <w:wordWrap/>
        <w:overflowPunct/>
        <w:topLinePunct w:val="0"/>
        <w:autoSpaceDE/>
        <w:autoSpaceDN/>
        <w:bidi w:val="0"/>
        <w:adjustRightInd/>
        <w:snapToGrid/>
        <w:spacing w:line="500" w:lineRule="exact"/>
        <w:ind w:firstLine="281" w:firstLineChars="1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（二）全部条款</w:t>
      </w:r>
    </w:p>
    <w:p w14:paraId="090051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要认真组织职工对施工安全技术措施进行学习、考试。</w:t>
      </w:r>
    </w:p>
    <w:p w14:paraId="298339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材料装、封车要牢固、符合要求。</w:t>
      </w:r>
    </w:p>
    <w:p w14:paraId="2157FB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井下装卸笨重材料时要互相照应，材料靠巷帮堆放整齐，不得影响运输、通风、行人。</w:t>
      </w:r>
    </w:p>
    <w:p w14:paraId="58025AE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必须按照施工设计施工，不得随意改变安设的位置、类型等。</w:t>
      </w:r>
    </w:p>
    <w:p w14:paraId="7EF3B39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在有水沟的巷道中砌墙时，设置反水池，既要保持水流畅通，又不能漏风。</w:t>
      </w:r>
    </w:p>
    <w:p w14:paraId="70CC77D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砌墙时，竖缝要错开，横缝要水平，排列必须整齐。</w:t>
      </w:r>
    </w:p>
    <w:p w14:paraId="4CA3BF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只能用锤、钎、镐施工。</w:t>
      </w:r>
    </w:p>
    <w:p w14:paraId="1297387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掏槽前先将锚网剪掉，剪网人员站在锚网完好处防止掉渣伤人，掏槽要自上而下进行防止片帮伤人。</w:t>
      </w:r>
    </w:p>
    <w:p w14:paraId="125DCF6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在有电缆、管路处施工时，要妥善保管电缆管路，防止碰坏。</w:t>
      </w:r>
    </w:p>
    <w:p w14:paraId="6037E7A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密闭施工操作注意事项</w:t>
      </w:r>
    </w:p>
    <w:p w14:paraId="199819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★（1）密闭处的钢轨、电缆、管路必须断开，不得与密闭内连通。</w:t>
      </w:r>
    </w:p>
    <w:p w14:paraId="01F6BB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（2）双层砖或料石墙中间填黄土的密闭，黄土湿度不宜大，且应随砌随填，层层用木锤捣实。</w:t>
      </w:r>
    </w:p>
    <w:p w14:paraId="27F85BE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★（3）有自然发火煤层的采空区密闭，墙体厚度要大于</w:t>
      </w: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0cm，要预留观测孔</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措施孔</w:t>
      </w:r>
      <w:r>
        <w:rPr>
          <w:rFonts w:hint="eastAsia" w:ascii="仿宋" w:hAnsi="仿宋" w:eastAsia="仿宋" w:cs="仿宋"/>
          <w:color w:val="auto"/>
          <w:sz w:val="28"/>
          <w:szCs w:val="28"/>
          <w:highlight w:val="none"/>
          <w:lang w:val="en-US" w:eastAsia="zh-CN"/>
        </w:rPr>
        <w:t>及排水孔</w:t>
      </w:r>
      <w:r>
        <w:rPr>
          <w:rFonts w:hint="eastAsia" w:ascii="仿宋" w:hAnsi="仿宋" w:eastAsia="仿宋" w:cs="仿宋"/>
          <w:color w:val="auto"/>
          <w:sz w:val="28"/>
          <w:szCs w:val="28"/>
          <w:highlight w:val="none"/>
        </w:rPr>
        <w:t>，外口距密闭墙至少20cm，外口要设阀门，不用时保持关闭。密闭内有水的要按规定设置反水池或反水管。</w:t>
      </w:r>
    </w:p>
    <w:p w14:paraId="5AD683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（4）施工完毕后，揭示警标，悬挂牌板。密闭与巷道口超过</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m时设栅栏。</w:t>
      </w:r>
    </w:p>
    <w:p w14:paraId="0FBB24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（5）临时密闭墙厚度不应小于24cm。</w:t>
      </w:r>
    </w:p>
    <w:p w14:paraId="0AEC06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（6）板闭采用鱼鳞式搭接。木板厚度不小于2cm，压茬宽度不少于1.5cm，四周木板均要伸入槽内接实。</w:t>
      </w:r>
    </w:p>
    <w:p w14:paraId="712D839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（7）木板钉严后，用白石灰加黄泥或水泥加黄泥浆沿木板压茬缝及墙四周堵抹平整严密，不漏风。</w:t>
      </w:r>
    </w:p>
    <w:p w14:paraId="62F147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highlight w:val="none"/>
        </w:rPr>
      </w:pPr>
      <w:r>
        <w:rPr>
          <w:rFonts w:hint="eastAsia" w:ascii="仿宋" w:hAnsi="仿宋" w:eastAsia="仿宋" w:cs="仿宋"/>
          <w:bCs/>
          <w:color w:val="auto"/>
          <w:sz w:val="28"/>
          <w:szCs w:val="28"/>
          <w:highlight w:val="none"/>
        </w:rPr>
        <w:t>11</w:t>
      </w:r>
      <w:r>
        <w:rPr>
          <w:rFonts w:hint="eastAsia" w:ascii="仿宋" w:hAnsi="仿宋" w:eastAsia="仿宋" w:cs="仿宋"/>
          <w:bCs/>
          <w:color w:val="auto"/>
          <w:sz w:val="28"/>
          <w:szCs w:val="28"/>
          <w:highlight w:val="none"/>
          <w:lang w:val="en-US" w:eastAsia="zh-CN"/>
        </w:rPr>
        <w:t>.</w:t>
      </w:r>
      <w:r>
        <w:rPr>
          <w:rFonts w:hint="eastAsia" w:ascii="仿宋" w:hAnsi="仿宋" w:eastAsia="仿宋" w:cs="仿宋"/>
          <w:bCs/>
          <w:color w:val="auto"/>
          <w:sz w:val="28"/>
          <w:szCs w:val="28"/>
          <w:highlight w:val="none"/>
        </w:rPr>
        <w:t>风门施工操作注意事项</w:t>
      </w:r>
    </w:p>
    <w:p w14:paraId="3090A24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（1）安放门框时应先安放下门坎，面，下坎设好后再安装门框及上坎横梁，要求门框与门坎互成直下坎的上平面要稍高于轨角，上下坎应互相平行。</w:t>
      </w:r>
    </w:p>
    <w:p w14:paraId="39FAB8A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（2）根据风压大小，门框应朝顺风方向倾斜一定角度，一般以85°左右为宜。调好门框倾角后，用棍棒、铁丝将门框稳固。</w:t>
      </w:r>
    </w:p>
    <w:p w14:paraId="11EA21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（3）砌墙垛时要求两边墙垛施工平行进行，逐渐把门框牢固嵌入墙垛内。</w:t>
      </w:r>
    </w:p>
    <w:p w14:paraId="0C0446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（4）若需要在风门墙垛中通过管线，砌墙时要预留管线孔。当风门墙垛中有电缆线路通过时，要加设电缆套管。</w:t>
      </w:r>
    </w:p>
    <w:p w14:paraId="391F2F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（5）反向风门要与正向风门同时施工，除门框倾斜角度、开关方向与正向风门相反外，其余要求与正向风门相同。</w:t>
      </w:r>
    </w:p>
    <w:p w14:paraId="49A5C7C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（6）风门墙垛砌好后，墙两边均要用细灰砂浆勾缝或涂抹平整，做到不漏风。水泥砂浆凝固后，方可挂风门门扇。</w:t>
      </w:r>
    </w:p>
    <w:p w14:paraId="579450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（7）底坎施工时，应将巷道底板浮煤清走，底板松软还要挖深，再砌出门槛，有轨道的巷道，门槛高度不得超过轨道上平面，且轨道内边缘留出矿车轮槽，用水泥抹平。</w:t>
      </w:r>
    </w:p>
    <w:p w14:paraId="369AB95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（8）门框要包边沿口，有衬垫，四周接触严密。</w:t>
      </w:r>
    </w:p>
    <w:p w14:paraId="06E4EE8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（9）风门下部应钉</w:t>
      </w:r>
      <w:r>
        <w:rPr>
          <w:rFonts w:hint="eastAsia" w:ascii="仿宋" w:hAnsi="仿宋" w:eastAsia="仿宋" w:cs="仿宋"/>
          <w:color w:val="auto"/>
          <w:sz w:val="28"/>
          <w:szCs w:val="28"/>
          <w:highlight w:val="none"/>
          <w:lang w:val="en-US" w:eastAsia="zh-CN"/>
        </w:rPr>
        <w:t>地坎皮带</w:t>
      </w:r>
      <w:r>
        <w:rPr>
          <w:rFonts w:hint="eastAsia" w:ascii="仿宋" w:hAnsi="仿宋" w:eastAsia="仿宋" w:cs="仿宋"/>
          <w:color w:val="auto"/>
          <w:sz w:val="28"/>
          <w:szCs w:val="28"/>
          <w:highlight w:val="none"/>
        </w:rPr>
        <w:t>，管线孔堵实。</w:t>
      </w:r>
    </w:p>
    <w:p w14:paraId="579B2E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（10）自动风门应灵敏可靠、开关自如。</w:t>
      </w:r>
    </w:p>
    <w:p w14:paraId="7F791A0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★（11）风门自动关闭，安设闭锁装置，通车风门安设可视窗。</w:t>
      </w:r>
    </w:p>
    <w:p w14:paraId="22777EA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、操作完成后确认</w:t>
      </w:r>
    </w:p>
    <w:p w14:paraId="3CFA7AB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1.场地清理</w:t>
      </w:r>
    </w:p>
    <w:p w14:paraId="51C1B82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施工完毕后，现场剩余物料要及时清理运走，工完、料净、场地清。确保风门、密闭、挡风墙等通风设施前后5m无杂物。</w:t>
      </w:r>
    </w:p>
    <w:p w14:paraId="25B7FE7B">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单元检查表确认</w:t>
      </w:r>
    </w:p>
    <w:p w14:paraId="42472A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1.确认</w:t>
      </w:r>
      <w:r>
        <w:rPr>
          <w:rFonts w:hint="eastAsia" w:ascii="仿宋" w:hAnsi="仿宋" w:eastAsia="仿宋" w:cs="仿宋"/>
          <w:color w:val="auto"/>
          <w:sz w:val="28"/>
          <w:szCs w:val="28"/>
          <w:highlight w:val="none"/>
        </w:rPr>
        <w:t>井下装卸笨重材料时互相照应，材料靠巷帮堆放整齐</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不影响通风断面。</w:t>
      </w:r>
    </w:p>
    <w:p w14:paraId="38EFD1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sz w:val="28"/>
          <w:szCs w:val="28"/>
          <w:highlight w:val="none"/>
          <w:lang w:val="en-US" w:eastAsia="zh-CN"/>
        </w:rPr>
        <w:t>2.确认</w:t>
      </w:r>
      <w:r>
        <w:rPr>
          <w:rFonts w:hint="eastAsia" w:ascii="仿宋" w:hAnsi="仿宋" w:eastAsia="仿宋" w:cs="仿宋"/>
          <w:color w:val="auto"/>
          <w:sz w:val="28"/>
          <w:szCs w:val="28"/>
          <w:highlight w:val="none"/>
        </w:rPr>
        <w:t>按照施工设计施工，</w:t>
      </w:r>
      <w:r>
        <w:rPr>
          <w:rFonts w:hint="eastAsia" w:ascii="仿宋" w:hAnsi="仿宋" w:eastAsia="仿宋" w:cs="仿宋"/>
          <w:color w:val="auto"/>
          <w:sz w:val="28"/>
          <w:szCs w:val="28"/>
          <w:highlight w:val="none"/>
          <w:lang w:val="en-US" w:eastAsia="zh-CN"/>
        </w:rPr>
        <w:t>不</w:t>
      </w:r>
      <w:r>
        <w:rPr>
          <w:rFonts w:hint="eastAsia" w:ascii="仿宋" w:hAnsi="仿宋" w:eastAsia="仿宋" w:cs="仿宋"/>
          <w:color w:val="auto"/>
          <w:sz w:val="28"/>
          <w:szCs w:val="28"/>
          <w:highlight w:val="none"/>
        </w:rPr>
        <w:t>随意改变安设的位置、类型等。</w:t>
      </w:r>
    </w:p>
    <w:p w14:paraId="4ABA46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3.确认</w:t>
      </w:r>
      <w:r>
        <w:rPr>
          <w:rFonts w:hint="eastAsia" w:ascii="仿宋" w:hAnsi="仿宋" w:eastAsia="仿宋" w:cs="仿宋"/>
          <w:color w:val="auto"/>
          <w:sz w:val="28"/>
          <w:szCs w:val="28"/>
          <w:highlight w:val="none"/>
        </w:rPr>
        <w:t>在有水沟的巷道中砌墙时，设置反水池，保持水流畅通。</w:t>
      </w:r>
    </w:p>
    <w:p w14:paraId="08838F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4.确认</w:t>
      </w:r>
      <w:r>
        <w:rPr>
          <w:rFonts w:hint="eastAsia" w:ascii="仿宋" w:hAnsi="仿宋" w:eastAsia="仿宋" w:cs="仿宋"/>
          <w:color w:val="auto"/>
          <w:sz w:val="28"/>
          <w:szCs w:val="28"/>
          <w:highlight w:val="none"/>
        </w:rPr>
        <w:t>砌墙时竖缝要错开，横缝水平，排列整齐。</w:t>
      </w:r>
    </w:p>
    <w:p w14:paraId="1DED3A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sz w:val="28"/>
          <w:szCs w:val="28"/>
          <w:highlight w:val="none"/>
          <w:lang w:val="en-US" w:eastAsia="zh-CN"/>
        </w:rPr>
        <w:t>5.确认</w:t>
      </w:r>
      <w:r>
        <w:rPr>
          <w:rFonts w:hint="eastAsia" w:ascii="仿宋" w:hAnsi="仿宋" w:eastAsia="仿宋" w:cs="仿宋"/>
          <w:color w:val="auto"/>
          <w:sz w:val="28"/>
          <w:szCs w:val="28"/>
          <w:highlight w:val="none"/>
        </w:rPr>
        <w:t>按规定进行掏槽，</w:t>
      </w:r>
      <w:r>
        <w:rPr>
          <w:rFonts w:hint="eastAsia" w:ascii="仿宋" w:hAnsi="仿宋" w:eastAsia="仿宋" w:cs="仿宋"/>
          <w:color w:val="auto"/>
          <w:sz w:val="28"/>
          <w:szCs w:val="28"/>
          <w:highlight w:val="none"/>
          <w:lang w:val="en-US" w:eastAsia="zh-CN"/>
        </w:rPr>
        <w:t>用</w:t>
      </w:r>
      <w:r>
        <w:rPr>
          <w:rFonts w:hint="eastAsia" w:ascii="仿宋" w:hAnsi="仿宋" w:eastAsia="仿宋" w:cs="仿宋"/>
          <w:color w:val="auto"/>
          <w:sz w:val="28"/>
          <w:szCs w:val="28"/>
          <w:highlight w:val="none"/>
        </w:rPr>
        <w:t>锤、钎、镐施工。</w:t>
      </w:r>
    </w:p>
    <w:p w14:paraId="2D57D7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6.确认</w:t>
      </w:r>
      <w:r>
        <w:rPr>
          <w:rFonts w:hint="eastAsia" w:ascii="仿宋" w:hAnsi="仿宋" w:eastAsia="仿宋" w:cs="仿宋"/>
          <w:color w:val="auto"/>
          <w:sz w:val="28"/>
          <w:szCs w:val="28"/>
          <w:highlight w:val="none"/>
        </w:rPr>
        <w:t>在有电缆、管路处施工时，保管</w:t>
      </w:r>
      <w:r>
        <w:rPr>
          <w:rFonts w:hint="eastAsia" w:ascii="仿宋" w:hAnsi="仿宋" w:eastAsia="仿宋" w:cs="仿宋"/>
          <w:color w:val="auto"/>
          <w:sz w:val="28"/>
          <w:szCs w:val="28"/>
          <w:highlight w:val="none"/>
          <w:lang w:val="en-US" w:eastAsia="zh-CN"/>
        </w:rPr>
        <w:t>好</w:t>
      </w:r>
      <w:r>
        <w:rPr>
          <w:rFonts w:hint="eastAsia" w:ascii="仿宋" w:hAnsi="仿宋" w:eastAsia="仿宋" w:cs="仿宋"/>
          <w:color w:val="auto"/>
          <w:sz w:val="28"/>
          <w:szCs w:val="28"/>
          <w:highlight w:val="none"/>
        </w:rPr>
        <w:t>电缆管路。</w:t>
      </w:r>
    </w:p>
    <w:p w14:paraId="45B212F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、本工种案例教育</w:t>
      </w:r>
    </w:p>
    <w:p w14:paraId="6A63204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rPr>
        <w:t>案例一：</w:t>
      </w:r>
      <w:r>
        <w:rPr>
          <w:rFonts w:hint="eastAsia" w:ascii="仿宋" w:hAnsi="仿宋" w:eastAsia="仿宋" w:cs="仿宋"/>
          <w:b/>
          <w:color w:val="auto"/>
          <w:sz w:val="28"/>
          <w:szCs w:val="28"/>
          <w:highlight w:val="none"/>
          <w:lang w:val="en-US" w:eastAsia="zh-CN"/>
        </w:rPr>
        <w:t>建立挡风墙时</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操作不当，造成顶板煤岩砸伤事故。</w:t>
      </w:r>
    </w:p>
    <w:p w14:paraId="31A973D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**年**月**日，某矿通防工区</w:t>
      </w:r>
      <w:r>
        <w:rPr>
          <w:rFonts w:hint="eastAsia" w:ascii="仿宋" w:hAnsi="仿宋" w:eastAsia="仿宋" w:cs="仿宋"/>
          <w:color w:val="auto"/>
          <w:sz w:val="28"/>
          <w:szCs w:val="28"/>
          <w:highlight w:val="none"/>
          <w:lang w:val="en-US" w:eastAsia="zh-CN"/>
        </w:rPr>
        <w:t>人员按照领导安排到南一采区402工作面回风平巷翻2架铁棚，进行掏槽，为建永久性挡风墙做准备，8时45分，3名工作人员带着工具到现场作业，到现场后没有认真检查顶板及架棚情况，就用撬棍别横梁，由于顶板压力大，一个人别不动，这时3人用短管将撬棍外头套上增加臂长度，同时用力，棚梁被撬下，上部的煤岩块及浮渣也随着冒落，造成2m-3m宽的巷道冒顶，由于施工人员躲闪不及，被埋在棚梁及浮渣下面，造成1死2伤的恶劣事故</w:t>
      </w:r>
      <w:r>
        <w:rPr>
          <w:rFonts w:hint="eastAsia" w:ascii="仿宋" w:hAnsi="仿宋" w:eastAsia="仿宋" w:cs="仿宋"/>
          <w:color w:val="auto"/>
          <w:sz w:val="28"/>
          <w:szCs w:val="28"/>
          <w:highlight w:val="none"/>
        </w:rPr>
        <w:t>。</w:t>
      </w:r>
    </w:p>
    <w:p w14:paraId="4D577293">
      <w:pPr>
        <w:keepNext w:val="0"/>
        <w:keepLines w:val="0"/>
        <w:pageBreakBefore w:val="0"/>
        <w:widowControl w:val="0"/>
        <w:kinsoku/>
        <w:wordWrap/>
        <w:overflowPunct/>
        <w:topLinePunct w:val="0"/>
        <w:autoSpaceDE/>
        <w:autoSpaceDN/>
        <w:bidi w:val="0"/>
        <w:adjustRightInd/>
        <w:snapToGrid/>
        <w:spacing w:line="500" w:lineRule="exact"/>
        <w:ind w:firstLine="548" w:firstLineChars="196"/>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（一）</w:t>
      </w:r>
      <w:r>
        <w:rPr>
          <w:rFonts w:hint="eastAsia" w:ascii="仿宋" w:hAnsi="仿宋" w:eastAsia="仿宋" w:cs="仿宋"/>
          <w:b w:val="0"/>
          <w:bCs/>
          <w:color w:val="auto"/>
          <w:sz w:val="28"/>
          <w:szCs w:val="28"/>
          <w:highlight w:val="none"/>
        </w:rPr>
        <w:t>事故原因：</w:t>
      </w:r>
    </w:p>
    <w:p w14:paraId="2B456F2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1.员工安全意识不强，未严格遵守施健挡风墙的各项规定。在掏槽时没有认真检查顶板及架棚情况就用撬棍别横梁是这次事故的主要原因。</w:t>
      </w:r>
    </w:p>
    <w:p w14:paraId="381AB1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2.员工互保联保意识不强，未及时制止违章行为。</w:t>
      </w:r>
    </w:p>
    <w:p w14:paraId="763DE0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防范措施：</w:t>
      </w:r>
    </w:p>
    <w:p w14:paraId="01AFF3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严格遵守通风设施工的各项规定，按操作规程作业；</w:t>
      </w:r>
    </w:p>
    <w:p w14:paraId="643F9C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加强职工教育，提高职工安全意识；</w:t>
      </w:r>
    </w:p>
    <w:p w14:paraId="63B8C5D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加强职工自保互保意识，及时制止违章行为。</w:t>
      </w:r>
    </w:p>
    <w:p w14:paraId="3638949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、常见三违</w:t>
      </w:r>
    </w:p>
    <w:p w14:paraId="2903DCB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Cs/>
          <w:color w:val="auto"/>
          <w:sz w:val="28"/>
          <w:szCs w:val="28"/>
          <w:highlight w:val="none"/>
        </w:rPr>
      </w:pPr>
      <w:r>
        <w:rPr>
          <w:rFonts w:hint="eastAsia" w:ascii="仿宋" w:hAnsi="仿宋" w:eastAsia="仿宋" w:cs="仿宋"/>
          <w:bCs/>
          <w:color w:val="auto"/>
          <w:sz w:val="28"/>
          <w:szCs w:val="28"/>
          <w:highlight w:val="none"/>
          <w:lang w:eastAsia="zh-CN"/>
        </w:rPr>
        <w:t>（一）</w:t>
      </w:r>
      <w:r>
        <w:rPr>
          <w:rFonts w:hint="eastAsia" w:ascii="仿宋" w:hAnsi="仿宋" w:eastAsia="仿宋" w:cs="仿宋"/>
          <w:bCs/>
          <w:color w:val="auto"/>
          <w:sz w:val="28"/>
          <w:szCs w:val="28"/>
          <w:highlight w:val="none"/>
        </w:rPr>
        <w:t>无措施施工，脚手架搭设不牢固。</w:t>
      </w:r>
    </w:p>
    <w:p w14:paraId="344D1ED9">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Cs/>
          <w:color w:val="auto"/>
          <w:sz w:val="28"/>
          <w:szCs w:val="28"/>
          <w:highlight w:val="none"/>
        </w:rPr>
      </w:pPr>
      <w:r>
        <w:rPr>
          <w:rFonts w:hint="eastAsia" w:ascii="仿宋" w:hAnsi="仿宋" w:eastAsia="仿宋" w:cs="仿宋"/>
          <w:bCs/>
          <w:color w:val="auto"/>
          <w:sz w:val="28"/>
          <w:szCs w:val="28"/>
          <w:highlight w:val="none"/>
          <w:lang w:eastAsia="zh-CN"/>
        </w:rPr>
        <w:t>（二）</w:t>
      </w:r>
      <w:r>
        <w:rPr>
          <w:rFonts w:hint="eastAsia" w:ascii="仿宋" w:hAnsi="仿宋" w:eastAsia="仿宋" w:cs="仿宋"/>
          <w:bCs/>
          <w:color w:val="auto"/>
          <w:sz w:val="28"/>
          <w:szCs w:val="28"/>
          <w:highlight w:val="none"/>
        </w:rPr>
        <w:t>风门：不能自动关闭，包边沿口不合格，</w:t>
      </w:r>
      <w:r>
        <w:rPr>
          <w:rFonts w:hint="eastAsia" w:ascii="仿宋" w:hAnsi="仿宋" w:eastAsia="仿宋" w:cs="仿宋"/>
          <w:color w:val="auto"/>
          <w:sz w:val="28"/>
          <w:szCs w:val="28"/>
          <w:highlight w:val="none"/>
        </w:rPr>
        <w:t>不闭锁或闭锁不起作用，底坎、过墙孔、四周漏风，主要风门无语音报警、传感器，间距不符合规定</w:t>
      </w:r>
      <w:r>
        <w:rPr>
          <w:rFonts w:hint="eastAsia" w:ascii="仿宋" w:hAnsi="仿宋" w:eastAsia="仿宋" w:cs="仿宋"/>
          <w:bCs/>
          <w:color w:val="auto"/>
          <w:sz w:val="28"/>
          <w:szCs w:val="28"/>
          <w:highlight w:val="none"/>
        </w:rPr>
        <w:t>，无反水池，有杂物、积水、淤泥，四周未掏槽。</w:t>
      </w:r>
    </w:p>
    <w:p w14:paraId="229FD702">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Cs/>
          <w:color w:val="auto"/>
          <w:sz w:val="28"/>
          <w:szCs w:val="28"/>
          <w:highlight w:val="none"/>
        </w:rPr>
      </w:pPr>
      <w:r>
        <w:rPr>
          <w:rFonts w:hint="eastAsia" w:ascii="仿宋" w:hAnsi="仿宋" w:eastAsia="仿宋" w:cs="仿宋"/>
          <w:bCs/>
          <w:color w:val="auto"/>
          <w:sz w:val="28"/>
          <w:szCs w:val="28"/>
          <w:highlight w:val="none"/>
          <w:lang w:eastAsia="zh-CN"/>
        </w:rPr>
        <w:t>（三）</w:t>
      </w:r>
      <w:r>
        <w:rPr>
          <w:rFonts w:hint="eastAsia" w:ascii="仿宋" w:hAnsi="仿宋" w:eastAsia="仿宋" w:cs="仿宋"/>
          <w:bCs/>
          <w:color w:val="auto"/>
          <w:sz w:val="28"/>
          <w:szCs w:val="28"/>
          <w:highlight w:val="none"/>
        </w:rPr>
        <w:t>密闭：无观测孔，有自然发火煤层采空区无措施孔，密闭内有水的未设反水池或反水管，有杂物、积水、淤泥，锚网未断开，四周未掏槽。</w:t>
      </w:r>
    </w:p>
    <w:p w14:paraId="7273256C">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Cs/>
          <w:color w:val="auto"/>
          <w:sz w:val="28"/>
          <w:szCs w:val="28"/>
          <w:highlight w:val="none"/>
          <w:lang w:val="en-US" w:eastAsia="zh-CN"/>
        </w:rPr>
      </w:pPr>
      <w:r>
        <w:rPr>
          <w:rFonts w:hint="eastAsia" w:ascii="仿宋" w:hAnsi="仿宋" w:eastAsia="仿宋" w:cs="仿宋"/>
          <w:bCs/>
          <w:color w:val="auto"/>
          <w:sz w:val="28"/>
          <w:szCs w:val="28"/>
          <w:highlight w:val="none"/>
          <w:lang w:eastAsia="zh-CN"/>
        </w:rPr>
        <w:t>（四）</w:t>
      </w:r>
      <w:r>
        <w:rPr>
          <w:rFonts w:hint="eastAsia" w:ascii="仿宋" w:hAnsi="仿宋" w:eastAsia="仿宋" w:cs="仿宋"/>
          <w:bCs/>
          <w:color w:val="auto"/>
          <w:sz w:val="28"/>
          <w:szCs w:val="28"/>
          <w:highlight w:val="none"/>
        </w:rPr>
        <w:t>密闭、风门</w:t>
      </w:r>
      <w:r>
        <w:rPr>
          <w:rFonts w:hint="eastAsia" w:ascii="仿宋" w:hAnsi="仿宋" w:eastAsia="仿宋" w:cs="仿宋"/>
          <w:bCs/>
          <w:color w:val="auto"/>
          <w:sz w:val="28"/>
          <w:szCs w:val="28"/>
          <w:highlight w:val="none"/>
          <w:lang w:val="en-US" w:eastAsia="zh-CN"/>
        </w:rPr>
        <w:t>检查牌板数据</w:t>
      </w:r>
      <w:r>
        <w:rPr>
          <w:rFonts w:hint="eastAsia" w:ascii="仿宋" w:hAnsi="仿宋" w:eastAsia="仿宋" w:cs="仿宋"/>
          <w:bCs/>
          <w:color w:val="auto"/>
          <w:sz w:val="28"/>
          <w:szCs w:val="28"/>
          <w:highlight w:val="none"/>
        </w:rPr>
        <w:t>与现场不符。</w:t>
      </w:r>
    </w:p>
    <w:p w14:paraId="3F7A68C6">
      <w:pPr>
        <w:rPr>
          <w:rFonts w:hint="eastAsia" w:ascii="仿宋" w:hAnsi="仿宋" w:eastAsia="仿宋" w:cs="仿宋"/>
          <w:b/>
          <w:bCs/>
          <w:color w:val="auto"/>
          <w:kern w:val="0"/>
          <w:sz w:val="36"/>
          <w:szCs w:val="36"/>
          <w:highlight w:val="none"/>
          <w:lang w:val="en-US" w:eastAsia="zh-CN"/>
        </w:rPr>
      </w:pPr>
      <w:bookmarkStart w:id="517" w:name="_Toc6366"/>
      <w:bookmarkStart w:id="518" w:name="_Toc14809"/>
      <w:bookmarkStart w:id="519" w:name="_Toc16119"/>
      <w:bookmarkStart w:id="520" w:name="_Toc14741"/>
      <w:bookmarkStart w:id="521" w:name="_Toc9915"/>
      <w:bookmarkStart w:id="522" w:name="_Toc24931"/>
      <w:bookmarkStart w:id="523" w:name="_Toc11916"/>
      <w:r>
        <w:rPr>
          <w:rFonts w:hint="eastAsia" w:ascii="仿宋" w:hAnsi="仿宋" w:eastAsia="仿宋" w:cs="仿宋"/>
          <w:b/>
          <w:bCs/>
          <w:color w:val="auto"/>
          <w:kern w:val="0"/>
          <w:sz w:val="36"/>
          <w:szCs w:val="36"/>
          <w:highlight w:val="none"/>
          <w:lang w:val="en-US" w:eastAsia="zh-CN"/>
        </w:rPr>
        <w:br w:type="page"/>
      </w:r>
    </w:p>
    <w:p w14:paraId="31879408">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1"/>
        <w:rPr>
          <w:rFonts w:hint="eastAsia" w:ascii="仿宋" w:hAnsi="仿宋" w:eastAsia="仿宋" w:cs="仿宋"/>
          <w:b/>
          <w:bCs/>
          <w:color w:val="auto"/>
          <w:kern w:val="0"/>
          <w:sz w:val="36"/>
          <w:szCs w:val="36"/>
          <w:highlight w:val="none"/>
          <w:lang w:val="en-US" w:eastAsia="zh-CN"/>
        </w:rPr>
      </w:pPr>
      <w:bookmarkStart w:id="524" w:name="_Toc28197"/>
      <w:r>
        <w:rPr>
          <w:rFonts w:hint="eastAsia" w:ascii="仿宋" w:hAnsi="仿宋" w:eastAsia="仿宋" w:cs="仿宋"/>
          <w:b/>
          <w:bCs/>
          <w:color w:val="auto"/>
          <w:kern w:val="0"/>
          <w:sz w:val="36"/>
          <w:szCs w:val="36"/>
          <w:highlight w:val="none"/>
          <w:lang w:val="en-US" w:eastAsia="zh-CN"/>
        </w:rPr>
        <w:t>瓦斯检查工</w:t>
      </w:r>
      <w:bookmarkEnd w:id="517"/>
      <w:bookmarkEnd w:id="518"/>
      <w:bookmarkEnd w:id="519"/>
      <w:bookmarkEnd w:id="520"/>
      <w:bookmarkEnd w:id="521"/>
      <w:bookmarkEnd w:id="522"/>
      <w:bookmarkEnd w:id="523"/>
      <w:bookmarkEnd w:id="524"/>
    </w:p>
    <w:tbl>
      <w:tblPr>
        <w:tblStyle w:val="12"/>
        <w:tblW w:w="8693" w:type="dxa"/>
        <w:jc w:val="center"/>
        <w:tblLayout w:type="fixed"/>
        <w:tblCellMar>
          <w:top w:w="0" w:type="dxa"/>
          <w:left w:w="108" w:type="dxa"/>
          <w:bottom w:w="0" w:type="dxa"/>
          <w:right w:w="108" w:type="dxa"/>
        </w:tblCellMar>
      </w:tblPr>
      <w:tblGrid>
        <w:gridCol w:w="867"/>
        <w:gridCol w:w="141"/>
        <w:gridCol w:w="2830"/>
        <w:gridCol w:w="942"/>
        <w:gridCol w:w="3913"/>
      </w:tblGrid>
      <w:tr w14:paraId="57EBC773">
        <w:tblPrEx>
          <w:tblCellMar>
            <w:top w:w="0" w:type="dxa"/>
            <w:left w:w="108" w:type="dxa"/>
            <w:bottom w:w="0" w:type="dxa"/>
            <w:right w:w="108" w:type="dxa"/>
          </w:tblCellMar>
        </w:tblPrEx>
        <w:trPr>
          <w:trHeight w:val="470" w:hRule="atLeast"/>
          <w:jc w:val="center"/>
        </w:trPr>
        <w:tc>
          <w:tcPr>
            <w:tcW w:w="8693" w:type="dxa"/>
            <w:gridSpan w:val="5"/>
            <w:tcBorders>
              <w:top w:val="single" w:color="auto" w:sz="4" w:space="0"/>
              <w:left w:val="single" w:color="auto" w:sz="4" w:space="0"/>
              <w:bottom w:val="single" w:color="auto" w:sz="4" w:space="0"/>
              <w:right w:val="single" w:color="auto" w:sz="4" w:space="0"/>
            </w:tcBorders>
            <w:vAlign w:val="center"/>
          </w:tcPr>
          <w:p w14:paraId="2FB92C98">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1"/>
                <w:szCs w:val="21"/>
              </w:rPr>
            </w:pPr>
            <w:r>
              <w:rPr>
                <w:rFonts w:hint="eastAsia" w:ascii="仿宋" w:hAnsi="仿宋" w:eastAsia="仿宋" w:cs="仿宋"/>
                <w:b/>
                <w:color w:val="auto"/>
                <w:kern w:val="0"/>
                <w:sz w:val="21"/>
                <w:szCs w:val="21"/>
              </w:rPr>
              <w:t>岗位风险告知卡</w:t>
            </w:r>
          </w:p>
        </w:tc>
      </w:tr>
      <w:tr w14:paraId="741CEC9C">
        <w:tblPrEx>
          <w:tblCellMar>
            <w:top w:w="0" w:type="dxa"/>
            <w:left w:w="108" w:type="dxa"/>
            <w:bottom w:w="0" w:type="dxa"/>
            <w:right w:w="108" w:type="dxa"/>
          </w:tblCellMar>
        </w:tblPrEx>
        <w:trPr>
          <w:trHeight w:val="895" w:hRule="atLeast"/>
          <w:jc w:val="center"/>
        </w:trPr>
        <w:tc>
          <w:tcPr>
            <w:tcW w:w="1008" w:type="dxa"/>
            <w:gridSpan w:val="2"/>
            <w:tcBorders>
              <w:top w:val="single" w:color="auto" w:sz="4" w:space="0"/>
              <w:left w:val="single" w:color="auto" w:sz="4" w:space="0"/>
              <w:bottom w:val="single" w:color="auto" w:sz="4" w:space="0"/>
              <w:right w:val="single" w:color="auto" w:sz="4" w:space="0"/>
            </w:tcBorders>
            <w:vAlign w:val="center"/>
          </w:tcPr>
          <w:p w14:paraId="4BC0D4DC">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14:paraId="3D61CAC5">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30" w:type="dxa"/>
            <w:tcBorders>
              <w:top w:val="single" w:color="auto" w:sz="4" w:space="0"/>
              <w:left w:val="nil"/>
              <w:bottom w:val="single" w:color="auto" w:sz="4" w:space="0"/>
              <w:right w:val="single" w:color="auto" w:sz="4" w:space="0"/>
            </w:tcBorders>
            <w:vAlign w:val="center"/>
          </w:tcPr>
          <w:p w14:paraId="7407C91C">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kern w:val="2"/>
                <w:sz w:val="21"/>
                <w:szCs w:val="21"/>
                <w:u w:val="none"/>
                <w:lang w:val="en-US" w:eastAsia="zh-CN" w:bidi="ar-SA"/>
              </w:rPr>
            </w:pPr>
            <w:r>
              <w:rPr>
                <w:rFonts w:hint="eastAsia" w:ascii="仿宋" w:hAnsi="仿宋" w:eastAsia="仿宋" w:cs="仿宋"/>
                <w:i w:val="0"/>
                <w:iCs w:val="0"/>
                <w:color w:val="auto"/>
                <w:kern w:val="0"/>
                <w:sz w:val="21"/>
                <w:szCs w:val="21"/>
                <w:u w:val="none"/>
                <w:lang w:val="en-US" w:eastAsia="zh-CN" w:bidi="ar"/>
              </w:rPr>
              <w:t>冒顶（片帮）、瓦斯（爆炸、中毒、窒息、燃烧、突出）</w:t>
            </w:r>
          </w:p>
        </w:tc>
        <w:tc>
          <w:tcPr>
            <w:tcW w:w="942" w:type="dxa"/>
            <w:tcBorders>
              <w:top w:val="single" w:color="auto" w:sz="4" w:space="0"/>
              <w:left w:val="nil"/>
              <w:bottom w:val="single" w:color="auto" w:sz="4" w:space="0"/>
              <w:right w:val="single" w:color="auto" w:sz="4" w:space="0"/>
            </w:tcBorders>
            <w:vAlign w:val="center"/>
          </w:tcPr>
          <w:p w14:paraId="505E9D4D">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14:paraId="0434ED22">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913" w:type="dxa"/>
            <w:tcBorders>
              <w:top w:val="single" w:color="auto" w:sz="4" w:space="0"/>
              <w:left w:val="nil"/>
              <w:bottom w:val="single" w:color="auto" w:sz="4" w:space="0"/>
              <w:right w:val="single" w:color="auto" w:sz="4" w:space="0"/>
            </w:tcBorders>
            <w:vAlign w:val="center"/>
          </w:tcPr>
          <w:p w14:paraId="2E48530F">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8650342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14:paraId="40CA7759">
        <w:tblPrEx>
          <w:tblCellMar>
            <w:top w:w="0" w:type="dxa"/>
            <w:left w:w="108" w:type="dxa"/>
            <w:bottom w:w="0" w:type="dxa"/>
            <w:right w:w="108" w:type="dxa"/>
          </w:tblCellMar>
        </w:tblPrEx>
        <w:trPr>
          <w:trHeight w:val="499"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14:paraId="3E19B393">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855" w:type="dxa"/>
            <w:gridSpan w:val="2"/>
            <w:tcBorders>
              <w:top w:val="single" w:color="auto" w:sz="4" w:space="0"/>
              <w:left w:val="nil"/>
              <w:bottom w:val="single" w:color="auto" w:sz="4" w:space="0"/>
              <w:right w:val="single" w:color="auto" w:sz="4" w:space="0"/>
            </w:tcBorders>
            <w:vAlign w:val="center"/>
          </w:tcPr>
          <w:p w14:paraId="4B63A941">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14:paraId="168D54B5">
        <w:tblPrEx>
          <w:tblCellMar>
            <w:top w:w="0" w:type="dxa"/>
            <w:left w:w="108" w:type="dxa"/>
            <w:bottom w:w="0" w:type="dxa"/>
            <w:right w:w="108" w:type="dxa"/>
          </w:tblCellMar>
        </w:tblPrEx>
        <w:trPr>
          <w:trHeight w:val="892"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14:paraId="606E92E8">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default" w:ascii="仿宋" w:hAnsi="仿宋" w:eastAsia="仿宋" w:cs="仿宋"/>
                <w:color w:val="auto"/>
                <w:kern w:val="0"/>
                <w:sz w:val="21"/>
                <w:szCs w:val="21"/>
                <w:lang w:val="en-US"/>
              </w:rPr>
            </w:pPr>
            <w:r>
              <w:rPr>
                <w:rFonts w:hint="eastAsia" w:ascii="仿宋" w:hAnsi="仿宋" w:eastAsia="仿宋" w:cs="仿宋"/>
                <w:i w:val="0"/>
                <w:iCs w:val="0"/>
                <w:color w:val="auto"/>
                <w:kern w:val="0"/>
                <w:sz w:val="21"/>
                <w:szCs w:val="21"/>
                <w:u w:val="none"/>
                <w:lang w:val="en-US" w:eastAsia="zh-CN" w:bidi="ar"/>
              </w:rPr>
              <w:t>1.未持证上岗；未佩戴个体防护；空顶作业。</w:t>
            </w:r>
          </w:p>
        </w:tc>
        <w:tc>
          <w:tcPr>
            <w:tcW w:w="4855" w:type="dxa"/>
            <w:gridSpan w:val="2"/>
            <w:tcBorders>
              <w:top w:val="single" w:color="auto" w:sz="4" w:space="0"/>
              <w:left w:val="nil"/>
              <w:bottom w:val="single" w:color="auto" w:sz="4" w:space="0"/>
              <w:right w:val="single" w:color="auto" w:sz="4" w:space="0"/>
            </w:tcBorders>
            <w:vAlign w:val="center"/>
          </w:tcPr>
          <w:p w14:paraId="1891F10A">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1.经培训合格后，持证上岗；佩戴好安全帽、口罩；检查好顶帮支护情况，确保顶帮支护合格后方可上岗作业。</w:t>
            </w:r>
          </w:p>
        </w:tc>
      </w:tr>
      <w:tr w14:paraId="160DB23A">
        <w:tblPrEx>
          <w:tblCellMar>
            <w:top w:w="0" w:type="dxa"/>
            <w:left w:w="108" w:type="dxa"/>
            <w:bottom w:w="0" w:type="dxa"/>
            <w:right w:w="108" w:type="dxa"/>
          </w:tblCellMar>
        </w:tblPrEx>
        <w:trPr>
          <w:trHeight w:val="614"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14:paraId="01A274DD">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2.下井前未带齐仪器仪表；携带仪器仪表不完好。</w:t>
            </w:r>
          </w:p>
        </w:tc>
        <w:tc>
          <w:tcPr>
            <w:tcW w:w="4855" w:type="dxa"/>
            <w:gridSpan w:val="2"/>
            <w:tcBorders>
              <w:top w:val="single" w:color="auto" w:sz="4" w:space="0"/>
              <w:left w:val="nil"/>
              <w:bottom w:val="single" w:color="auto" w:sz="4" w:space="0"/>
              <w:right w:val="single" w:color="auto" w:sz="4" w:space="0"/>
            </w:tcBorders>
            <w:vAlign w:val="center"/>
          </w:tcPr>
          <w:p w14:paraId="7CA33691">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2.下井前带齐并检查各类仪器是否完好正常。</w:t>
            </w:r>
          </w:p>
        </w:tc>
      </w:tr>
      <w:tr w14:paraId="48F5109E">
        <w:tblPrEx>
          <w:tblCellMar>
            <w:top w:w="0" w:type="dxa"/>
            <w:left w:w="108" w:type="dxa"/>
            <w:bottom w:w="0" w:type="dxa"/>
            <w:right w:w="108" w:type="dxa"/>
          </w:tblCellMar>
        </w:tblPrEx>
        <w:trPr>
          <w:trHeight w:val="346"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14:paraId="273A5EFC">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3.瓦斯检查出现空班漏检或假检；瓦斯检查周期、次数不符合规定。</w:t>
            </w:r>
          </w:p>
        </w:tc>
        <w:tc>
          <w:tcPr>
            <w:tcW w:w="4855" w:type="dxa"/>
            <w:gridSpan w:val="2"/>
            <w:tcBorders>
              <w:top w:val="single" w:color="auto" w:sz="4" w:space="0"/>
              <w:left w:val="nil"/>
              <w:bottom w:val="single" w:color="auto" w:sz="4" w:space="0"/>
              <w:right w:val="single" w:color="auto" w:sz="4" w:space="0"/>
            </w:tcBorders>
            <w:vAlign w:val="center"/>
          </w:tcPr>
          <w:p w14:paraId="7FB3E91C">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3.严格按照瓦斯检查制度检查，杜绝出现空班漏检或假检；根据瓦斯检查制度严格执行检查周期和次数。</w:t>
            </w:r>
          </w:p>
        </w:tc>
      </w:tr>
      <w:tr w14:paraId="403E431E">
        <w:tblPrEx>
          <w:tblCellMar>
            <w:top w:w="0" w:type="dxa"/>
            <w:left w:w="108" w:type="dxa"/>
            <w:bottom w:w="0" w:type="dxa"/>
            <w:right w:w="108" w:type="dxa"/>
          </w:tblCellMar>
        </w:tblPrEx>
        <w:trPr>
          <w:trHeight w:val="856"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14:paraId="1D65B008">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4.通风不良好，有毒有害气体超限、积聚；瓦斯超限时未采取措施或不及时汇报。</w:t>
            </w:r>
          </w:p>
        </w:tc>
        <w:tc>
          <w:tcPr>
            <w:tcW w:w="4855" w:type="dxa"/>
            <w:gridSpan w:val="2"/>
            <w:tcBorders>
              <w:top w:val="single" w:color="auto" w:sz="4" w:space="0"/>
              <w:left w:val="nil"/>
              <w:bottom w:val="single" w:color="auto" w:sz="4" w:space="0"/>
              <w:right w:val="single" w:color="auto" w:sz="4" w:space="0"/>
            </w:tcBorders>
            <w:vAlign w:val="center"/>
          </w:tcPr>
          <w:p w14:paraId="728F78D3">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4.保证通风良好，做好有毒有害气体的日常检测，确保无超限、无积聚；发现瓦斯超限立即撤出现场作业人员，采取措施及时处理、汇报。</w:t>
            </w:r>
          </w:p>
        </w:tc>
      </w:tr>
      <w:tr w14:paraId="7D3C017B">
        <w:tblPrEx>
          <w:tblCellMar>
            <w:top w:w="0" w:type="dxa"/>
            <w:left w:w="108" w:type="dxa"/>
            <w:bottom w:w="0" w:type="dxa"/>
            <w:right w:w="108" w:type="dxa"/>
          </w:tblCellMar>
        </w:tblPrEx>
        <w:trPr>
          <w:trHeight w:val="681"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14:paraId="08388D99">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5.仪器不完好，数据检测不准确。</w:t>
            </w:r>
          </w:p>
        </w:tc>
        <w:tc>
          <w:tcPr>
            <w:tcW w:w="4855" w:type="dxa"/>
            <w:gridSpan w:val="2"/>
            <w:tcBorders>
              <w:top w:val="single" w:color="auto" w:sz="4" w:space="0"/>
              <w:left w:val="nil"/>
              <w:bottom w:val="single" w:color="auto" w:sz="4" w:space="0"/>
              <w:right w:val="single" w:color="auto" w:sz="4" w:space="0"/>
            </w:tcBorders>
            <w:vAlign w:val="center"/>
          </w:tcPr>
          <w:p w14:paraId="0FC5D058">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5.认真校正检测仪器，确保灵敏、可靠，仪器不完好不得使用。</w:t>
            </w:r>
          </w:p>
        </w:tc>
      </w:tr>
      <w:tr w14:paraId="1C8B861D">
        <w:tblPrEx>
          <w:tblCellMar>
            <w:top w:w="0" w:type="dxa"/>
            <w:left w:w="108" w:type="dxa"/>
            <w:bottom w:w="0" w:type="dxa"/>
            <w:right w:w="108" w:type="dxa"/>
          </w:tblCellMar>
        </w:tblPrEx>
        <w:trPr>
          <w:trHeight w:val="1041" w:hRule="atLeast"/>
          <w:jc w:val="center"/>
        </w:trPr>
        <w:tc>
          <w:tcPr>
            <w:tcW w:w="867" w:type="dxa"/>
            <w:tcBorders>
              <w:top w:val="nil"/>
              <w:left w:val="single" w:color="auto" w:sz="4" w:space="0"/>
              <w:bottom w:val="single" w:color="auto" w:sz="4" w:space="0"/>
              <w:right w:val="single" w:color="auto" w:sz="4" w:space="0"/>
            </w:tcBorders>
            <w:vAlign w:val="center"/>
          </w:tcPr>
          <w:p w14:paraId="190C82C6">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1F3CA455">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26" w:type="dxa"/>
            <w:gridSpan w:val="4"/>
            <w:tcBorders>
              <w:top w:val="single" w:color="auto" w:sz="4" w:space="0"/>
              <w:left w:val="nil"/>
              <w:bottom w:val="single" w:color="auto" w:sz="4" w:space="0"/>
              <w:right w:val="single" w:color="auto" w:sz="4" w:space="0"/>
            </w:tcBorders>
            <w:vAlign w:val="center"/>
          </w:tcPr>
          <w:p w14:paraId="0A731A5C">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272111D0">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099AA7AC">
        <w:tblPrEx>
          <w:tblCellMar>
            <w:top w:w="0" w:type="dxa"/>
            <w:left w:w="108" w:type="dxa"/>
            <w:bottom w:w="0" w:type="dxa"/>
            <w:right w:w="108" w:type="dxa"/>
          </w:tblCellMar>
        </w:tblPrEx>
        <w:trPr>
          <w:trHeight w:val="1341" w:hRule="atLeast"/>
          <w:jc w:val="center"/>
        </w:trPr>
        <w:tc>
          <w:tcPr>
            <w:tcW w:w="867" w:type="dxa"/>
            <w:tcBorders>
              <w:top w:val="nil"/>
              <w:left w:val="single" w:color="auto" w:sz="4" w:space="0"/>
              <w:bottom w:val="single" w:color="auto" w:sz="4" w:space="0"/>
              <w:right w:val="single" w:color="auto" w:sz="4" w:space="0"/>
            </w:tcBorders>
            <w:vAlign w:val="center"/>
          </w:tcPr>
          <w:p w14:paraId="30E644C5">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14:paraId="0F4270E5">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14:paraId="5F97BB77">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826" w:type="dxa"/>
            <w:gridSpan w:val="4"/>
            <w:tcBorders>
              <w:top w:val="single" w:color="auto" w:sz="4" w:space="0"/>
              <w:left w:val="nil"/>
              <w:bottom w:val="single" w:color="auto" w:sz="4" w:space="0"/>
              <w:right w:val="single" w:color="auto" w:sz="4" w:space="0"/>
            </w:tcBorders>
            <w:vAlign w:val="center"/>
          </w:tcPr>
          <w:p w14:paraId="3C945B21">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w:t>
            </w:r>
          </w:p>
          <w:p w14:paraId="7F9CFEAD">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14:paraId="1A0170F6">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8"/>
          <w:szCs w:val="28"/>
          <w:highlight w:val="none"/>
        </w:rPr>
      </w:pPr>
    </w:p>
    <w:tbl>
      <w:tblPr>
        <w:tblStyle w:val="12"/>
        <w:tblpPr w:leftFromText="180" w:rightFromText="180" w:vertAnchor="text" w:horzAnchor="margin" w:tblpXSpec="center" w:tblpY="202"/>
        <w:tblW w:w="8490" w:type="dxa"/>
        <w:tblInd w:w="19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5"/>
        <w:gridCol w:w="4275"/>
      </w:tblGrid>
      <w:tr w14:paraId="3FE141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exact"/>
        </w:trPr>
        <w:tc>
          <w:tcPr>
            <w:tcW w:w="8490" w:type="dxa"/>
            <w:gridSpan w:val="2"/>
            <w:vAlign w:val="center"/>
          </w:tcPr>
          <w:p w14:paraId="5F64ACD9">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rPr>
            </w:pPr>
            <w:bookmarkStart w:id="525" w:name="_Toc21868"/>
            <w:bookmarkStart w:id="526" w:name="_Toc9968"/>
            <w:bookmarkStart w:id="527" w:name="_Toc5882"/>
            <w:r>
              <w:rPr>
                <w:rFonts w:hint="eastAsia" w:ascii="仿宋" w:hAnsi="仿宋" w:eastAsia="仿宋" w:cs="仿宋"/>
                <w:b/>
                <w:color w:val="auto"/>
                <w:sz w:val="21"/>
                <w:szCs w:val="21"/>
                <w:highlight w:val="none"/>
              </w:rPr>
              <w:t>瓦斯检查工安全提示卡</w:t>
            </w:r>
            <w:bookmarkEnd w:id="525"/>
            <w:bookmarkEnd w:id="526"/>
            <w:bookmarkEnd w:id="527"/>
          </w:p>
        </w:tc>
      </w:tr>
      <w:tr w14:paraId="1AF85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center"/>
          </w:tcPr>
          <w:p w14:paraId="201179B3">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操作前检查</w:t>
            </w:r>
          </w:p>
        </w:tc>
        <w:tc>
          <w:tcPr>
            <w:tcW w:w="4275" w:type="dxa"/>
            <w:vAlign w:val="center"/>
          </w:tcPr>
          <w:p w14:paraId="1B826218">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5.持证</w:t>
            </w:r>
          </w:p>
        </w:tc>
      </w:tr>
      <w:tr w14:paraId="10DF9A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top"/>
          </w:tcPr>
          <w:p w14:paraId="7064F559">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1.通风、盲巷</w:t>
            </w:r>
          </w:p>
        </w:tc>
        <w:tc>
          <w:tcPr>
            <w:tcW w:w="4275" w:type="dxa"/>
            <w:vAlign w:val="center"/>
          </w:tcPr>
          <w:p w14:paraId="0B331806">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操作后确认</w:t>
            </w:r>
          </w:p>
        </w:tc>
      </w:tr>
      <w:tr w14:paraId="3F4A4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top"/>
          </w:tcPr>
          <w:p w14:paraId="3DA6B903">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2.顶帮</w:t>
            </w:r>
          </w:p>
        </w:tc>
        <w:tc>
          <w:tcPr>
            <w:tcW w:w="4275" w:type="dxa"/>
            <w:vAlign w:val="top"/>
          </w:tcPr>
          <w:p w14:paraId="798B0DCB">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1.盲巷、超限处理</w:t>
            </w:r>
          </w:p>
        </w:tc>
      </w:tr>
      <w:tr w14:paraId="1B77C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top"/>
          </w:tcPr>
          <w:p w14:paraId="74041151">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3.机械设备运行</w:t>
            </w:r>
          </w:p>
        </w:tc>
        <w:tc>
          <w:tcPr>
            <w:tcW w:w="4275" w:type="dxa"/>
            <w:vAlign w:val="top"/>
          </w:tcPr>
          <w:p w14:paraId="03692257">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2.检查结果</w:t>
            </w:r>
            <w:r>
              <w:rPr>
                <w:rFonts w:hint="eastAsia" w:ascii="仿宋" w:hAnsi="仿宋" w:eastAsia="仿宋" w:cs="仿宋"/>
                <w:b w:val="0"/>
                <w:bCs w:val="0"/>
                <w:color w:val="auto"/>
                <w:sz w:val="21"/>
                <w:szCs w:val="21"/>
                <w:highlight w:val="none"/>
                <w:lang w:val="en-US" w:eastAsia="zh-CN"/>
              </w:rPr>
              <w:t>通知</w:t>
            </w:r>
            <w:r>
              <w:rPr>
                <w:rFonts w:hint="eastAsia" w:ascii="仿宋" w:hAnsi="仿宋" w:eastAsia="仿宋" w:cs="仿宋"/>
                <w:b w:val="0"/>
                <w:bCs w:val="0"/>
                <w:color w:val="auto"/>
                <w:sz w:val="21"/>
                <w:szCs w:val="21"/>
                <w:highlight w:val="none"/>
              </w:rPr>
              <w:t>、记录、</w:t>
            </w:r>
            <w:r>
              <w:rPr>
                <w:rFonts w:hint="eastAsia" w:ascii="仿宋" w:hAnsi="仿宋" w:eastAsia="仿宋" w:cs="仿宋"/>
                <w:b w:val="0"/>
                <w:bCs w:val="0"/>
                <w:color w:val="auto"/>
                <w:sz w:val="21"/>
                <w:szCs w:val="21"/>
                <w:highlight w:val="none"/>
                <w:lang w:val="en-US" w:eastAsia="zh-CN"/>
              </w:rPr>
              <w:t>签字</w:t>
            </w:r>
          </w:p>
        </w:tc>
      </w:tr>
      <w:tr w14:paraId="35DD28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top"/>
          </w:tcPr>
          <w:p w14:paraId="395AC0F5">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4.站位、后退路</w:t>
            </w:r>
          </w:p>
        </w:tc>
        <w:tc>
          <w:tcPr>
            <w:tcW w:w="4275" w:type="dxa"/>
            <w:vAlign w:val="top"/>
          </w:tcPr>
          <w:p w14:paraId="06799896">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lang w:val="en-US" w:eastAsia="zh-CN"/>
              </w:rPr>
            </w:pPr>
            <w:r>
              <w:rPr>
                <w:rFonts w:hint="eastAsia" w:ascii="仿宋" w:hAnsi="仿宋" w:eastAsia="仿宋" w:cs="仿宋"/>
                <w:b w:val="0"/>
                <w:bCs w:val="0"/>
                <w:color w:val="auto"/>
                <w:sz w:val="21"/>
                <w:szCs w:val="21"/>
                <w:highlight w:val="none"/>
              </w:rPr>
              <w:t>3.牌版位置</w:t>
            </w:r>
            <w:r>
              <w:rPr>
                <w:rFonts w:hint="eastAsia" w:ascii="仿宋" w:hAnsi="仿宋" w:eastAsia="仿宋" w:cs="仿宋"/>
                <w:b w:val="0"/>
                <w:bCs w:val="0"/>
                <w:color w:val="auto"/>
                <w:sz w:val="21"/>
                <w:szCs w:val="21"/>
                <w:highlight w:val="none"/>
                <w:lang w:val="en-US" w:eastAsia="zh-CN"/>
              </w:rPr>
              <w:t>正确</w:t>
            </w:r>
            <w:r>
              <w:rPr>
                <w:rFonts w:hint="eastAsia" w:ascii="仿宋" w:hAnsi="仿宋" w:eastAsia="仿宋" w:cs="仿宋"/>
                <w:b w:val="0"/>
                <w:bCs w:val="0"/>
                <w:color w:val="auto"/>
                <w:sz w:val="21"/>
                <w:szCs w:val="21"/>
                <w:highlight w:val="none"/>
                <w:lang w:eastAsia="zh-CN"/>
              </w:rPr>
              <w:t>、</w:t>
            </w:r>
            <w:r>
              <w:rPr>
                <w:rFonts w:hint="eastAsia" w:ascii="仿宋" w:hAnsi="仿宋" w:eastAsia="仿宋" w:cs="仿宋"/>
                <w:b w:val="0"/>
                <w:bCs w:val="0"/>
                <w:color w:val="auto"/>
                <w:sz w:val="21"/>
                <w:szCs w:val="21"/>
                <w:highlight w:val="none"/>
                <w:lang w:val="en-US" w:eastAsia="zh-CN"/>
              </w:rPr>
              <w:t>状态良好、数据正确</w:t>
            </w:r>
          </w:p>
        </w:tc>
      </w:tr>
      <w:tr w14:paraId="7C5267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exact"/>
        </w:trPr>
        <w:tc>
          <w:tcPr>
            <w:tcW w:w="8490" w:type="dxa"/>
            <w:gridSpan w:val="2"/>
            <w:vAlign w:val="top"/>
          </w:tcPr>
          <w:p w14:paraId="0723860A">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手指口述：按照以上内容逐项检查并口述确认，存在问题整改后再确认。</w:t>
            </w:r>
          </w:p>
        </w:tc>
      </w:tr>
    </w:tbl>
    <w:tbl>
      <w:tblPr>
        <w:tblStyle w:val="13"/>
        <w:tblW w:w="87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14:paraId="6FB15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0" w:type="dxa"/>
            <w:vAlign w:val="top"/>
          </w:tcPr>
          <w:p w14:paraId="6F57E8CC">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b w:val="0"/>
                <w:bCs w:val="0"/>
                <w:color w:val="auto"/>
                <w:sz w:val="21"/>
                <w:szCs w:val="21"/>
                <w:highlight w:val="none"/>
                <w:vertAlign w:val="baseline"/>
                <w:lang w:val="en-US" w:eastAsia="zh-CN"/>
              </w:rPr>
              <w:t>瓦斯检查工单元检查表</w:t>
            </w:r>
          </w:p>
        </w:tc>
      </w:tr>
      <w:tr w14:paraId="0A3EF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20" w:type="dxa"/>
            <w:vAlign w:val="top"/>
          </w:tcPr>
          <w:p w14:paraId="64196FB5">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1.</w:t>
            </w:r>
            <w:r>
              <w:rPr>
                <w:rFonts w:hint="eastAsia" w:ascii="仿宋" w:hAnsi="仿宋" w:eastAsia="仿宋" w:cs="仿宋"/>
                <w:color w:val="auto"/>
                <w:sz w:val="21"/>
                <w:szCs w:val="21"/>
                <w:highlight w:val="none"/>
              </w:rPr>
              <w:t>附件检查：瓦检仪各附件齐全完好，电路畅通、光谱清晰。</w:t>
            </w:r>
          </w:p>
        </w:tc>
      </w:tr>
      <w:tr w14:paraId="69770E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0" w:type="dxa"/>
            <w:vAlign w:val="top"/>
          </w:tcPr>
          <w:p w14:paraId="26341A0C">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2.</w:t>
            </w:r>
            <w:r>
              <w:rPr>
                <w:rFonts w:hint="eastAsia" w:ascii="仿宋" w:hAnsi="仿宋" w:eastAsia="仿宋" w:cs="仿宋"/>
                <w:color w:val="auto"/>
                <w:sz w:val="21"/>
                <w:szCs w:val="21"/>
                <w:highlight w:val="none"/>
              </w:rPr>
              <w:t>药品检查：硅胶、钠石灰是否变色，钠石灰粒径</w:t>
            </w:r>
            <w:r>
              <w:rPr>
                <w:rFonts w:hint="eastAsia" w:ascii="仿宋" w:hAnsi="仿宋" w:eastAsia="仿宋" w:cs="仿宋"/>
                <w:color w:val="auto"/>
                <w:sz w:val="21"/>
                <w:szCs w:val="21"/>
                <w:highlight w:val="none"/>
                <w:lang w:val="en-US" w:eastAsia="zh-CN"/>
              </w:rPr>
              <w:t>2</w:t>
            </w:r>
            <w:r>
              <w:rPr>
                <w:rFonts w:hint="eastAsia" w:ascii="仿宋" w:hAnsi="仿宋" w:eastAsia="仿宋" w:cs="仿宋"/>
                <w:color w:val="auto"/>
                <w:sz w:val="21"/>
                <w:szCs w:val="21"/>
                <w:highlight w:val="none"/>
              </w:rPr>
              <w:t>-5mm。</w:t>
            </w:r>
          </w:p>
        </w:tc>
      </w:tr>
      <w:tr w14:paraId="0B87D7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3" w:hRule="atLeast"/>
          <w:jc w:val="center"/>
        </w:trPr>
        <w:tc>
          <w:tcPr>
            <w:tcW w:w="8720" w:type="dxa"/>
            <w:vAlign w:val="top"/>
          </w:tcPr>
          <w:p w14:paraId="103A21E8">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3.</w:t>
            </w:r>
            <w:r>
              <w:rPr>
                <w:rFonts w:hint="eastAsia" w:ascii="仿宋" w:hAnsi="仿宋" w:eastAsia="仿宋" w:cs="仿宋"/>
                <w:color w:val="auto"/>
                <w:sz w:val="21"/>
                <w:szCs w:val="21"/>
                <w:highlight w:val="none"/>
              </w:rPr>
              <w:t>气密性检查：将吸气球与瓦检仪吸气孔连接，一手堵住进气孔，另一手捏扁吸气球，松手后1min内不涨起还原，说明瓦检仪不漏气。检查气路是否畅通：放开进气孔，捏、放吸气球，气球瘪、起自如（捏放吸气球10秒钟内涨起还原），说明仪器通畅性良好。</w:t>
            </w:r>
          </w:p>
        </w:tc>
      </w:tr>
      <w:tr w14:paraId="48BEE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0" w:type="dxa"/>
            <w:vAlign w:val="top"/>
          </w:tcPr>
          <w:p w14:paraId="45E44589">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4.</w:t>
            </w:r>
            <w:r>
              <w:rPr>
                <w:rFonts w:hint="eastAsia" w:ascii="仿宋" w:hAnsi="仿宋" w:eastAsia="仿宋" w:cs="仿宋"/>
                <w:color w:val="auto"/>
                <w:sz w:val="21"/>
                <w:szCs w:val="21"/>
                <w:highlight w:val="none"/>
              </w:rPr>
              <w:t>干涉条纹检查：由目镜观察，旋转保护玻璃座，条纹及数字清晰可见。</w:t>
            </w:r>
          </w:p>
        </w:tc>
      </w:tr>
      <w:tr w14:paraId="2630C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0" w:type="dxa"/>
            <w:vAlign w:val="top"/>
          </w:tcPr>
          <w:p w14:paraId="3AA25F17">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5.</w:t>
            </w:r>
            <w:r>
              <w:rPr>
                <w:rFonts w:hint="eastAsia" w:ascii="仿宋" w:hAnsi="仿宋" w:eastAsia="仿宋" w:cs="仿宋"/>
                <w:color w:val="auto"/>
                <w:sz w:val="21"/>
                <w:szCs w:val="21"/>
                <w:highlight w:val="none"/>
              </w:rPr>
              <w:t>精度检查：将光谱第一条黑纹对在“0”位上，第5条黑纹应正对7%。</w:t>
            </w:r>
          </w:p>
        </w:tc>
      </w:tr>
    </w:tbl>
    <w:p w14:paraId="38D27A36">
      <w:pPr>
        <w:keepNext w:val="0"/>
        <w:keepLines w:val="0"/>
        <w:pageBreakBefore w:val="0"/>
        <w:widowControl w:val="0"/>
        <w:kinsoku/>
        <w:wordWrap/>
        <w:overflowPunct/>
        <w:topLinePunct w:val="0"/>
        <w:autoSpaceDE/>
        <w:autoSpaceDN/>
        <w:bidi w:val="0"/>
        <w:adjustRightInd/>
        <w:snapToGrid/>
        <w:spacing w:line="600" w:lineRule="exact"/>
        <w:textAlignment w:val="auto"/>
        <w:outlineLvl w:val="9"/>
        <w:rPr>
          <w:rFonts w:hint="eastAsia" w:ascii="仿宋" w:hAnsi="仿宋" w:eastAsia="仿宋" w:cs="仿宋"/>
          <w:b/>
          <w:color w:val="auto"/>
          <w:sz w:val="28"/>
          <w:szCs w:val="28"/>
          <w:highlight w:val="none"/>
        </w:rPr>
      </w:pPr>
    </w:p>
    <w:tbl>
      <w:tblPr>
        <w:tblStyle w:val="12"/>
        <w:tblpPr w:leftFromText="180" w:rightFromText="180" w:vertAnchor="text" w:horzAnchor="margin" w:tblpXSpec="center" w:tblpY="202"/>
        <w:tblW w:w="874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75"/>
        <w:gridCol w:w="1537"/>
        <w:gridCol w:w="5431"/>
      </w:tblGrid>
      <w:tr w14:paraId="57349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exact"/>
        </w:trPr>
        <w:tc>
          <w:tcPr>
            <w:tcW w:w="8743" w:type="dxa"/>
            <w:gridSpan w:val="3"/>
            <w:vAlign w:val="center"/>
          </w:tcPr>
          <w:p w14:paraId="69617A2B">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rPr>
            </w:pPr>
            <w:r>
              <w:rPr>
                <w:rFonts w:hint="eastAsia" w:ascii="仿宋" w:hAnsi="仿宋" w:eastAsia="仿宋" w:cs="仿宋"/>
                <w:b/>
                <w:color w:val="auto"/>
                <w:sz w:val="21"/>
                <w:szCs w:val="21"/>
                <w:highlight w:val="none"/>
                <w:lang w:val="en-US" w:eastAsia="zh-CN"/>
              </w:rPr>
              <w:t>瓦斯检查工操作过程注意事项</w:t>
            </w:r>
          </w:p>
        </w:tc>
      </w:tr>
      <w:tr w14:paraId="7D2462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Align w:val="center"/>
          </w:tcPr>
          <w:p w14:paraId="6699422D">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bCs w:val="0"/>
                <w:color w:val="auto"/>
                <w:kern w:val="2"/>
                <w:sz w:val="21"/>
                <w:szCs w:val="21"/>
                <w:highlight w:val="none"/>
                <w:lang w:val="en-US" w:eastAsia="zh-CN" w:bidi="ar-SA"/>
              </w:rPr>
            </w:pPr>
            <w:r>
              <w:rPr>
                <w:rFonts w:hint="eastAsia" w:ascii="仿宋" w:hAnsi="仿宋" w:eastAsia="仿宋" w:cs="仿宋"/>
                <w:b/>
                <w:bCs w:val="0"/>
                <w:color w:val="auto"/>
                <w:sz w:val="21"/>
                <w:szCs w:val="21"/>
                <w:highlight w:val="none"/>
              </w:rPr>
              <w:t>操作</w:t>
            </w:r>
          </w:p>
        </w:tc>
        <w:tc>
          <w:tcPr>
            <w:tcW w:w="1537" w:type="dxa"/>
            <w:vAlign w:val="center"/>
          </w:tcPr>
          <w:p w14:paraId="0B0A084A">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bCs w:val="0"/>
                <w:color w:val="auto"/>
                <w:sz w:val="21"/>
                <w:szCs w:val="21"/>
                <w:highlight w:val="none"/>
                <w:lang w:val="en-US" w:eastAsia="zh-CN"/>
              </w:rPr>
            </w:pPr>
            <w:r>
              <w:rPr>
                <w:rFonts w:hint="eastAsia" w:ascii="仿宋" w:hAnsi="仿宋" w:eastAsia="仿宋" w:cs="仿宋"/>
                <w:b/>
                <w:bCs w:val="0"/>
                <w:color w:val="auto"/>
                <w:sz w:val="21"/>
                <w:szCs w:val="21"/>
                <w:highlight w:val="none"/>
                <w:lang w:val="en-US" w:eastAsia="zh-CN"/>
              </w:rPr>
              <w:t>提示词</w:t>
            </w:r>
          </w:p>
        </w:tc>
        <w:tc>
          <w:tcPr>
            <w:tcW w:w="5431" w:type="dxa"/>
            <w:vAlign w:val="center"/>
          </w:tcPr>
          <w:p w14:paraId="78F53CC1">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bCs w:val="0"/>
                <w:color w:val="auto"/>
                <w:kern w:val="2"/>
                <w:sz w:val="21"/>
                <w:szCs w:val="21"/>
                <w:highlight w:val="none"/>
                <w:lang w:val="en-US" w:eastAsia="zh-CN" w:bidi="ar-SA"/>
              </w:rPr>
            </w:pPr>
            <w:r>
              <w:rPr>
                <w:rFonts w:hint="eastAsia" w:ascii="仿宋" w:hAnsi="仿宋" w:eastAsia="仿宋" w:cs="仿宋"/>
                <w:b/>
                <w:bCs w:val="0"/>
                <w:color w:val="auto"/>
                <w:sz w:val="21"/>
                <w:szCs w:val="21"/>
                <w:highlight w:val="none"/>
                <w:lang w:val="en-US" w:eastAsia="zh-CN"/>
              </w:rPr>
              <w:t>操作注意事项解释</w:t>
            </w:r>
          </w:p>
        </w:tc>
      </w:tr>
      <w:tr w14:paraId="187CDE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Merge w:val="restart"/>
            <w:vAlign w:val="center"/>
          </w:tcPr>
          <w:p w14:paraId="57E2CAFF">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检查瓦斯</w:t>
            </w:r>
          </w:p>
        </w:tc>
        <w:tc>
          <w:tcPr>
            <w:tcW w:w="1537" w:type="dxa"/>
            <w:vAlign w:val="center"/>
          </w:tcPr>
          <w:p w14:paraId="43BE04C7">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bidi="ar-SA"/>
              </w:rPr>
              <w:t>调零</w:t>
            </w:r>
          </w:p>
        </w:tc>
        <w:tc>
          <w:tcPr>
            <w:tcW w:w="5431" w:type="dxa"/>
            <w:vAlign w:val="center"/>
          </w:tcPr>
          <w:p w14:paraId="656B7437">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bidi="ar-SA"/>
              </w:rPr>
              <w:t>在待测地点的进风侧矫正基线对零。</w:t>
            </w:r>
          </w:p>
        </w:tc>
      </w:tr>
      <w:tr w14:paraId="03F610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Merge w:val="continue"/>
            <w:vAlign w:val="center"/>
          </w:tcPr>
          <w:p w14:paraId="2B0BEF61">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lang w:val="en-US" w:eastAsia="zh-CN"/>
              </w:rPr>
            </w:pPr>
          </w:p>
        </w:tc>
        <w:tc>
          <w:tcPr>
            <w:tcW w:w="1537" w:type="dxa"/>
            <w:vAlign w:val="center"/>
          </w:tcPr>
          <w:p w14:paraId="6056609D">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kern w:val="0"/>
                <w:sz w:val="21"/>
                <w:szCs w:val="21"/>
                <w:highlight w:val="none"/>
              </w:rPr>
              <w:t>看环境</w:t>
            </w:r>
          </w:p>
        </w:tc>
        <w:tc>
          <w:tcPr>
            <w:tcW w:w="5431" w:type="dxa"/>
            <w:vAlign w:val="center"/>
          </w:tcPr>
          <w:p w14:paraId="33016690">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kern w:val="0"/>
                <w:sz w:val="21"/>
                <w:szCs w:val="21"/>
                <w:highlight w:val="none"/>
              </w:rPr>
              <w:t>顶帮是否有悬矸危岩，操作时有无其它相互影响</w:t>
            </w:r>
            <w:r>
              <w:rPr>
                <w:rFonts w:hint="eastAsia" w:ascii="仿宋" w:hAnsi="仿宋" w:eastAsia="仿宋" w:cs="仿宋"/>
                <w:color w:val="auto"/>
                <w:kern w:val="0"/>
                <w:sz w:val="21"/>
                <w:szCs w:val="21"/>
                <w:highlight w:val="none"/>
                <w:lang w:eastAsia="zh-CN"/>
              </w:rPr>
              <w:t>。</w:t>
            </w:r>
          </w:p>
        </w:tc>
      </w:tr>
      <w:tr w14:paraId="375E5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Merge w:val="continue"/>
            <w:vAlign w:val="top"/>
          </w:tcPr>
          <w:p w14:paraId="71CC821B">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lang w:val="en-US" w:eastAsia="zh-CN"/>
              </w:rPr>
            </w:pPr>
          </w:p>
        </w:tc>
        <w:tc>
          <w:tcPr>
            <w:tcW w:w="1537" w:type="dxa"/>
            <w:vAlign w:val="top"/>
          </w:tcPr>
          <w:p w14:paraId="63FB67AB">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选位置</w:t>
            </w:r>
          </w:p>
        </w:tc>
        <w:tc>
          <w:tcPr>
            <w:tcW w:w="5431" w:type="dxa"/>
            <w:vAlign w:val="top"/>
          </w:tcPr>
          <w:p w14:paraId="49C8F769">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瓦斯在距顶板20cm处。二氧化碳在距底板20cm处。</w:t>
            </w:r>
          </w:p>
        </w:tc>
      </w:tr>
      <w:tr w14:paraId="2498D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Merge w:val="continue"/>
            <w:vAlign w:val="top"/>
          </w:tcPr>
          <w:p w14:paraId="7EE245DE">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lang w:val="en-US" w:eastAsia="zh-CN"/>
              </w:rPr>
            </w:pPr>
          </w:p>
        </w:tc>
        <w:tc>
          <w:tcPr>
            <w:tcW w:w="1537" w:type="dxa"/>
            <w:vAlign w:val="center"/>
          </w:tcPr>
          <w:p w14:paraId="392FA994">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kern w:val="0"/>
                <w:sz w:val="21"/>
                <w:szCs w:val="21"/>
                <w:highlight w:val="none"/>
              </w:rPr>
              <w:t>站好位</w:t>
            </w:r>
          </w:p>
        </w:tc>
        <w:tc>
          <w:tcPr>
            <w:tcW w:w="5431" w:type="dxa"/>
            <w:vAlign w:val="center"/>
          </w:tcPr>
          <w:p w14:paraId="33A369D0">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kern w:val="0"/>
                <w:sz w:val="21"/>
                <w:szCs w:val="21"/>
                <w:highlight w:val="none"/>
              </w:rPr>
              <w:t>站位正确、后路畅通</w:t>
            </w:r>
            <w:r>
              <w:rPr>
                <w:rFonts w:hint="eastAsia" w:ascii="仿宋" w:hAnsi="仿宋" w:eastAsia="仿宋" w:cs="仿宋"/>
                <w:color w:val="auto"/>
                <w:kern w:val="0"/>
                <w:sz w:val="21"/>
                <w:szCs w:val="21"/>
                <w:highlight w:val="none"/>
                <w:lang w:eastAsia="zh-CN"/>
              </w:rPr>
              <w:t>。</w:t>
            </w:r>
          </w:p>
        </w:tc>
      </w:tr>
    </w:tbl>
    <w:p w14:paraId="56B061F4">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4AA861A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入井时必须戴安全帽、随身携带自救器和矿灯，严禁携带烟草和点火物品，严禁穿化纤衣服，入井前严禁喝酒。</w:t>
      </w:r>
    </w:p>
    <w:p w14:paraId="0450E06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必须经有资质的机构培训考试合格后持证上岗。</w:t>
      </w:r>
    </w:p>
    <w:p w14:paraId="661618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上下井时，必须遵守乘罐制度，听从把钩工的指挥。</w:t>
      </w:r>
    </w:p>
    <w:p w14:paraId="7BF44C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严格执行行车不行人制度，斜巷行人遇行车时立即进入躲避硐。</w:t>
      </w:r>
    </w:p>
    <w:p w14:paraId="240789C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在井下行走要走人行道，横穿巷道，过弯道、交叉口时，要做到一停、二看、三确认安全后通过。在架空线下行走，严禁携带长把工具、长材料。</w:t>
      </w:r>
    </w:p>
    <w:p w14:paraId="0786B3E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乘坐架空乘人装置时必须在规定候车区域等候，按顺序乘坐，不得在绳下穿越。</w:t>
      </w:r>
    </w:p>
    <w:p w14:paraId="3B277B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人员严禁站在起吊的重物下方或重物可能倒向的位置。严禁站在提升物体的绳道内、运行的设备或带电体上。</w:t>
      </w:r>
    </w:p>
    <w:p w14:paraId="710102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严禁随意打开密闭、栅栏进入盲巷；严禁随意进入工作面隅角。</w:t>
      </w:r>
    </w:p>
    <w:p w14:paraId="4BB2F33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严禁同时打开两道风门，严禁随意调节风窗。</w:t>
      </w:r>
    </w:p>
    <w:p w14:paraId="399495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严禁扒车、跳车和坐矿车，当车辆经过时，人员要及时躲避。</w:t>
      </w:r>
    </w:p>
    <w:p w14:paraId="3B9E9D8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跨越皮带时要走过桥，严禁直接蹬、坐皮带。严禁触及运行中的机电运输设备。</w:t>
      </w:r>
    </w:p>
    <w:p w14:paraId="35282A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工作（休息）时必须随时检查自己周围顶帮、机械及车辆等安全情况，发现险情及时躲避或处理。</w:t>
      </w:r>
    </w:p>
    <w:p w14:paraId="51525E7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（十三）</w:t>
      </w:r>
      <w:r>
        <w:rPr>
          <w:rFonts w:hint="eastAsia" w:ascii="仿宋" w:hAnsi="仿宋" w:eastAsia="仿宋" w:cs="仿宋"/>
          <w:color w:val="auto"/>
          <w:sz w:val="28"/>
          <w:szCs w:val="28"/>
          <w:highlight w:val="none"/>
        </w:rPr>
        <w:t>严禁在井下车场、各巷道口</w:t>
      </w:r>
      <w:r>
        <w:rPr>
          <w:rFonts w:hint="eastAsia" w:ascii="仿宋" w:hAnsi="仿宋" w:eastAsia="仿宋" w:cs="仿宋"/>
          <w:color w:val="auto"/>
          <w:sz w:val="28"/>
          <w:szCs w:val="28"/>
          <w:highlight w:val="none"/>
          <w:lang w:val="en-US" w:eastAsia="zh-CN"/>
        </w:rPr>
        <w:t>等地点</w:t>
      </w:r>
      <w:r>
        <w:rPr>
          <w:rFonts w:hint="eastAsia" w:ascii="仿宋" w:hAnsi="仿宋" w:eastAsia="仿宋" w:cs="仿宋"/>
          <w:color w:val="auto"/>
          <w:sz w:val="28"/>
          <w:szCs w:val="28"/>
          <w:highlight w:val="none"/>
        </w:rPr>
        <w:t>口蹲坐休息。</w:t>
      </w:r>
    </w:p>
    <w:p w14:paraId="2A7937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（十四）</w:t>
      </w:r>
      <w:r>
        <w:rPr>
          <w:rFonts w:hint="eastAsia" w:ascii="仿宋" w:hAnsi="仿宋" w:eastAsia="仿宋" w:cs="仿宋"/>
          <w:color w:val="auto"/>
          <w:sz w:val="28"/>
          <w:szCs w:val="28"/>
          <w:highlight w:val="none"/>
        </w:rPr>
        <w:t>不得在产生噪声、辐射等危害的设备附近逗留。</w:t>
      </w:r>
    </w:p>
    <w:p w14:paraId="2BA884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（十五）</w:t>
      </w:r>
      <w:r>
        <w:rPr>
          <w:rFonts w:hint="eastAsia" w:ascii="仿宋" w:hAnsi="仿宋" w:eastAsia="仿宋" w:cs="仿宋"/>
          <w:color w:val="auto"/>
          <w:sz w:val="28"/>
          <w:szCs w:val="28"/>
          <w:highlight w:val="none"/>
        </w:rPr>
        <w:t>发现有冒顶、透水预兆时，必须停止作业，立即撤出。</w:t>
      </w:r>
    </w:p>
    <w:p w14:paraId="6286214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（十六）</w:t>
      </w:r>
      <w:r>
        <w:rPr>
          <w:rFonts w:hint="eastAsia" w:ascii="仿宋" w:hAnsi="仿宋" w:eastAsia="仿宋" w:cs="仿宋"/>
          <w:color w:val="auto"/>
          <w:sz w:val="28"/>
          <w:szCs w:val="28"/>
          <w:highlight w:val="none"/>
        </w:rPr>
        <w:t>严格执行入井前安全确认制度。</w:t>
      </w:r>
    </w:p>
    <w:p w14:paraId="56B44C7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19BA413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47B8E7C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1D4345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6F0AEA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16AA6CA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61D36C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1496B0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5F2A7DB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3AE4A6C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32CC34E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12F1A4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5AEE9B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61E0BF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4D3C42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0D40694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3EECFEB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7DA7904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370EE54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47BB2B0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3A1785F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7934666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0AD5F21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29BE44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352FAF2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3AB4D2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294A44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20CEAF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4979965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3680CE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461EB0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2984172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0A23E7A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54F3BA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0215748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356E87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1565BC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3560549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2D1E2FC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5AFAB8C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5035E5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411BAB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6CCC2D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0575A4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27A047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324182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5F6668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61F9F8D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249B6F1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三</w:t>
      </w:r>
      <w:r>
        <w:rPr>
          <w:rFonts w:hint="eastAsia" w:ascii="仿宋" w:hAnsi="仿宋" w:eastAsia="仿宋" w:cs="仿宋"/>
          <w:b/>
          <w:color w:val="auto"/>
          <w:sz w:val="28"/>
          <w:szCs w:val="28"/>
          <w:highlight w:val="none"/>
        </w:rPr>
        <w:t>、安全风险辨识及管控措施</w:t>
      </w:r>
    </w:p>
    <w:p w14:paraId="62280CC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14:paraId="2E0FAB3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1.风险描述：工作面存在自然发火风险。</w:t>
      </w:r>
    </w:p>
    <w:p w14:paraId="731244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3DA4FA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（1）工作面回采期间沿煤层顶部回采，确保顶煤回采干净。</w:t>
      </w:r>
    </w:p>
    <w:p w14:paraId="603C7C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（2）加强现场监督，确保上、下隅角封堵严实。</w:t>
      </w:r>
    </w:p>
    <w:p w14:paraId="4786F32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（3）设置自然发火观测点，定期进行检查。</w:t>
      </w:r>
    </w:p>
    <w:p w14:paraId="1AE39A7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（4）每班结束后，安排专人对架空浮煤进行清理。</w:t>
      </w:r>
    </w:p>
    <w:p w14:paraId="1183D87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（5）在材料巷埋设4寸措施管路，在特殊地质构造位置埋设φ50地质钢管，回采期间对措施管路进行保护，防止措施管路遭到破坏。</w:t>
      </w:r>
    </w:p>
    <w:p w14:paraId="173939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）定期对仪器仪表调校和鉴定，确保仪器仪表准确性。</w:t>
      </w:r>
    </w:p>
    <w:p w14:paraId="46FFAB9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）按规定安设防尘供水管路，并敷设到工作面。</w:t>
      </w:r>
    </w:p>
    <w:p w14:paraId="098CC0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）利用措施管路定期对工作面进行注浆或注氮气，防止遗煤自燃。</w:t>
      </w:r>
    </w:p>
    <w:p w14:paraId="417FD45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）生产班对工作面架空喷洒阻化剂。</w:t>
      </w:r>
    </w:p>
    <w:p w14:paraId="4FB9D1C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14:paraId="16BB5D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230A02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（1）作业人员应正确使用防尘或防毒等个体防护用品，井下各单位应对作业人员使用个体防护用品情况采取措施加强管理。</w:t>
      </w:r>
    </w:p>
    <w:p w14:paraId="1B434CB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14:paraId="5B85DD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14:paraId="4F064D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.风险描述：防灭火管理不到位可能造成火灾。</w:t>
      </w:r>
    </w:p>
    <w:p w14:paraId="673B88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1BF6151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（1）各生产单位任何人发现井下火灾，应视瓦斯情况，立即采取一切可能的方法直接灭火，控制火势。</w:t>
      </w:r>
    </w:p>
    <w:p w14:paraId="4078DA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（2）各生产单位任何人发现井下火灾，未瓦斯情况，没有立即采取一切可能的方法直接灭火，控制火势时，</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对责任人进行相应的处罚。</w:t>
      </w:r>
    </w:p>
    <w:p w14:paraId="40E978A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风险描述：工作面存在水灾风险。</w:t>
      </w:r>
    </w:p>
    <w:p w14:paraId="4419FD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2D1CD3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）根据物探成果,利用钻探超前验证物探异常区。</w:t>
      </w:r>
    </w:p>
    <w:p w14:paraId="53A5A8F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）按照预计最大涌水量安设排水系统，并保证排水系统畅通完善，巷道积水及时排出。</w:t>
      </w:r>
    </w:p>
    <w:p w14:paraId="5FAF25F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）按照要求进行地质及水情水害预测预报工作。</w:t>
      </w:r>
    </w:p>
    <w:p w14:paraId="0CAD285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4</w:t>
      </w:r>
      <w:r>
        <w:rPr>
          <w:rFonts w:hint="eastAsia" w:ascii="仿宋" w:hAnsi="仿宋" w:eastAsia="仿宋" w:cs="仿宋"/>
          <w:color w:val="auto"/>
          <w:kern w:val="0"/>
          <w:sz w:val="28"/>
          <w:szCs w:val="28"/>
          <w:highlight w:val="none"/>
        </w:rPr>
        <w:t>）按要求进行涌水量观测。</w:t>
      </w:r>
    </w:p>
    <w:p w14:paraId="6149742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5</w:t>
      </w:r>
      <w:r>
        <w:rPr>
          <w:rFonts w:hint="eastAsia" w:ascii="仿宋" w:hAnsi="仿宋" w:eastAsia="仿宋" w:cs="仿宋"/>
          <w:color w:val="auto"/>
          <w:kern w:val="0"/>
          <w:sz w:val="28"/>
          <w:szCs w:val="28"/>
          <w:highlight w:val="none"/>
        </w:rPr>
        <w:t>）普及井下职工防治水知识，了解突水征兆，熟悉逃生路线和避灾方法。</w:t>
      </w:r>
    </w:p>
    <w:p w14:paraId="36796F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6</w:t>
      </w:r>
      <w:r>
        <w:rPr>
          <w:rFonts w:hint="eastAsia" w:ascii="仿宋" w:hAnsi="仿宋" w:eastAsia="仿宋" w:cs="仿宋"/>
          <w:color w:val="auto"/>
          <w:kern w:val="0"/>
          <w:sz w:val="28"/>
          <w:szCs w:val="28"/>
          <w:highlight w:val="none"/>
        </w:rPr>
        <w:t>）落实应急处置措施，发生事故立即启动应急救援预案。</w:t>
      </w:r>
    </w:p>
    <w:p w14:paraId="1F57D3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7</w:t>
      </w:r>
      <w:r>
        <w:rPr>
          <w:rFonts w:hint="eastAsia" w:ascii="仿宋" w:hAnsi="仿宋" w:eastAsia="仿宋" w:cs="仿宋"/>
          <w:color w:val="auto"/>
          <w:kern w:val="0"/>
          <w:sz w:val="28"/>
          <w:szCs w:val="28"/>
          <w:highlight w:val="none"/>
        </w:rPr>
        <w:t>）运用</w:t>
      </w:r>
      <w:r>
        <w:rPr>
          <w:rFonts w:hint="eastAsia" w:ascii="仿宋" w:hAnsi="仿宋" w:eastAsia="仿宋" w:cs="仿宋"/>
          <w:color w:val="auto"/>
          <w:kern w:val="0"/>
          <w:sz w:val="28"/>
          <w:szCs w:val="28"/>
          <w:highlight w:val="none"/>
          <w:lang w:val="en-US" w:eastAsia="zh-CN"/>
        </w:rPr>
        <w:t>现用</w:t>
      </w:r>
      <w:r>
        <w:rPr>
          <w:rFonts w:hint="eastAsia" w:ascii="仿宋" w:hAnsi="仿宋" w:eastAsia="仿宋" w:cs="仿宋"/>
          <w:color w:val="auto"/>
          <w:kern w:val="0"/>
          <w:sz w:val="28"/>
          <w:szCs w:val="28"/>
          <w:highlight w:val="none"/>
        </w:rPr>
        <w:t>水文监测系统，加强实时监测井下水量变化情况，出现异常及时采取措施处理</w:t>
      </w:r>
      <w:r>
        <w:rPr>
          <w:rFonts w:hint="eastAsia" w:ascii="仿宋" w:hAnsi="仿宋" w:eastAsia="仿宋" w:cs="仿宋"/>
          <w:color w:val="auto"/>
          <w:kern w:val="0"/>
          <w:sz w:val="28"/>
          <w:szCs w:val="28"/>
        </w:rPr>
        <w:t>。</w:t>
      </w:r>
    </w:p>
    <w:p w14:paraId="03C56EA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14:paraId="1A8E15B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1</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检测地点通风不良好，可能造成有毒有害气体超限，瓦斯积聚，发生人员窒息，瓦斯爆炸风险。</w:t>
      </w:r>
    </w:p>
    <w:p w14:paraId="3343961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管控措施：检测地点必须保证通风良好，做好有毒有害气体的日常监测，发现瓦斯超限立即撤出现场作业人员，采取措施及时汇报、处理。</w:t>
      </w:r>
    </w:p>
    <w:p w14:paraId="7B9BB6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2</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检测地点顶板不完好，可能发生矸石掉落伤人风险。</w:t>
      </w:r>
    </w:p>
    <w:p w14:paraId="3CA7346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管控措施：检测气体时要规范人员站位，时刻注意自身周围的安全状况，确认安全后方可进行气体检测。</w:t>
      </w:r>
    </w:p>
    <w:p w14:paraId="7F66732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3</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检测气体时未注意运行的车辆及机电设备，可能会被运行的车辆及机电设备撞伤的风险。</w:t>
      </w:r>
    </w:p>
    <w:p w14:paraId="76CBC1B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管控措施：检测气体时要规范人员站位，时刻注意运行的车辆及机电设备。</w:t>
      </w:r>
    </w:p>
    <w:p w14:paraId="407324B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、操作前安全检查</w:t>
      </w:r>
    </w:p>
    <w:p w14:paraId="74AFE9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通风、盲巷</w:t>
      </w:r>
    </w:p>
    <w:p w14:paraId="276C13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（1）检查测定地点是否通风，局部通风机是否喝循环风，</w:t>
      </w:r>
      <w:r>
        <w:rPr>
          <w:rFonts w:hint="eastAsia" w:ascii="仿宋" w:hAnsi="仿宋" w:eastAsia="仿宋" w:cs="仿宋"/>
          <w:color w:val="auto"/>
          <w:sz w:val="28"/>
          <w:szCs w:val="28"/>
          <w:highlight w:val="none"/>
          <w:lang w:val="en-US" w:eastAsia="zh-CN"/>
        </w:rPr>
        <w:t>沿线风筒</w:t>
      </w:r>
      <w:r>
        <w:rPr>
          <w:rFonts w:hint="eastAsia" w:ascii="仿宋" w:hAnsi="仿宋" w:eastAsia="仿宋" w:cs="仿宋"/>
          <w:color w:val="auto"/>
          <w:sz w:val="28"/>
          <w:szCs w:val="28"/>
          <w:highlight w:val="none"/>
        </w:rPr>
        <w:t>是否漏风；风筒有无脱节、挤压、拐死弯；风筒出口至工作面距离是否符合作业规程规定。</w:t>
      </w:r>
    </w:p>
    <w:p w14:paraId="3EC0BC6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（2）检查测定地点有无盲巷（长度超过6米未通风的独头巷道）、高冒区、无风巷道等停风区，一经发现立即撤出作业人员并汇报调度室及通防部门。</w:t>
      </w:r>
    </w:p>
    <w:p w14:paraId="37FABE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严禁私自进入盲巷、无风巷道、煤仓及采空区检查瓦斯。</w:t>
      </w:r>
    </w:p>
    <w:p w14:paraId="6BD491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顶帮</w:t>
      </w:r>
    </w:p>
    <w:p w14:paraId="19ACC5A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检查待测地点顶帮是否完好，严禁站在有片帮、冒顶危险的地点检查瓦斯。</w:t>
      </w:r>
    </w:p>
    <w:p w14:paraId="45B123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机械设备运行：</w:t>
      </w:r>
    </w:p>
    <w:p w14:paraId="47162F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检查待测地点有无车辆及机械设备运行，严禁站在有车辆及机械设备运行伤害危险的区域检查瓦斯。</w:t>
      </w:r>
    </w:p>
    <w:p w14:paraId="3CD696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站位、后退路：</w:t>
      </w:r>
    </w:p>
    <w:p w14:paraId="3822E4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检查站位是否安全，避开片帮、冒顶、车辆及机械运行等危险情况，并保证后退路畅通。</w:t>
      </w:r>
    </w:p>
    <w:p w14:paraId="31CE26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持证：</w:t>
      </w:r>
    </w:p>
    <w:p w14:paraId="01322C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瓦斯检查工</w:t>
      </w:r>
      <w:r>
        <w:rPr>
          <w:rFonts w:hint="eastAsia" w:ascii="仿宋" w:hAnsi="仿宋" w:eastAsia="仿宋" w:cs="仿宋"/>
          <w:color w:val="auto"/>
          <w:sz w:val="28"/>
          <w:szCs w:val="28"/>
          <w:highlight w:val="none"/>
        </w:rPr>
        <w:t>必须经资质机构培训合格取得操作资格证书后，持证上岗。</w:t>
      </w:r>
    </w:p>
    <w:p w14:paraId="77E022E0">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、操作过程中注意事项</w:t>
      </w:r>
    </w:p>
    <w:p w14:paraId="7B4635E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w:t>
      </w:r>
      <w:r>
        <w:rPr>
          <w:rFonts w:hint="eastAsia" w:ascii="仿宋" w:hAnsi="仿宋" w:eastAsia="仿宋" w:cs="仿宋"/>
          <w:b/>
          <w:color w:val="auto"/>
          <w:sz w:val="28"/>
          <w:szCs w:val="28"/>
          <w:highlight w:val="none"/>
        </w:rPr>
        <w:t>必须掌握的条款</w:t>
      </w:r>
    </w:p>
    <w:p w14:paraId="174428E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气密性</w:t>
      </w:r>
    </w:p>
    <w:p w14:paraId="47BFE0E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气密性检查：检查瓦检仪是否漏气，气路是否畅通。</w:t>
      </w:r>
    </w:p>
    <w:p w14:paraId="7D6EB7E3">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换气</w:t>
      </w:r>
    </w:p>
    <w:p w14:paraId="326179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换气在待测地点附近，温差不超过10℃，新鲜空气。</w:t>
      </w:r>
    </w:p>
    <w:p w14:paraId="5FDF3A66">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取样位置</w:t>
      </w:r>
    </w:p>
    <w:p w14:paraId="5FD08F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瓦斯在距顶板20cm处。二氧化碳在距底板20cm处。</w:t>
      </w:r>
    </w:p>
    <w:p w14:paraId="07418DA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空班、漏检</w:t>
      </w:r>
    </w:p>
    <w:p w14:paraId="04A0A7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严禁空班、漏检和假检。</w:t>
      </w:r>
    </w:p>
    <w:p w14:paraId="6871094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停风检查</w:t>
      </w:r>
    </w:p>
    <w:p w14:paraId="016BDC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临时停风地点检查瓦斯，2人相距4-6米，瓦斯浓度达到3%或氧气浓度低于18%时，及时撤出，汇报处理。</w:t>
      </w:r>
    </w:p>
    <w:p w14:paraId="7324B5F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恢复通风</w:t>
      </w:r>
    </w:p>
    <w:p w14:paraId="33BB4E7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临时停风地点恢复通风，瓦斯不超过1%，二氧化碳不超过1.5%，局部通风机及开关附近10米内瓦斯不超过0.5%。</w:t>
      </w:r>
    </w:p>
    <w:p w14:paraId="2C2FAA8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盲巷检查</w:t>
      </w:r>
    </w:p>
    <w:p w14:paraId="7511406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盲巷、高冒区用检查棍检查瓦斯，头部不得深入，发现瓦斯超过1%、二氧化碳超过1.5%时，停工处理。</w:t>
      </w:r>
    </w:p>
    <w:p w14:paraId="2667EF7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（二）全部条款</w:t>
      </w:r>
    </w:p>
    <w:p w14:paraId="2359F1F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仪器入井前检查事项,有一项不符合要求严禁下井使用。</w:t>
      </w:r>
    </w:p>
    <w:p w14:paraId="0EFDE4A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（1）附件检查：瓦检仪各附件齐全完好，电路畅通、光谱清晰。</w:t>
      </w:r>
    </w:p>
    <w:p w14:paraId="3E7D455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（2）药品检查：硅胶、钠石灰是否变色，钠石灰粒径</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-5mm。</w:t>
      </w:r>
    </w:p>
    <w:p w14:paraId="6CE85C2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气密性检查：将吸气球与瓦检仪吸气孔连接，一手堵住进气孔，另一手捏扁吸气球，松手后1min内不涨起还原，说明瓦检仪不漏气。检查气路是否畅通：放开进气孔，捏、放吸气球，气球瘪、起自如（捏放吸气球10秒钟内涨起还原），说明仪器通畅性良好。</w:t>
      </w:r>
    </w:p>
    <w:p w14:paraId="7829364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（4）干涉条纹检查：由目镜观察，旋转保护玻璃座，条纹及数字清晰可见。</w:t>
      </w:r>
    </w:p>
    <w:p w14:paraId="04BC0CD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（5）精度检查：将光谱第一条黑纹对在“0”位上，第5条黑纹应正对7%。</w:t>
      </w:r>
    </w:p>
    <w:p w14:paraId="07B36EB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（6）微读数与粗读数是否对应检查：测微刻度盘对零，转动粗手轮，观察目镜，使光谱第一条黑纹对准分划板数字2%，然后旋转测微手轮，使刻度盘读数为1%，此时观察目镜中第一条黑纹应对准分划板数字1%。</w:t>
      </w:r>
    </w:p>
    <w:p w14:paraId="32370FE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仪器换气及零位调整时注意事项</w:t>
      </w:r>
    </w:p>
    <w:p w14:paraId="5441965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★（1）换气应在与待测地点气压相近，温差不超过10℃的新鲜空气中进行。</w:t>
      </w:r>
    </w:p>
    <w:p w14:paraId="37F3490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（2）零位调整时，应保证仪器气密性、畅通性良好，消除仪器带压状态。</w:t>
      </w:r>
    </w:p>
    <w:p w14:paraId="4A658F2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测定时取样地点位置确定</w:t>
      </w:r>
    </w:p>
    <w:p w14:paraId="46ED7D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（1）瓦斯：距顶板（棚梁）20cm处测定。</w:t>
      </w:r>
    </w:p>
    <w:p w14:paraId="1B661D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（2）二氧化碳：距底板（轨面）20cm处测定。</w:t>
      </w:r>
    </w:p>
    <w:p w14:paraId="25AE848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（3）测定温度：采煤工作面在回风巷距工作面煤壁15米处，掘进工作面距迎头2米处，机电硐室在回风口处，离开人体或其他发热体0.5m以上。</w:t>
      </w:r>
    </w:p>
    <w:p w14:paraId="371FA48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瓦斯检查周期及次数要在瓦斯检查牌板的明显位置标示，严禁空班漏检和假检。</w:t>
      </w:r>
    </w:p>
    <w:p w14:paraId="31C8C97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特殊操作注意事项</w:t>
      </w:r>
    </w:p>
    <w:p w14:paraId="15D2889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临时停风地点检查瓦斯时，必须至少2人同行，带氧气检测仪，相距4-6米，从外向里用检查棍随时检查瓦斯和氧气浓度，当瓦斯浓度达到3%或氧气浓度低于18%或其他有害气体浓度超过规程规定时，必须停止前进，及时撤出，立即汇报通防及调度部门，制定措施及时处理。</w:t>
      </w:r>
    </w:p>
    <w:p w14:paraId="5593261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临时停风地点恢复通风时，必须首先检查瓦斯，只有当停风区内瓦斯浓度不超过1%，二氧化碳浓度不超过1.5%，并且局部通风机及其开关附近10米范围内风流中的瓦斯浓度不超过0.5%时，方可人工开动局部通风机。</w:t>
      </w:r>
    </w:p>
    <w:p w14:paraId="25E775C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★（3）对于可能存在瓦斯超限、积聚的敞口盲巷、高冒区、无风（微风）巷道、隅角、密闭前、煤仓等地点，要进行瓦斯检查，发现瓦斯浓度超过1%、二氧化碳浓度超过1.5%或体积大于0.5m</w:t>
      </w:r>
      <w:r>
        <w:rPr>
          <w:rFonts w:hint="eastAsia" w:ascii="仿宋" w:hAnsi="仿宋" w:eastAsia="仿宋" w:cs="仿宋"/>
          <w:color w:val="auto"/>
          <w:sz w:val="28"/>
          <w:szCs w:val="28"/>
          <w:highlight w:val="none"/>
          <w:vertAlign w:val="superscript"/>
        </w:rPr>
        <w:t>3</w:t>
      </w:r>
      <w:r>
        <w:rPr>
          <w:rFonts w:hint="eastAsia" w:ascii="仿宋" w:hAnsi="仿宋" w:eastAsia="仿宋" w:cs="仿宋"/>
          <w:color w:val="auto"/>
          <w:sz w:val="28"/>
          <w:szCs w:val="28"/>
          <w:highlight w:val="none"/>
        </w:rPr>
        <w:t>浓度达到2%时，附近20m内必须停止工作，撤出人员，切断电源，进行处理，并向通防及调度部门汇报。此类地点的瓦斯检查要利用检查棍配合长皮管进行检查，检查人员头部不得伸入无风区，以防缺氧窒息。</w:t>
      </w:r>
    </w:p>
    <w:p w14:paraId="50653F4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（4）在瓦斯积聚区测量瓦斯浓度时，用瓦检仪取样后，要在新鲜风流中读数。</w:t>
      </w:r>
    </w:p>
    <w:p w14:paraId="44344FC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（5）煤仓、采空区爆破放顶、电气焊瓦斯浓度及范围检查应按照矿技术负责人组织制定的措施执行。</w:t>
      </w:r>
    </w:p>
    <w:p w14:paraId="25B02583">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、操作完成后确认</w:t>
      </w:r>
    </w:p>
    <w:p w14:paraId="0882E8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盲巷、超限处理</w:t>
      </w:r>
    </w:p>
    <w:p w14:paraId="58FE5E2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发现敞口盲巷、停风巷道、瓦斯超限时，要立即撤人并汇报矿调度室及通风部门，采取措施进行处理。</w:t>
      </w:r>
    </w:p>
    <w:p w14:paraId="5ED40D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检查结果通知、签字、记录</w:t>
      </w:r>
    </w:p>
    <w:p w14:paraId="0B025B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测定结果及时通知现场人员，填入手册并经班组长签字、瓦斯记录牌板、导入瓦斯巡检仪。</w:t>
      </w:r>
    </w:p>
    <w:p w14:paraId="153D8A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牌板位置</w:t>
      </w:r>
    </w:p>
    <w:p w14:paraId="621420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瓦斯检查牌板位置合适，距工作面20-50米。</w:t>
      </w:r>
    </w:p>
    <w:p w14:paraId="294F547A">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vertAlign w:val="baseline"/>
          <w:lang w:val="en-US" w:eastAsia="zh-CN"/>
        </w:rPr>
      </w:pPr>
      <w:r>
        <w:rPr>
          <w:rFonts w:hint="eastAsia" w:ascii="仿宋" w:hAnsi="仿宋" w:eastAsia="仿宋" w:cs="仿宋"/>
          <w:b/>
          <w:bCs/>
          <w:color w:val="auto"/>
          <w:sz w:val="28"/>
          <w:szCs w:val="28"/>
          <w:highlight w:val="none"/>
          <w:vertAlign w:val="baseline"/>
          <w:lang w:val="en-US" w:eastAsia="zh-CN"/>
        </w:rPr>
        <w:t>七、瓦斯检查工单元检查表</w:t>
      </w:r>
    </w:p>
    <w:p w14:paraId="14744DD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1.确认</w:t>
      </w:r>
      <w:r>
        <w:rPr>
          <w:rFonts w:hint="eastAsia" w:ascii="仿宋" w:hAnsi="仿宋" w:eastAsia="仿宋" w:cs="仿宋"/>
          <w:color w:val="auto"/>
          <w:sz w:val="28"/>
          <w:szCs w:val="28"/>
          <w:highlight w:val="none"/>
        </w:rPr>
        <w:t>瓦检仪各附件齐全完好，电路畅通、光谱清晰。</w:t>
      </w:r>
    </w:p>
    <w:p w14:paraId="072997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vertAlign w:val="baseline"/>
        </w:rPr>
      </w:pPr>
      <w:r>
        <w:rPr>
          <w:rFonts w:hint="eastAsia" w:ascii="仿宋" w:hAnsi="仿宋" w:eastAsia="仿宋" w:cs="仿宋"/>
          <w:color w:val="auto"/>
          <w:sz w:val="28"/>
          <w:szCs w:val="28"/>
          <w:highlight w:val="none"/>
          <w:lang w:val="en-US" w:eastAsia="zh-CN"/>
        </w:rPr>
        <w:t>2.确认</w:t>
      </w:r>
      <w:r>
        <w:rPr>
          <w:rFonts w:hint="eastAsia" w:ascii="仿宋" w:hAnsi="仿宋" w:eastAsia="仿宋" w:cs="仿宋"/>
          <w:color w:val="auto"/>
          <w:sz w:val="28"/>
          <w:szCs w:val="28"/>
          <w:highlight w:val="none"/>
        </w:rPr>
        <w:t>硅胶、钠石灰</w:t>
      </w:r>
      <w:r>
        <w:rPr>
          <w:rFonts w:hint="eastAsia" w:ascii="仿宋" w:hAnsi="仿宋" w:eastAsia="仿宋" w:cs="仿宋"/>
          <w:color w:val="auto"/>
          <w:sz w:val="28"/>
          <w:szCs w:val="28"/>
          <w:highlight w:val="none"/>
          <w:lang w:val="en-US" w:eastAsia="zh-CN"/>
        </w:rPr>
        <w:t>不</w:t>
      </w:r>
      <w:r>
        <w:rPr>
          <w:rFonts w:hint="eastAsia" w:ascii="仿宋" w:hAnsi="仿宋" w:eastAsia="仿宋" w:cs="仿宋"/>
          <w:color w:val="auto"/>
          <w:sz w:val="28"/>
          <w:szCs w:val="28"/>
          <w:highlight w:val="none"/>
        </w:rPr>
        <w:t>变色，钠石灰粒径</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-5mm。</w:t>
      </w:r>
    </w:p>
    <w:p w14:paraId="60A1BB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将吸气球与瓦检仪吸气孔连接，一手堵住进气孔，另一手捏扁吸气球，松手后1min内不涨起还原，</w:t>
      </w:r>
      <w:r>
        <w:rPr>
          <w:rFonts w:hint="eastAsia" w:ascii="仿宋" w:hAnsi="仿宋" w:eastAsia="仿宋" w:cs="仿宋"/>
          <w:color w:val="auto"/>
          <w:sz w:val="28"/>
          <w:szCs w:val="28"/>
          <w:highlight w:val="none"/>
          <w:lang w:val="en-US" w:eastAsia="zh-CN"/>
        </w:rPr>
        <w:t>确认</w:t>
      </w:r>
      <w:r>
        <w:rPr>
          <w:rFonts w:hint="eastAsia" w:ascii="仿宋" w:hAnsi="仿宋" w:eastAsia="仿宋" w:cs="仿宋"/>
          <w:color w:val="auto"/>
          <w:sz w:val="28"/>
          <w:szCs w:val="28"/>
          <w:highlight w:val="none"/>
        </w:rPr>
        <w:t>瓦检仪不漏气。</w:t>
      </w:r>
      <w:r>
        <w:rPr>
          <w:rFonts w:hint="eastAsia" w:ascii="仿宋" w:hAnsi="仿宋" w:eastAsia="仿宋" w:cs="仿宋"/>
          <w:color w:val="auto"/>
          <w:sz w:val="28"/>
          <w:szCs w:val="28"/>
          <w:highlight w:val="none"/>
          <w:lang w:val="en-US" w:eastAsia="zh-CN"/>
        </w:rPr>
        <w:t>确认</w:t>
      </w:r>
      <w:r>
        <w:rPr>
          <w:rFonts w:hint="eastAsia" w:ascii="仿宋" w:hAnsi="仿宋" w:eastAsia="仿宋" w:cs="仿宋"/>
          <w:color w:val="auto"/>
          <w:sz w:val="28"/>
          <w:szCs w:val="28"/>
          <w:highlight w:val="none"/>
        </w:rPr>
        <w:t>气路畅通：放开进气孔，捏、放吸气球，气球瘪、起自如。</w:t>
      </w:r>
    </w:p>
    <w:p w14:paraId="22D5012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由目镜观察，旋转保护玻璃座，</w:t>
      </w:r>
      <w:r>
        <w:rPr>
          <w:rFonts w:hint="eastAsia" w:ascii="仿宋" w:hAnsi="仿宋" w:eastAsia="仿宋" w:cs="仿宋"/>
          <w:color w:val="auto"/>
          <w:sz w:val="28"/>
          <w:szCs w:val="28"/>
          <w:highlight w:val="none"/>
          <w:lang w:val="en-US" w:eastAsia="zh-CN"/>
        </w:rPr>
        <w:t>确认</w:t>
      </w:r>
      <w:r>
        <w:rPr>
          <w:rFonts w:hint="eastAsia" w:ascii="仿宋" w:hAnsi="仿宋" w:eastAsia="仿宋" w:cs="仿宋"/>
          <w:color w:val="auto"/>
          <w:sz w:val="28"/>
          <w:szCs w:val="28"/>
          <w:highlight w:val="none"/>
        </w:rPr>
        <w:t>条纹及数字清晰可见。</w:t>
      </w:r>
    </w:p>
    <w:p w14:paraId="5601035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5.确认</w:t>
      </w:r>
      <w:r>
        <w:rPr>
          <w:rFonts w:hint="eastAsia" w:ascii="仿宋" w:hAnsi="仿宋" w:eastAsia="仿宋" w:cs="仿宋"/>
          <w:color w:val="auto"/>
          <w:sz w:val="28"/>
          <w:szCs w:val="28"/>
          <w:highlight w:val="none"/>
        </w:rPr>
        <w:t>光谱第一条黑纹对在“0”位上，第5条黑纹应正对7%。</w:t>
      </w:r>
    </w:p>
    <w:p w14:paraId="3F2BEF3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八、事故</w:t>
      </w:r>
      <w:r>
        <w:rPr>
          <w:rFonts w:hint="eastAsia" w:ascii="仿宋" w:hAnsi="仿宋" w:eastAsia="仿宋" w:cs="仿宋"/>
          <w:b/>
          <w:bCs/>
          <w:color w:val="auto"/>
          <w:sz w:val="28"/>
          <w:szCs w:val="28"/>
          <w:highlight w:val="none"/>
        </w:rPr>
        <w:t>案例教育</w:t>
      </w:r>
    </w:p>
    <w:p w14:paraId="5E074FCA">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rPr>
        <w:t>案例：</w:t>
      </w:r>
      <w:r>
        <w:rPr>
          <w:rFonts w:hint="eastAsia" w:ascii="仿宋" w:hAnsi="仿宋" w:eastAsia="仿宋" w:cs="仿宋"/>
          <w:b/>
          <w:bCs/>
          <w:color w:val="auto"/>
          <w:sz w:val="28"/>
          <w:szCs w:val="28"/>
          <w:highlight w:val="none"/>
          <w:lang w:val="en-US" w:eastAsia="zh-CN"/>
        </w:rPr>
        <w:t>排放瓦斯“一风吹”造成瓦斯爆炸事故。</w:t>
      </w:r>
    </w:p>
    <w:p w14:paraId="7583CA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2003年8月14日8点半，三矿裕公井在拍放7210准备工作面切巷瓦斯过程中，不控制排放瓦斯浓度，未按规定停电撤人，致使风流中瓦斯达到爆炸界限，又因工人带电检修信号电缆接线盒产生短路火花，引起瓦斯爆炸，造成28人死亡，23道闭墙被摧毁。</w:t>
      </w:r>
    </w:p>
    <w:p w14:paraId="4E4A6F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事故主要原因：</w:t>
      </w:r>
    </w:p>
    <w:p w14:paraId="3B546CC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.排放瓦斯过程中存在“一风吹”没有控制排放瓦斯浓度。</w:t>
      </w:r>
    </w:p>
    <w:p w14:paraId="07F5F7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.重点工程施工地点同时安排多队组施工，且现场无矿领导统一协调指挥。</w:t>
      </w:r>
    </w:p>
    <w:p w14:paraId="7AE79AE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3.排放瓦斯现场没有执行排放瓦斯制度，回风流经区域工人带电检修电器发生火花。</w:t>
      </w:r>
    </w:p>
    <w:p w14:paraId="64A6397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防范措施：</w:t>
      </w:r>
    </w:p>
    <w:p w14:paraId="235DC38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1.排放瓦斯现场必须有相关领导现场跟班把关，统一协调指挥，落实各项措施。</w:t>
      </w:r>
    </w:p>
    <w:p w14:paraId="3112034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2.排放瓦斯现场严格执行排放瓦斯制度，严禁进行与排放瓦斯无关的工作。</w:t>
      </w:r>
    </w:p>
    <w:p w14:paraId="3271538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3.排放瓦斯要控制瓦斯排放浓度，严禁“一风吹”。</w:t>
      </w:r>
    </w:p>
    <w:p w14:paraId="2C1F542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九、常见三违</w:t>
      </w:r>
    </w:p>
    <w:p w14:paraId="26423D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私自打开栅栏密闭进入采空区、盲巷等无风区；</w:t>
      </w:r>
    </w:p>
    <w:p w14:paraId="6428313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恢复通风前未检查瓦斯，“一风吹”</w:t>
      </w:r>
      <w:r>
        <w:rPr>
          <w:rFonts w:hint="eastAsia" w:ascii="仿宋" w:hAnsi="仿宋" w:eastAsia="仿宋" w:cs="仿宋"/>
          <w:color w:val="auto"/>
          <w:sz w:val="28"/>
          <w:szCs w:val="28"/>
          <w:highlight w:val="none"/>
          <w:lang w:eastAsia="zh-CN"/>
        </w:rPr>
        <w:t>；</w:t>
      </w:r>
    </w:p>
    <w:p w14:paraId="420778C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瓦斯检查空班、漏检、假检或不“三对口”；</w:t>
      </w:r>
    </w:p>
    <w:p w14:paraId="216BC96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盲巷、采空区等无风区未及时密闭；</w:t>
      </w:r>
    </w:p>
    <w:p w14:paraId="73CB958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瓦斯检查周期、次数不符合规定；</w:t>
      </w:r>
    </w:p>
    <w:p w14:paraId="4E23B7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停风后未及时组织撤人；</w:t>
      </w:r>
    </w:p>
    <w:p w14:paraId="3E3CD6F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瓦斯超限未处理继续作业；</w:t>
      </w:r>
    </w:p>
    <w:p w14:paraId="779CE7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牌板、手册填写不清；</w:t>
      </w:r>
    </w:p>
    <w:p w14:paraId="6FA752B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检查瓦斯地点不符合规定；</w:t>
      </w:r>
    </w:p>
    <w:p w14:paraId="630E5D5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检查人员头部伸入冒高区等缺氧区；</w:t>
      </w:r>
    </w:p>
    <w:p w14:paraId="785AAF9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bCs/>
          <w:color w:val="auto"/>
          <w:kern w:val="0"/>
          <w:sz w:val="28"/>
          <w:szCs w:val="28"/>
          <w:highlight w:val="none"/>
          <w:lang w:val="en-US" w:eastAsia="zh-CN"/>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未持证上岗。</w:t>
      </w:r>
    </w:p>
    <w:p w14:paraId="1C48C14A">
      <w:pPr>
        <w:rPr>
          <w:rFonts w:hint="eastAsia" w:ascii="仿宋" w:hAnsi="仿宋" w:eastAsia="仿宋" w:cs="仿宋"/>
          <w:b/>
          <w:color w:val="auto"/>
          <w:sz w:val="36"/>
          <w:szCs w:val="36"/>
          <w:highlight w:val="none"/>
          <w:lang w:val="en-US" w:eastAsia="zh-CN"/>
        </w:rPr>
      </w:pPr>
      <w:bookmarkStart w:id="528" w:name="_Toc20830"/>
      <w:bookmarkStart w:id="529" w:name="_Toc17769"/>
      <w:bookmarkStart w:id="530" w:name="_Toc22509"/>
      <w:bookmarkStart w:id="531" w:name="_Toc17303"/>
      <w:bookmarkStart w:id="532" w:name="_Toc15256"/>
      <w:bookmarkStart w:id="533" w:name="_Toc479"/>
      <w:r>
        <w:rPr>
          <w:rFonts w:hint="eastAsia" w:ascii="仿宋" w:hAnsi="仿宋" w:eastAsia="仿宋" w:cs="仿宋"/>
          <w:b/>
          <w:color w:val="auto"/>
          <w:sz w:val="36"/>
          <w:szCs w:val="36"/>
          <w:highlight w:val="none"/>
          <w:lang w:val="en-US" w:eastAsia="zh-CN"/>
        </w:rPr>
        <w:br w:type="page"/>
      </w:r>
    </w:p>
    <w:p w14:paraId="0B26BB7A">
      <w:pPr>
        <w:keepNext w:val="0"/>
        <w:keepLines w:val="0"/>
        <w:pageBreakBefore w:val="0"/>
        <w:kinsoku/>
        <w:wordWrap/>
        <w:overflowPunct/>
        <w:topLinePunct w:val="0"/>
        <w:autoSpaceDE/>
        <w:autoSpaceDN/>
        <w:bidi w:val="0"/>
        <w:spacing w:line="600" w:lineRule="exact"/>
        <w:ind w:firstLine="723" w:firstLineChars="200"/>
        <w:jc w:val="center"/>
        <w:outlineLvl w:val="1"/>
        <w:rPr>
          <w:rFonts w:hint="eastAsia" w:ascii="仿宋" w:hAnsi="仿宋" w:eastAsia="仿宋" w:cs="仿宋"/>
          <w:b/>
          <w:color w:val="auto"/>
          <w:sz w:val="36"/>
          <w:szCs w:val="36"/>
          <w:highlight w:val="none"/>
        </w:rPr>
      </w:pPr>
      <w:bookmarkStart w:id="534" w:name="_Toc21957"/>
      <w:r>
        <w:rPr>
          <w:rFonts w:hint="eastAsia" w:ascii="仿宋" w:hAnsi="仿宋" w:eastAsia="仿宋" w:cs="仿宋"/>
          <w:b/>
          <w:color w:val="auto"/>
          <w:sz w:val="36"/>
          <w:szCs w:val="36"/>
          <w:highlight w:val="none"/>
          <w:lang w:val="en-US" w:eastAsia="zh-CN"/>
        </w:rPr>
        <w:t>注氮机</w:t>
      </w:r>
      <w:r>
        <w:rPr>
          <w:rFonts w:hint="eastAsia" w:ascii="仿宋" w:hAnsi="仿宋" w:eastAsia="仿宋" w:cs="仿宋"/>
          <w:b/>
          <w:color w:val="auto"/>
          <w:sz w:val="36"/>
          <w:szCs w:val="36"/>
          <w:highlight w:val="none"/>
        </w:rPr>
        <w:t>司机</w:t>
      </w:r>
      <w:bookmarkEnd w:id="528"/>
      <w:bookmarkEnd w:id="529"/>
      <w:bookmarkEnd w:id="530"/>
      <w:bookmarkEnd w:id="531"/>
      <w:bookmarkEnd w:id="532"/>
      <w:bookmarkEnd w:id="533"/>
      <w:bookmarkEnd w:id="534"/>
    </w:p>
    <w:tbl>
      <w:tblPr>
        <w:tblStyle w:val="12"/>
        <w:tblW w:w="9280" w:type="dxa"/>
        <w:jc w:val="center"/>
        <w:tblLayout w:type="fixed"/>
        <w:tblCellMar>
          <w:top w:w="0" w:type="dxa"/>
          <w:left w:w="108" w:type="dxa"/>
          <w:bottom w:w="0" w:type="dxa"/>
          <w:right w:w="108" w:type="dxa"/>
        </w:tblCellMar>
      </w:tblPr>
      <w:tblGrid>
        <w:gridCol w:w="899"/>
        <w:gridCol w:w="3750"/>
        <w:gridCol w:w="857"/>
        <w:gridCol w:w="3774"/>
      </w:tblGrid>
      <w:tr w14:paraId="401437D6">
        <w:tblPrEx>
          <w:tblCellMar>
            <w:top w:w="0" w:type="dxa"/>
            <w:left w:w="108" w:type="dxa"/>
            <w:bottom w:w="0" w:type="dxa"/>
            <w:right w:w="108" w:type="dxa"/>
          </w:tblCellMar>
        </w:tblPrEx>
        <w:trPr>
          <w:trHeight w:val="590" w:hRule="atLeast"/>
          <w:jc w:val="center"/>
        </w:trPr>
        <w:tc>
          <w:tcPr>
            <w:tcW w:w="9280" w:type="dxa"/>
            <w:gridSpan w:val="4"/>
            <w:tcBorders>
              <w:top w:val="single" w:color="000000" w:sz="4" w:space="0"/>
              <w:left w:val="single" w:color="000000" w:sz="4" w:space="0"/>
              <w:bottom w:val="single" w:color="000000" w:sz="4" w:space="0"/>
              <w:right w:val="single" w:color="000000" w:sz="4" w:space="0"/>
            </w:tcBorders>
            <w:vAlign w:val="center"/>
          </w:tcPr>
          <w:p w14:paraId="48BA13D9">
            <w:pPr>
              <w:keepNext w:val="0"/>
              <w:keepLines w:val="0"/>
              <w:pageBreakBefore w:val="0"/>
              <w:widowControl/>
              <w:suppressLineNumbers w:val="0"/>
              <w:kinsoku/>
              <w:wordWrap/>
              <w:overflowPunct/>
              <w:topLinePunct w:val="0"/>
              <w:autoSpaceDE/>
              <w:autoSpaceDN/>
              <w:bidi w:val="0"/>
              <w:spacing w:line="600" w:lineRule="exact"/>
              <w:ind w:firstLine="420" w:firstLineChars="20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b w:val="0"/>
                <w:bCs/>
                <w:color w:val="auto"/>
                <w:kern w:val="0"/>
                <w:sz w:val="21"/>
                <w:szCs w:val="21"/>
                <w:lang w:val="en-US" w:eastAsia="zh-CN"/>
              </w:rPr>
              <w:t>注氮机司机岗位风险告知卡</w:t>
            </w:r>
          </w:p>
        </w:tc>
      </w:tr>
      <w:tr w14:paraId="578820BC">
        <w:tblPrEx>
          <w:tblCellMar>
            <w:top w:w="0" w:type="dxa"/>
            <w:left w:w="108" w:type="dxa"/>
            <w:bottom w:w="0" w:type="dxa"/>
            <w:right w:w="108" w:type="dxa"/>
          </w:tblCellMar>
        </w:tblPrEx>
        <w:trPr>
          <w:trHeight w:val="1413" w:hRule="atLeast"/>
          <w:jc w:val="center"/>
        </w:trPr>
        <w:tc>
          <w:tcPr>
            <w:tcW w:w="899" w:type="dxa"/>
            <w:tcBorders>
              <w:top w:val="single" w:color="000000" w:sz="4" w:space="0"/>
              <w:left w:val="single" w:color="000000" w:sz="4" w:space="0"/>
              <w:bottom w:val="single" w:color="000000" w:sz="4" w:space="0"/>
              <w:right w:val="single" w:color="000000" w:sz="4" w:space="0"/>
            </w:tcBorders>
            <w:vAlign w:val="center"/>
          </w:tcPr>
          <w:p w14:paraId="6CC9C8C5">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风险</w:t>
            </w:r>
          </w:p>
          <w:p w14:paraId="53223F8E">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类型</w:t>
            </w:r>
          </w:p>
        </w:tc>
        <w:tc>
          <w:tcPr>
            <w:tcW w:w="3750" w:type="dxa"/>
            <w:tcBorders>
              <w:top w:val="single" w:color="000000" w:sz="4" w:space="0"/>
              <w:left w:val="single" w:color="000000" w:sz="4" w:space="0"/>
              <w:bottom w:val="single" w:color="000000" w:sz="4" w:space="0"/>
              <w:right w:val="single" w:color="000000" w:sz="4" w:space="0"/>
            </w:tcBorders>
            <w:vAlign w:val="center"/>
          </w:tcPr>
          <w:p w14:paraId="0423F7FF">
            <w:pPr>
              <w:keepNext w:val="0"/>
              <w:keepLines w:val="0"/>
              <w:pageBreakBefore w:val="0"/>
              <w:widowControl/>
              <w:suppressLineNumbers w:val="0"/>
              <w:kinsoku/>
              <w:wordWrap/>
              <w:overflowPunct/>
              <w:topLinePunct w:val="0"/>
              <w:autoSpaceDE/>
              <w:autoSpaceDN/>
              <w:bidi w:val="0"/>
              <w:spacing w:line="360" w:lineRule="auto"/>
              <w:ind w:firstLine="420" w:firstLineChars="200"/>
              <w:jc w:val="both"/>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机电、职业病危害</w:t>
            </w:r>
          </w:p>
        </w:tc>
        <w:tc>
          <w:tcPr>
            <w:tcW w:w="857" w:type="dxa"/>
            <w:tcBorders>
              <w:top w:val="single" w:color="000000" w:sz="4" w:space="0"/>
              <w:left w:val="single" w:color="000000" w:sz="4" w:space="0"/>
              <w:bottom w:val="single" w:color="000000" w:sz="4" w:space="0"/>
              <w:right w:val="single" w:color="000000" w:sz="4" w:space="0"/>
            </w:tcBorders>
            <w:vAlign w:val="center"/>
          </w:tcPr>
          <w:p w14:paraId="276B85D5">
            <w:pPr>
              <w:keepNext w:val="0"/>
              <w:keepLines w:val="0"/>
              <w:pageBreakBefore w:val="0"/>
              <w:widowControl/>
              <w:suppressLineNumbers w:val="0"/>
              <w:kinsoku/>
              <w:wordWrap/>
              <w:overflowPunct/>
              <w:topLinePunct w:val="0"/>
              <w:autoSpaceDE/>
              <w:autoSpaceDN/>
              <w:bidi w:val="0"/>
              <w:spacing w:line="360" w:lineRule="auto"/>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事故</w:t>
            </w:r>
          </w:p>
          <w:p w14:paraId="313A92FA">
            <w:pPr>
              <w:keepNext w:val="0"/>
              <w:keepLines w:val="0"/>
              <w:pageBreakBefore w:val="0"/>
              <w:widowControl/>
              <w:suppressLineNumbers w:val="0"/>
              <w:kinsoku/>
              <w:wordWrap/>
              <w:overflowPunct/>
              <w:topLinePunct w:val="0"/>
              <w:autoSpaceDE/>
              <w:autoSpaceDN/>
              <w:bidi w:val="0"/>
              <w:spacing w:line="36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报告</w:t>
            </w:r>
          </w:p>
        </w:tc>
        <w:tc>
          <w:tcPr>
            <w:tcW w:w="3774" w:type="dxa"/>
            <w:tcBorders>
              <w:top w:val="single" w:color="000000" w:sz="4" w:space="0"/>
              <w:left w:val="single" w:color="000000" w:sz="4" w:space="0"/>
              <w:bottom w:val="single" w:color="000000" w:sz="4" w:space="0"/>
              <w:right w:val="single" w:color="000000" w:sz="4" w:space="0"/>
            </w:tcBorders>
            <w:vAlign w:val="center"/>
          </w:tcPr>
          <w:p w14:paraId="69DDCFCE">
            <w:pPr>
              <w:keepNext w:val="0"/>
              <w:keepLines w:val="0"/>
              <w:pageBreakBefore w:val="0"/>
              <w:widowControl/>
              <w:suppressLineNumbers w:val="0"/>
              <w:kinsoku/>
              <w:wordWrap/>
              <w:overflowPunct/>
              <w:topLinePunct w:val="0"/>
              <w:autoSpaceDE/>
              <w:autoSpaceDN/>
              <w:bidi w:val="0"/>
              <w:spacing w:line="360" w:lineRule="auto"/>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调度室：8650200、8650202、“#”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工区值班： 8650342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安监科值班：8650512</w:t>
            </w:r>
          </w:p>
        </w:tc>
      </w:tr>
      <w:tr w14:paraId="1E30128B">
        <w:tblPrEx>
          <w:tblCellMar>
            <w:top w:w="0" w:type="dxa"/>
            <w:left w:w="108" w:type="dxa"/>
            <w:bottom w:w="0" w:type="dxa"/>
            <w:right w:w="108" w:type="dxa"/>
          </w:tblCellMar>
        </w:tblPrEx>
        <w:trPr>
          <w:trHeight w:val="590"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14:paraId="10E4ECDC">
            <w:pPr>
              <w:keepNext w:val="0"/>
              <w:keepLines w:val="0"/>
              <w:pageBreakBefore w:val="0"/>
              <w:widowControl/>
              <w:suppressLineNumbers w:val="0"/>
              <w:kinsoku/>
              <w:wordWrap/>
              <w:overflowPunct/>
              <w:topLinePunct w:val="0"/>
              <w:autoSpaceDE/>
              <w:autoSpaceDN/>
              <w:bidi w:val="0"/>
              <w:spacing w:line="360" w:lineRule="auto"/>
              <w:ind w:firstLine="422" w:firstLineChars="20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主要危害因素</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14:paraId="0777B0F5">
            <w:pPr>
              <w:keepNext w:val="0"/>
              <w:keepLines w:val="0"/>
              <w:pageBreakBefore w:val="0"/>
              <w:widowControl/>
              <w:suppressLineNumbers w:val="0"/>
              <w:kinsoku/>
              <w:wordWrap/>
              <w:overflowPunct/>
              <w:topLinePunct w:val="0"/>
              <w:autoSpaceDE/>
              <w:autoSpaceDN/>
              <w:bidi w:val="0"/>
              <w:spacing w:line="360" w:lineRule="auto"/>
              <w:ind w:firstLine="422" w:firstLineChars="20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管控措施</w:t>
            </w:r>
          </w:p>
        </w:tc>
      </w:tr>
      <w:tr w14:paraId="511790CD">
        <w:tblPrEx>
          <w:tblCellMar>
            <w:top w:w="0" w:type="dxa"/>
            <w:left w:w="108" w:type="dxa"/>
            <w:bottom w:w="0" w:type="dxa"/>
            <w:right w:w="108" w:type="dxa"/>
          </w:tblCellMar>
        </w:tblPrEx>
        <w:trPr>
          <w:trHeight w:val="714"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14:paraId="087DD9E7">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1.不持证上岗；注氮车间通风不良，造成气体积聚，造成人体健康伤害。</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14:paraId="0AE18BEC">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1.持证上岗；保持注氮车间内正常通风，监控系统正常运行。</w:t>
            </w:r>
          </w:p>
        </w:tc>
      </w:tr>
      <w:tr w14:paraId="55F7F340">
        <w:tblPrEx>
          <w:tblCellMar>
            <w:top w:w="0" w:type="dxa"/>
            <w:left w:w="108" w:type="dxa"/>
            <w:bottom w:w="0" w:type="dxa"/>
            <w:right w:w="108" w:type="dxa"/>
          </w:tblCellMar>
        </w:tblPrEx>
        <w:trPr>
          <w:trHeight w:val="729"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14:paraId="54F2885D">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2.管路不完好，造成管路开裂伤人；注氮口附近严禁有人施工。</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14:paraId="2BEAD1A5">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2.开机前，保证管路连接完好。</w:t>
            </w:r>
          </w:p>
        </w:tc>
      </w:tr>
      <w:tr w14:paraId="68351847">
        <w:tblPrEx>
          <w:tblCellMar>
            <w:top w:w="0" w:type="dxa"/>
            <w:left w:w="108" w:type="dxa"/>
            <w:bottom w:w="0" w:type="dxa"/>
            <w:right w:w="108" w:type="dxa"/>
          </w:tblCellMar>
        </w:tblPrEx>
        <w:trPr>
          <w:trHeight w:val="834"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14:paraId="0E3CE64B">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3.压力表不完好；检修或更换配件、管路时不停电。</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14:paraId="6D2AAC8F">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3.发现压力表不完好时更换压力表；更换管路时，设备停止运行。</w:t>
            </w:r>
          </w:p>
        </w:tc>
      </w:tr>
      <w:tr w14:paraId="33FC576F">
        <w:tblPrEx>
          <w:tblCellMar>
            <w:top w:w="0" w:type="dxa"/>
            <w:left w:w="108" w:type="dxa"/>
            <w:bottom w:w="0" w:type="dxa"/>
            <w:right w:w="108" w:type="dxa"/>
          </w:tblCellMar>
        </w:tblPrEx>
        <w:trPr>
          <w:trHeight w:val="590"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14:paraId="4A0FBDA2">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4.制氮浓度不符合要求。</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14:paraId="47F4A69E">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4.观察浓度表，保证浓度符合标准值。</w:t>
            </w:r>
          </w:p>
        </w:tc>
      </w:tr>
      <w:tr w14:paraId="701B55A5">
        <w:tblPrEx>
          <w:tblCellMar>
            <w:top w:w="0" w:type="dxa"/>
            <w:left w:w="108" w:type="dxa"/>
            <w:bottom w:w="0" w:type="dxa"/>
            <w:right w:w="108" w:type="dxa"/>
          </w:tblCellMar>
        </w:tblPrEx>
        <w:trPr>
          <w:trHeight w:val="590"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14:paraId="36E24A79">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5.未佩戴防护用品。</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14:paraId="200F327C">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5.佩戴好防护手套、耳塞等劳保用品。</w:t>
            </w:r>
          </w:p>
        </w:tc>
      </w:tr>
      <w:tr w14:paraId="5973C0A6">
        <w:tblPrEx>
          <w:tblCellMar>
            <w:top w:w="0" w:type="dxa"/>
            <w:left w:w="108" w:type="dxa"/>
            <w:bottom w:w="0" w:type="dxa"/>
            <w:right w:w="108" w:type="dxa"/>
          </w:tblCellMar>
        </w:tblPrEx>
        <w:trPr>
          <w:trHeight w:val="837" w:hRule="atLeast"/>
          <w:jc w:val="center"/>
        </w:trPr>
        <w:tc>
          <w:tcPr>
            <w:tcW w:w="899" w:type="dxa"/>
            <w:tcBorders>
              <w:top w:val="single" w:color="000000" w:sz="4" w:space="0"/>
              <w:left w:val="single" w:color="000000" w:sz="4" w:space="0"/>
              <w:bottom w:val="single" w:color="000000" w:sz="4" w:space="0"/>
              <w:right w:val="single" w:color="000000" w:sz="4" w:space="0"/>
            </w:tcBorders>
            <w:vAlign w:val="center"/>
          </w:tcPr>
          <w:p w14:paraId="54542145">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64EE8F08">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81" w:type="dxa"/>
            <w:gridSpan w:val="3"/>
            <w:tcBorders>
              <w:top w:val="single" w:color="000000" w:sz="4" w:space="0"/>
              <w:left w:val="single" w:color="000000" w:sz="4" w:space="0"/>
              <w:bottom w:val="single" w:color="000000" w:sz="4" w:space="0"/>
              <w:right w:val="single" w:color="000000" w:sz="4" w:space="0"/>
            </w:tcBorders>
            <w:vAlign w:val="center"/>
          </w:tcPr>
          <w:p w14:paraId="735FD9FE">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21417565">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765AF45A">
        <w:tblPrEx>
          <w:tblCellMar>
            <w:top w:w="0" w:type="dxa"/>
            <w:left w:w="108" w:type="dxa"/>
            <w:bottom w:w="0" w:type="dxa"/>
            <w:right w:w="108" w:type="dxa"/>
          </w:tblCellMar>
        </w:tblPrEx>
        <w:trPr>
          <w:trHeight w:val="2002" w:hRule="atLeast"/>
          <w:jc w:val="center"/>
        </w:trPr>
        <w:tc>
          <w:tcPr>
            <w:tcW w:w="899" w:type="dxa"/>
            <w:tcBorders>
              <w:top w:val="single" w:color="000000" w:sz="4" w:space="0"/>
              <w:left w:val="single" w:color="000000" w:sz="4" w:space="0"/>
              <w:bottom w:val="single" w:color="000000" w:sz="4" w:space="0"/>
              <w:right w:val="single" w:color="000000" w:sz="4" w:space="0"/>
            </w:tcBorders>
            <w:vAlign w:val="center"/>
          </w:tcPr>
          <w:p w14:paraId="70854AB1">
            <w:pPr>
              <w:keepNext w:val="0"/>
              <w:keepLines w:val="0"/>
              <w:pageBreakBefore w:val="0"/>
              <w:widowControl/>
              <w:suppressLineNumbers w:val="0"/>
              <w:kinsoku/>
              <w:wordWrap/>
              <w:overflowPunct/>
              <w:topLinePunct w:val="0"/>
              <w:autoSpaceDE/>
              <w:autoSpaceDN/>
              <w:bidi w:val="0"/>
              <w:spacing w:line="240" w:lineRule="auto"/>
              <w:jc w:val="both"/>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应急</w:t>
            </w:r>
          </w:p>
          <w:p w14:paraId="0237E63C">
            <w:pPr>
              <w:keepNext w:val="0"/>
              <w:keepLines w:val="0"/>
              <w:pageBreakBefore w:val="0"/>
              <w:widowControl/>
              <w:suppressLineNumbers w:val="0"/>
              <w:kinsoku/>
              <w:wordWrap/>
              <w:overflowPunct/>
              <w:topLinePunct w:val="0"/>
              <w:autoSpaceDE/>
              <w:autoSpaceDN/>
              <w:bidi w:val="0"/>
              <w:spacing w:line="240" w:lineRule="auto"/>
              <w:jc w:val="both"/>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处置</w:t>
            </w:r>
          </w:p>
          <w:p w14:paraId="40F3E553">
            <w:pPr>
              <w:keepNext w:val="0"/>
              <w:keepLines w:val="0"/>
              <w:pageBreakBefore w:val="0"/>
              <w:widowControl/>
              <w:suppressLineNumbers w:val="0"/>
              <w:kinsoku/>
              <w:wordWrap/>
              <w:overflowPunct/>
              <w:topLinePunct w:val="0"/>
              <w:autoSpaceDE/>
              <w:autoSpaceDN/>
              <w:bidi w:val="0"/>
              <w:spacing w:line="240" w:lineRule="auto"/>
              <w:jc w:val="both"/>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措施</w:t>
            </w:r>
          </w:p>
        </w:tc>
        <w:tc>
          <w:tcPr>
            <w:tcW w:w="8381" w:type="dxa"/>
            <w:gridSpan w:val="3"/>
            <w:tcBorders>
              <w:top w:val="single" w:color="000000" w:sz="4" w:space="0"/>
              <w:left w:val="single" w:color="000000" w:sz="4" w:space="0"/>
              <w:bottom w:val="single" w:color="000000" w:sz="4" w:space="0"/>
              <w:right w:val="single" w:color="000000" w:sz="4" w:space="0"/>
            </w:tcBorders>
            <w:vAlign w:val="center"/>
          </w:tcPr>
          <w:p w14:paraId="07061C9E">
            <w:pPr>
              <w:keepNext w:val="0"/>
              <w:keepLines w:val="0"/>
              <w:pageBreakBefore w:val="0"/>
              <w:widowControl/>
              <w:numPr>
                <w:ilvl w:val="0"/>
                <w:numId w:val="0"/>
              </w:numPr>
              <w:suppressLineNumbers w:val="0"/>
              <w:kinsoku/>
              <w:wordWrap/>
              <w:overflowPunct/>
              <w:topLinePunct w:val="0"/>
              <w:autoSpaceDE/>
              <w:autoSpaceDN/>
              <w:bidi w:val="0"/>
              <w:spacing w:afterAutospacing="0" w:line="240" w:lineRule="auto"/>
              <w:ind w:firstLine="420" w:firstLineChars="200"/>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1.出现紧急情况时，立即停机闭锁检查并通知注氮地点，找出故障点后进行泄压，泄压后方可作业，故障排除后检查完毕方可开机。</w:t>
            </w:r>
          </w:p>
          <w:p w14:paraId="789811DA">
            <w:pPr>
              <w:keepNext w:val="0"/>
              <w:keepLines w:val="0"/>
              <w:pageBreakBefore w:val="0"/>
              <w:widowControl/>
              <w:numPr>
                <w:ilvl w:val="0"/>
                <w:numId w:val="0"/>
              </w:numPr>
              <w:suppressLineNumbers w:val="0"/>
              <w:kinsoku/>
              <w:wordWrap/>
              <w:overflowPunct/>
              <w:topLinePunct w:val="0"/>
              <w:autoSpaceDE/>
              <w:autoSpaceDN/>
              <w:bidi w:val="0"/>
              <w:spacing w:afterAutospacing="0"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2.突发事故时，现场人员应立即采取有效措施安全避险，并及时向矿调度室汇报灾情，通知现场带班人员和班组长。听从安排，积极开展现场急救、互救工作，有序撤离。撤退前应断开与救灾无关的电源。</w:t>
            </w:r>
          </w:p>
        </w:tc>
      </w:tr>
    </w:tbl>
    <w:p w14:paraId="6F50336C">
      <w:pPr>
        <w:keepNext w:val="0"/>
        <w:keepLines w:val="0"/>
        <w:pageBreakBefore w:val="0"/>
        <w:kinsoku/>
        <w:wordWrap/>
        <w:overflowPunct/>
        <w:topLinePunct w:val="0"/>
        <w:autoSpaceDE/>
        <w:autoSpaceDN/>
        <w:bidi w:val="0"/>
        <w:spacing w:line="600" w:lineRule="exact"/>
        <w:jc w:val="both"/>
        <w:outlineLvl w:val="9"/>
        <w:rPr>
          <w:rFonts w:hint="eastAsia" w:ascii="仿宋" w:hAnsi="仿宋" w:eastAsia="仿宋" w:cs="仿宋"/>
          <w:b/>
          <w:color w:val="auto"/>
          <w:sz w:val="21"/>
          <w:szCs w:val="21"/>
          <w:highlight w:val="none"/>
        </w:rPr>
      </w:pPr>
    </w:p>
    <w:tbl>
      <w:tblPr>
        <w:tblStyle w:val="12"/>
        <w:tblW w:w="9180" w:type="dxa"/>
        <w:jc w:val="center"/>
        <w:tblLayout w:type="fixed"/>
        <w:tblCellMar>
          <w:top w:w="0" w:type="dxa"/>
          <w:left w:w="108" w:type="dxa"/>
          <w:bottom w:w="0" w:type="dxa"/>
          <w:right w:w="108" w:type="dxa"/>
        </w:tblCellMar>
      </w:tblPr>
      <w:tblGrid>
        <w:gridCol w:w="4041"/>
        <w:gridCol w:w="5139"/>
      </w:tblGrid>
      <w:tr w14:paraId="1BD582D2">
        <w:tblPrEx>
          <w:tblCellMar>
            <w:top w:w="0" w:type="dxa"/>
            <w:left w:w="108" w:type="dxa"/>
            <w:bottom w:w="0" w:type="dxa"/>
            <w:right w:w="108" w:type="dxa"/>
          </w:tblCellMar>
        </w:tblPrEx>
        <w:trPr>
          <w:trHeight w:val="438" w:hRule="atLeast"/>
          <w:jc w:val="center"/>
        </w:trPr>
        <w:tc>
          <w:tcPr>
            <w:tcW w:w="9180" w:type="dxa"/>
            <w:gridSpan w:val="2"/>
            <w:tcBorders>
              <w:top w:val="single" w:color="auto" w:sz="4" w:space="0"/>
              <w:left w:val="single" w:color="auto" w:sz="4" w:space="0"/>
              <w:bottom w:val="single" w:color="auto" w:sz="4" w:space="0"/>
              <w:right w:val="single" w:color="auto" w:sz="4" w:space="0"/>
            </w:tcBorders>
            <w:vAlign w:val="center"/>
          </w:tcPr>
          <w:p w14:paraId="49296A92">
            <w:pPr>
              <w:keepNext w:val="0"/>
              <w:keepLines w:val="0"/>
              <w:pageBreakBefore w:val="0"/>
              <w:widowControl/>
              <w:kinsoku/>
              <w:wordWrap/>
              <w:overflowPunct/>
              <w:topLinePunct w:val="0"/>
              <w:autoSpaceDE/>
              <w:autoSpaceDN/>
              <w:bidi w:val="0"/>
              <w:spacing w:line="600" w:lineRule="exact"/>
              <w:ind w:firstLine="422"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lang w:val="en-US" w:eastAsia="zh-CN"/>
              </w:rPr>
              <w:t>注氮机</w:t>
            </w:r>
            <w:r>
              <w:rPr>
                <w:rFonts w:hint="eastAsia" w:ascii="仿宋" w:hAnsi="仿宋" w:eastAsia="仿宋" w:cs="仿宋"/>
                <w:b/>
                <w:bCs/>
                <w:color w:val="auto"/>
                <w:kern w:val="0"/>
                <w:sz w:val="21"/>
                <w:szCs w:val="21"/>
                <w:highlight w:val="none"/>
              </w:rPr>
              <w:t>司机安全提示卡</w:t>
            </w:r>
          </w:p>
        </w:tc>
      </w:tr>
      <w:tr w14:paraId="666D0887">
        <w:tblPrEx>
          <w:tblCellMar>
            <w:top w:w="0" w:type="dxa"/>
            <w:left w:w="108" w:type="dxa"/>
            <w:bottom w:w="0" w:type="dxa"/>
            <w:right w:w="108" w:type="dxa"/>
          </w:tblCellMar>
        </w:tblPrEx>
        <w:trPr>
          <w:trHeight w:val="463" w:hRule="atLeast"/>
          <w:jc w:val="center"/>
        </w:trPr>
        <w:tc>
          <w:tcPr>
            <w:tcW w:w="4041" w:type="dxa"/>
            <w:tcBorders>
              <w:top w:val="single" w:color="auto" w:sz="4" w:space="0"/>
              <w:left w:val="single" w:color="auto" w:sz="4" w:space="0"/>
              <w:bottom w:val="single" w:color="auto" w:sz="4" w:space="0"/>
              <w:right w:val="single" w:color="auto" w:sz="4" w:space="0"/>
            </w:tcBorders>
            <w:vAlign w:val="center"/>
          </w:tcPr>
          <w:p w14:paraId="4EA55E60">
            <w:pPr>
              <w:keepNext w:val="0"/>
              <w:keepLines w:val="0"/>
              <w:pageBreakBefore w:val="0"/>
              <w:widowControl/>
              <w:kinsoku/>
              <w:wordWrap/>
              <w:overflowPunct/>
              <w:topLinePunct w:val="0"/>
              <w:autoSpaceDE/>
              <w:autoSpaceDN/>
              <w:bidi w:val="0"/>
              <w:spacing w:line="36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开</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前检查</w:t>
            </w:r>
          </w:p>
        </w:tc>
        <w:tc>
          <w:tcPr>
            <w:tcW w:w="5139" w:type="dxa"/>
            <w:tcBorders>
              <w:top w:val="single" w:color="auto" w:sz="4" w:space="0"/>
              <w:left w:val="nil"/>
              <w:bottom w:val="single" w:color="auto" w:sz="4" w:space="0"/>
              <w:right w:val="single" w:color="auto" w:sz="4" w:space="0"/>
            </w:tcBorders>
            <w:vAlign w:val="center"/>
          </w:tcPr>
          <w:p w14:paraId="57281168">
            <w:pPr>
              <w:keepNext w:val="0"/>
              <w:keepLines w:val="0"/>
              <w:pageBreakBefore w:val="0"/>
              <w:widowControl/>
              <w:kinsoku/>
              <w:wordWrap/>
              <w:overflowPunct/>
              <w:topLinePunct w:val="0"/>
              <w:autoSpaceDE/>
              <w:autoSpaceDN/>
              <w:bidi w:val="0"/>
              <w:spacing w:line="36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停</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后确认</w:t>
            </w:r>
          </w:p>
        </w:tc>
      </w:tr>
      <w:tr w14:paraId="68C78F48">
        <w:tblPrEx>
          <w:tblCellMar>
            <w:top w:w="0" w:type="dxa"/>
            <w:left w:w="108" w:type="dxa"/>
            <w:bottom w:w="0" w:type="dxa"/>
            <w:right w:w="108" w:type="dxa"/>
          </w:tblCellMar>
        </w:tblPrEx>
        <w:trPr>
          <w:trHeight w:val="632" w:hRule="atLeast"/>
          <w:jc w:val="center"/>
        </w:trPr>
        <w:tc>
          <w:tcPr>
            <w:tcW w:w="4041" w:type="dxa"/>
            <w:tcBorders>
              <w:top w:val="single" w:color="auto" w:sz="4" w:space="0"/>
              <w:left w:val="single" w:color="auto" w:sz="4" w:space="0"/>
              <w:bottom w:val="single" w:color="auto" w:sz="4" w:space="0"/>
              <w:right w:val="single" w:color="auto" w:sz="4" w:space="0"/>
            </w:tcBorders>
            <w:vAlign w:val="center"/>
          </w:tcPr>
          <w:p w14:paraId="4110ED85">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1.顶帮</w:t>
            </w:r>
          </w:p>
        </w:tc>
        <w:tc>
          <w:tcPr>
            <w:tcW w:w="5139" w:type="dxa"/>
            <w:tcBorders>
              <w:top w:val="single" w:color="auto" w:sz="4" w:space="0"/>
              <w:left w:val="nil"/>
              <w:bottom w:val="single" w:color="auto" w:sz="4" w:space="0"/>
              <w:right w:val="single" w:color="auto" w:sz="4" w:space="0"/>
            </w:tcBorders>
            <w:vAlign w:val="center"/>
          </w:tcPr>
          <w:p w14:paraId="2830C295">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1.停电闭锁</w:t>
            </w:r>
          </w:p>
        </w:tc>
      </w:tr>
      <w:tr w14:paraId="6DD69AC3">
        <w:tblPrEx>
          <w:tblCellMar>
            <w:top w:w="0" w:type="dxa"/>
            <w:left w:w="108" w:type="dxa"/>
            <w:bottom w:w="0" w:type="dxa"/>
            <w:right w:w="108" w:type="dxa"/>
          </w:tblCellMar>
        </w:tblPrEx>
        <w:trPr>
          <w:trHeight w:val="632" w:hRule="atLeast"/>
          <w:jc w:val="center"/>
        </w:trPr>
        <w:tc>
          <w:tcPr>
            <w:tcW w:w="4041" w:type="dxa"/>
            <w:tcBorders>
              <w:top w:val="single" w:color="auto" w:sz="4" w:space="0"/>
              <w:left w:val="single" w:color="auto" w:sz="4" w:space="0"/>
              <w:bottom w:val="single" w:color="auto" w:sz="4" w:space="0"/>
              <w:right w:val="single" w:color="auto" w:sz="4" w:space="0"/>
            </w:tcBorders>
            <w:vAlign w:val="center"/>
          </w:tcPr>
          <w:p w14:paraId="13C567F6">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2.信号、照明</w:t>
            </w:r>
          </w:p>
        </w:tc>
        <w:tc>
          <w:tcPr>
            <w:tcW w:w="5139" w:type="dxa"/>
            <w:tcBorders>
              <w:top w:val="single" w:color="auto" w:sz="4" w:space="0"/>
              <w:left w:val="nil"/>
              <w:bottom w:val="single" w:color="auto" w:sz="4" w:space="0"/>
              <w:right w:val="single" w:color="000000" w:sz="4" w:space="0"/>
            </w:tcBorders>
            <w:vAlign w:val="center"/>
          </w:tcPr>
          <w:p w14:paraId="709A4F96">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2.控制阀</w:t>
            </w:r>
            <w:r>
              <w:rPr>
                <w:rFonts w:hint="eastAsia" w:ascii="仿宋" w:hAnsi="仿宋" w:eastAsia="仿宋" w:cs="仿宋"/>
                <w:b w:val="0"/>
                <w:bCs w:val="0"/>
                <w:color w:val="auto"/>
                <w:kern w:val="0"/>
                <w:sz w:val="21"/>
                <w:szCs w:val="21"/>
                <w:highlight w:val="none"/>
                <w:lang w:eastAsia="zh-CN"/>
              </w:rPr>
              <w:t>、</w:t>
            </w:r>
            <w:r>
              <w:rPr>
                <w:rFonts w:hint="eastAsia" w:ascii="仿宋" w:hAnsi="仿宋" w:eastAsia="仿宋" w:cs="仿宋"/>
                <w:b w:val="0"/>
                <w:bCs w:val="0"/>
                <w:color w:val="auto"/>
                <w:kern w:val="0"/>
                <w:sz w:val="21"/>
                <w:szCs w:val="21"/>
                <w:highlight w:val="none"/>
                <w:lang w:val="en-US" w:eastAsia="zh-CN"/>
              </w:rPr>
              <w:t>压力表</w:t>
            </w:r>
          </w:p>
        </w:tc>
      </w:tr>
      <w:tr w14:paraId="6C8926D9">
        <w:tblPrEx>
          <w:tblCellMar>
            <w:top w:w="0" w:type="dxa"/>
            <w:left w:w="108" w:type="dxa"/>
            <w:bottom w:w="0" w:type="dxa"/>
            <w:right w:w="108" w:type="dxa"/>
          </w:tblCellMar>
        </w:tblPrEx>
        <w:trPr>
          <w:trHeight w:val="686" w:hRule="atLeast"/>
          <w:jc w:val="center"/>
        </w:trPr>
        <w:tc>
          <w:tcPr>
            <w:tcW w:w="4041" w:type="dxa"/>
            <w:tcBorders>
              <w:top w:val="single" w:color="auto" w:sz="4" w:space="0"/>
              <w:left w:val="single" w:color="auto" w:sz="4" w:space="0"/>
              <w:bottom w:val="single" w:color="auto" w:sz="4" w:space="0"/>
              <w:right w:val="single" w:color="auto" w:sz="4" w:space="0"/>
            </w:tcBorders>
            <w:vAlign w:val="center"/>
          </w:tcPr>
          <w:p w14:paraId="2DDFA765">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3.消防器材</w:t>
            </w:r>
          </w:p>
        </w:tc>
        <w:tc>
          <w:tcPr>
            <w:tcW w:w="5139" w:type="dxa"/>
            <w:tcBorders>
              <w:top w:val="single" w:color="auto" w:sz="4" w:space="0"/>
              <w:left w:val="nil"/>
              <w:bottom w:val="single" w:color="auto" w:sz="4" w:space="0"/>
              <w:right w:val="single" w:color="000000" w:sz="4" w:space="0"/>
            </w:tcBorders>
            <w:vAlign w:val="center"/>
          </w:tcPr>
          <w:p w14:paraId="006A5149">
            <w:pPr>
              <w:keepNext w:val="0"/>
              <w:keepLines w:val="0"/>
              <w:pageBreakBefore w:val="0"/>
              <w:widowControl/>
              <w:kinsoku/>
              <w:wordWrap/>
              <w:overflowPunct/>
              <w:topLinePunct w:val="0"/>
              <w:autoSpaceDE/>
              <w:autoSpaceDN/>
              <w:bidi w:val="0"/>
              <w:spacing w:line="240" w:lineRule="auto"/>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注：第一次按开机前检查内容逐项检查并确认，存在问题整改后再确认；全部结束后按停机后确认内容逐项检查并确认。</w:t>
            </w:r>
          </w:p>
        </w:tc>
      </w:tr>
    </w:tbl>
    <w:p w14:paraId="63AB973A">
      <w:pPr>
        <w:keepNext w:val="0"/>
        <w:keepLines w:val="0"/>
        <w:pageBreakBefore w:val="0"/>
        <w:widowControl w:val="0"/>
        <w:kinsoku/>
        <w:wordWrap/>
        <w:overflowPunct/>
        <w:topLinePunct w:val="0"/>
        <w:autoSpaceDE/>
        <w:autoSpaceDN/>
        <w:bidi w:val="0"/>
        <w:adjustRightInd/>
        <w:snapToGrid/>
        <w:spacing w:line="600" w:lineRule="exact"/>
        <w:ind w:firstLine="422" w:firstLineChars="200"/>
        <w:textAlignment w:val="auto"/>
        <w:outlineLvl w:val="9"/>
        <w:rPr>
          <w:rFonts w:hint="eastAsia" w:ascii="仿宋" w:hAnsi="仿宋" w:eastAsia="仿宋" w:cs="仿宋"/>
          <w:b/>
          <w:color w:val="auto"/>
          <w:sz w:val="21"/>
          <w:szCs w:val="21"/>
          <w:highlight w:val="none"/>
        </w:rPr>
      </w:pPr>
    </w:p>
    <w:tbl>
      <w:tblPr>
        <w:tblStyle w:val="12"/>
        <w:tblW w:w="8996" w:type="dxa"/>
        <w:jc w:val="center"/>
        <w:tblLayout w:type="fixed"/>
        <w:tblCellMar>
          <w:top w:w="0" w:type="dxa"/>
          <w:left w:w="108" w:type="dxa"/>
          <w:bottom w:w="0" w:type="dxa"/>
          <w:right w:w="108" w:type="dxa"/>
        </w:tblCellMar>
      </w:tblPr>
      <w:tblGrid>
        <w:gridCol w:w="8996"/>
      </w:tblGrid>
      <w:tr w14:paraId="205BB2AA">
        <w:tblPrEx>
          <w:tblCellMar>
            <w:top w:w="0" w:type="dxa"/>
            <w:left w:w="108" w:type="dxa"/>
            <w:bottom w:w="0" w:type="dxa"/>
            <w:right w:w="108" w:type="dxa"/>
          </w:tblCellMar>
        </w:tblPrEx>
        <w:trPr>
          <w:trHeight w:val="290"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14:paraId="6552924A">
            <w:pPr>
              <w:keepNext w:val="0"/>
              <w:keepLines w:val="0"/>
              <w:pageBreakBefore w:val="0"/>
              <w:widowControl/>
              <w:kinsoku/>
              <w:wordWrap/>
              <w:overflowPunct/>
              <w:topLinePunct w:val="0"/>
              <w:autoSpaceDE/>
              <w:autoSpaceDN/>
              <w:bidi w:val="0"/>
              <w:spacing w:line="600" w:lineRule="exact"/>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lang w:val="en-US" w:eastAsia="zh-CN"/>
              </w:rPr>
              <w:t>注氮站设备</w:t>
            </w:r>
            <w:r>
              <w:rPr>
                <w:rFonts w:hint="eastAsia" w:ascii="仿宋" w:hAnsi="仿宋" w:eastAsia="仿宋" w:cs="仿宋"/>
                <w:b w:val="0"/>
                <w:bCs w:val="0"/>
                <w:color w:val="auto"/>
                <w:kern w:val="0"/>
                <w:sz w:val="21"/>
                <w:szCs w:val="21"/>
                <w:highlight w:val="none"/>
              </w:rPr>
              <w:t>单元检查表</w:t>
            </w:r>
          </w:p>
        </w:tc>
      </w:tr>
      <w:tr w14:paraId="26597C4B">
        <w:tblPrEx>
          <w:tblCellMar>
            <w:top w:w="0" w:type="dxa"/>
            <w:left w:w="108" w:type="dxa"/>
            <w:bottom w:w="0" w:type="dxa"/>
            <w:right w:w="108" w:type="dxa"/>
          </w:tblCellMar>
        </w:tblPrEx>
        <w:trPr>
          <w:trHeight w:val="435"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14:paraId="21120B7F">
            <w:pPr>
              <w:keepNext w:val="0"/>
              <w:keepLines w:val="0"/>
              <w:pageBreakBefore w:val="0"/>
              <w:widowControl/>
              <w:kinsoku/>
              <w:wordWrap/>
              <w:overflowPunct/>
              <w:topLinePunct w:val="0"/>
              <w:autoSpaceDE/>
              <w:autoSpaceDN/>
              <w:bidi w:val="0"/>
              <w:spacing w:line="600" w:lineRule="exact"/>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★1.</w:t>
            </w:r>
            <w:r>
              <w:rPr>
                <w:rFonts w:hint="eastAsia" w:ascii="仿宋" w:hAnsi="仿宋" w:eastAsia="仿宋" w:cs="仿宋"/>
                <w:b w:val="0"/>
                <w:bCs w:val="0"/>
                <w:color w:val="auto"/>
                <w:kern w:val="0"/>
                <w:sz w:val="21"/>
                <w:szCs w:val="21"/>
                <w:highlight w:val="none"/>
                <w:lang w:val="en-US" w:eastAsia="zh-CN"/>
              </w:rPr>
              <w:t>压力表</w:t>
            </w:r>
          </w:p>
        </w:tc>
      </w:tr>
      <w:tr w14:paraId="24296267">
        <w:tblPrEx>
          <w:tblCellMar>
            <w:top w:w="0" w:type="dxa"/>
            <w:left w:w="108" w:type="dxa"/>
            <w:bottom w:w="0" w:type="dxa"/>
            <w:right w:w="108" w:type="dxa"/>
          </w:tblCellMar>
        </w:tblPrEx>
        <w:trPr>
          <w:trHeight w:val="435"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14:paraId="24BC0EED">
            <w:pPr>
              <w:keepNext w:val="0"/>
              <w:keepLines w:val="0"/>
              <w:pageBreakBefore w:val="0"/>
              <w:widowControl/>
              <w:kinsoku/>
              <w:wordWrap/>
              <w:overflowPunct/>
              <w:topLinePunct w:val="0"/>
              <w:autoSpaceDE/>
              <w:autoSpaceDN/>
              <w:bidi w:val="0"/>
              <w:spacing w:line="600" w:lineRule="exact"/>
              <w:ind w:firstLine="210" w:firstLineChars="100"/>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w:t>
            </w:r>
            <w:r>
              <w:rPr>
                <w:rFonts w:hint="eastAsia" w:ascii="仿宋" w:hAnsi="仿宋" w:eastAsia="仿宋" w:cs="仿宋"/>
                <w:b w:val="0"/>
                <w:bCs w:val="0"/>
                <w:color w:val="auto"/>
                <w:kern w:val="0"/>
                <w:sz w:val="21"/>
                <w:szCs w:val="21"/>
                <w:highlight w:val="none"/>
                <w:lang w:val="en-US" w:eastAsia="zh-CN"/>
              </w:rPr>
              <w:t>电动机、开关</w:t>
            </w:r>
          </w:p>
        </w:tc>
      </w:tr>
      <w:tr w14:paraId="39398660">
        <w:tblPrEx>
          <w:tblCellMar>
            <w:top w:w="0" w:type="dxa"/>
            <w:left w:w="108" w:type="dxa"/>
            <w:bottom w:w="0" w:type="dxa"/>
            <w:right w:w="108" w:type="dxa"/>
          </w:tblCellMar>
        </w:tblPrEx>
        <w:trPr>
          <w:trHeight w:val="435"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14:paraId="2E5C4CDA">
            <w:pPr>
              <w:keepNext w:val="0"/>
              <w:keepLines w:val="0"/>
              <w:pageBreakBefore w:val="0"/>
              <w:widowControl/>
              <w:kinsoku/>
              <w:wordWrap/>
              <w:overflowPunct/>
              <w:topLinePunct w:val="0"/>
              <w:autoSpaceDE/>
              <w:autoSpaceDN/>
              <w:bidi w:val="0"/>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★3.</w:t>
            </w:r>
            <w:r>
              <w:rPr>
                <w:rFonts w:hint="eastAsia" w:ascii="仿宋" w:hAnsi="仿宋" w:eastAsia="仿宋" w:cs="仿宋"/>
                <w:b w:val="0"/>
                <w:bCs w:val="0"/>
                <w:color w:val="auto"/>
                <w:kern w:val="0"/>
                <w:sz w:val="21"/>
                <w:szCs w:val="21"/>
                <w:highlight w:val="none"/>
                <w:lang w:val="en-US" w:eastAsia="zh-CN"/>
              </w:rPr>
              <w:t>管路、空压机</w:t>
            </w:r>
          </w:p>
        </w:tc>
      </w:tr>
      <w:tr w14:paraId="21BBADE3">
        <w:tblPrEx>
          <w:tblCellMar>
            <w:top w:w="0" w:type="dxa"/>
            <w:left w:w="108" w:type="dxa"/>
            <w:bottom w:w="0" w:type="dxa"/>
            <w:right w:w="108" w:type="dxa"/>
          </w:tblCellMar>
        </w:tblPrEx>
        <w:trPr>
          <w:trHeight w:val="435"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14:paraId="683CE5AC">
            <w:pPr>
              <w:keepNext w:val="0"/>
              <w:keepLines w:val="0"/>
              <w:pageBreakBefore w:val="0"/>
              <w:widowControl/>
              <w:kinsoku/>
              <w:wordWrap/>
              <w:overflowPunct/>
              <w:topLinePunct w:val="0"/>
              <w:autoSpaceDE/>
              <w:autoSpaceDN/>
              <w:bidi w:val="0"/>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 4.</w:t>
            </w:r>
            <w:r>
              <w:rPr>
                <w:rFonts w:hint="eastAsia" w:ascii="仿宋" w:hAnsi="仿宋" w:eastAsia="仿宋" w:cs="仿宋"/>
                <w:b w:val="0"/>
                <w:bCs w:val="0"/>
                <w:color w:val="auto"/>
                <w:kern w:val="0"/>
                <w:sz w:val="21"/>
                <w:szCs w:val="21"/>
                <w:highlight w:val="none"/>
                <w:lang w:val="en-US" w:eastAsia="zh-CN"/>
              </w:rPr>
              <w:t>截止阀、压力表</w:t>
            </w:r>
          </w:p>
        </w:tc>
      </w:tr>
      <w:tr w14:paraId="6A241DEE">
        <w:tblPrEx>
          <w:tblCellMar>
            <w:top w:w="0" w:type="dxa"/>
            <w:left w:w="108" w:type="dxa"/>
            <w:bottom w:w="0" w:type="dxa"/>
            <w:right w:w="108" w:type="dxa"/>
          </w:tblCellMar>
        </w:tblPrEx>
        <w:trPr>
          <w:trHeight w:val="510"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14:paraId="32F4A2B8">
            <w:pPr>
              <w:keepNext w:val="0"/>
              <w:keepLines w:val="0"/>
              <w:pageBreakBefore w:val="0"/>
              <w:widowControl/>
              <w:kinsoku/>
              <w:wordWrap/>
              <w:overflowPunct/>
              <w:topLinePunct w:val="0"/>
              <w:autoSpaceDE/>
              <w:autoSpaceDN/>
              <w:bidi w:val="0"/>
              <w:spacing w:line="600" w:lineRule="exact"/>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接班后检查一次，单元检查表检查前，先进行停电闭锁确认</w:t>
            </w:r>
            <w:r>
              <w:rPr>
                <w:rFonts w:hint="eastAsia" w:ascii="仿宋" w:hAnsi="仿宋" w:eastAsia="仿宋" w:cs="仿宋"/>
                <w:b w:val="0"/>
                <w:bCs w:val="0"/>
                <w:color w:val="auto"/>
                <w:kern w:val="0"/>
                <w:sz w:val="21"/>
                <w:szCs w:val="21"/>
                <w:highlight w:val="none"/>
                <w:lang w:eastAsia="zh-CN"/>
              </w:rPr>
              <w:t>。</w:t>
            </w:r>
          </w:p>
        </w:tc>
      </w:tr>
    </w:tbl>
    <w:p w14:paraId="7081488D">
      <w:pPr>
        <w:keepNext w:val="0"/>
        <w:keepLines w:val="0"/>
        <w:pageBreakBefore w:val="0"/>
        <w:kinsoku/>
        <w:wordWrap/>
        <w:overflowPunct/>
        <w:topLinePunct w:val="0"/>
        <w:autoSpaceDE/>
        <w:autoSpaceDN/>
        <w:bidi w:val="0"/>
        <w:outlineLvl w:val="9"/>
        <w:rPr>
          <w:color w:val="auto"/>
        </w:rPr>
      </w:pPr>
    </w:p>
    <w:tbl>
      <w:tblPr>
        <w:tblStyle w:val="12"/>
        <w:tblW w:w="9000" w:type="dxa"/>
        <w:jc w:val="center"/>
        <w:tblLayout w:type="fixed"/>
        <w:tblCellMar>
          <w:top w:w="0" w:type="dxa"/>
          <w:left w:w="108" w:type="dxa"/>
          <w:bottom w:w="0" w:type="dxa"/>
          <w:right w:w="108" w:type="dxa"/>
        </w:tblCellMar>
      </w:tblPr>
      <w:tblGrid>
        <w:gridCol w:w="1487"/>
        <w:gridCol w:w="1545"/>
        <w:gridCol w:w="5968"/>
      </w:tblGrid>
      <w:tr w14:paraId="33642774">
        <w:tblPrEx>
          <w:tblCellMar>
            <w:top w:w="0" w:type="dxa"/>
            <w:left w:w="108" w:type="dxa"/>
            <w:bottom w:w="0" w:type="dxa"/>
            <w:right w:w="108" w:type="dxa"/>
          </w:tblCellMar>
        </w:tblPrEx>
        <w:trPr>
          <w:trHeight w:val="654" w:hRule="atLeast"/>
          <w:jc w:val="center"/>
        </w:trPr>
        <w:tc>
          <w:tcPr>
            <w:tcW w:w="9000" w:type="dxa"/>
            <w:gridSpan w:val="3"/>
            <w:tcBorders>
              <w:top w:val="single" w:color="000000" w:sz="4" w:space="0"/>
              <w:left w:val="single" w:color="000000" w:sz="4" w:space="0"/>
              <w:bottom w:val="single" w:color="000000" w:sz="4" w:space="0"/>
              <w:right w:val="single" w:color="000000" w:sz="4" w:space="0"/>
            </w:tcBorders>
            <w:vAlign w:val="center"/>
          </w:tcPr>
          <w:p w14:paraId="7EECC795">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bCs/>
                <w:color w:val="auto"/>
                <w:kern w:val="0"/>
                <w:sz w:val="21"/>
                <w:szCs w:val="21"/>
                <w:highlight w:val="none"/>
                <w:lang w:val="en-US" w:eastAsia="zh-CN"/>
              </w:rPr>
              <w:t>注氮机司机操作过程注意事项</w:t>
            </w:r>
          </w:p>
        </w:tc>
      </w:tr>
      <w:tr w14:paraId="5FF7D9E6">
        <w:tblPrEx>
          <w:tblCellMar>
            <w:top w:w="0" w:type="dxa"/>
            <w:left w:w="108" w:type="dxa"/>
            <w:bottom w:w="0" w:type="dxa"/>
            <w:right w:w="108" w:type="dxa"/>
          </w:tblCellMar>
        </w:tblPrEx>
        <w:trPr>
          <w:trHeight w:val="654" w:hRule="atLeast"/>
          <w:jc w:val="center"/>
        </w:trPr>
        <w:tc>
          <w:tcPr>
            <w:tcW w:w="1487" w:type="dxa"/>
            <w:tcBorders>
              <w:top w:val="single" w:color="000000" w:sz="4" w:space="0"/>
              <w:left w:val="single" w:color="000000" w:sz="4" w:space="0"/>
              <w:bottom w:val="single" w:color="000000" w:sz="4" w:space="0"/>
              <w:right w:val="single" w:color="000000" w:sz="4" w:space="0"/>
            </w:tcBorders>
            <w:vAlign w:val="center"/>
          </w:tcPr>
          <w:p w14:paraId="21870F62">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操作顺序</w:t>
            </w:r>
          </w:p>
        </w:tc>
        <w:tc>
          <w:tcPr>
            <w:tcW w:w="1545" w:type="dxa"/>
            <w:tcBorders>
              <w:top w:val="single" w:color="000000" w:sz="4" w:space="0"/>
              <w:left w:val="single" w:color="000000" w:sz="4" w:space="0"/>
              <w:bottom w:val="single" w:color="000000" w:sz="4" w:space="0"/>
              <w:right w:val="single" w:color="000000" w:sz="4" w:space="0"/>
            </w:tcBorders>
            <w:vAlign w:val="center"/>
          </w:tcPr>
          <w:p w14:paraId="1AC2D24D">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5968" w:type="dxa"/>
            <w:tcBorders>
              <w:top w:val="single" w:color="000000" w:sz="4" w:space="0"/>
              <w:left w:val="single" w:color="000000" w:sz="4" w:space="0"/>
              <w:bottom w:val="single" w:color="000000" w:sz="4" w:space="0"/>
              <w:right w:val="single" w:color="000000" w:sz="4" w:space="0"/>
            </w:tcBorders>
            <w:vAlign w:val="center"/>
          </w:tcPr>
          <w:p w14:paraId="199D5568">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14:paraId="001853B6">
        <w:tblPrEx>
          <w:tblCellMar>
            <w:top w:w="0" w:type="dxa"/>
            <w:left w:w="108" w:type="dxa"/>
            <w:bottom w:w="0" w:type="dxa"/>
            <w:right w:w="108" w:type="dxa"/>
          </w:tblCellMar>
        </w:tblPrEx>
        <w:trPr>
          <w:trHeight w:val="654" w:hRule="atLeast"/>
          <w:jc w:val="center"/>
        </w:trPr>
        <w:tc>
          <w:tcPr>
            <w:tcW w:w="1487" w:type="dxa"/>
            <w:vMerge w:val="restart"/>
            <w:tcBorders>
              <w:top w:val="single" w:color="000000" w:sz="4" w:space="0"/>
              <w:left w:val="single" w:color="000000" w:sz="4" w:space="0"/>
              <w:bottom w:val="single" w:color="000000" w:sz="4" w:space="0"/>
              <w:right w:val="single" w:color="000000" w:sz="4" w:space="0"/>
            </w:tcBorders>
            <w:vAlign w:val="center"/>
          </w:tcPr>
          <w:p w14:paraId="53B19EC4">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开机</w:t>
            </w:r>
          </w:p>
        </w:tc>
        <w:tc>
          <w:tcPr>
            <w:tcW w:w="1545" w:type="dxa"/>
            <w:tcBorders>
              <w:top w:val="single" w:color="000000" w:sz="4" w:space="0"/>
              <w:left w:val="single" w:color="000000" w:sz="4" w:space="0"/>
              <w:bottom w:val="single" w:color="000000" w:sz="4" w:space="0"/>
              <w:right w:val="single" w:color="000000" w:sz="4" w:space="0"/>
            </w:tcBorders>
            <w:vAlign w:val="center"/>
          </w:tcPr>
          <w:p w14:paraId="2EAED2EA">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968" w:type="dxa"/>
            <w:tcBorders>
              <w:top w:val="single" w:color="000000" w:sz="4" w:space="0"/>
              <w:left w:val="single" w:color="000000" w:sz="4" w:space="0"/>
              <w:bottom w:val="single" w:color="000000" w:sz="4" w:space="0"/>
              <w:right w:val="single" w:color="000000" w:sz="4" w:space="0"/>
            </w:tcBorders>
            <w:vAlign w:val="center"/>
          </w:tcPr>
          <w:p w14:paraId="167D22B3">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周围有无人员、异物</w:t>
            </w:r>
          </w:p>
        </w:tc>
      </w:tr>
      <w:tr w14:paraId="500BFF4F">
        <w:tblPrEx>
          <w:tblCellMar>
            <w:top w:w="0" w:type="dxa"/>
            <w:left w:w="108" w:type="dxa"/>
            <w:bottom w:w="0" w:type="dxa"/>
            <w:right w:w="108" w:type="dxa"/>
          </w:tblCellMar>
        </w:tblPrEx>
        <w:trPr>
          <w:trHeight w:val="654" w:hRule="atLeast"/>
          <w:jc w:val="center"/>
        </w:trPr>
        <w:tc>
          <w:tcPr>
            <w:tcW w:w="1487" w:type="dxa"/>
            <w:vMerge w:val="continue"/>
            <w:tcBorders>
              <w:top w:val="single" w:color="000000" w:sz="4" w:space="0"/>
              <w:left w:val="single" w:color="000000" w:sz="4" w:space="0"/>
              <w:bottom w:val="single" w:color="000000" w:sz="4" w:space="0"/>
              <w:right w:val="single" w:color="000000" w:sz="4" w:space="0"/>
            </w:tcBorders>
            <w:vAlign w:val="center"/>
          </w:tcPr>
          <w:p w14:paraId="3C675D90">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14:paraId="205475EE">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w:t>
            </w:r>
          </w:p>
        </w:tc>
        <w:tc>
          <w:tcPr>
            <w:tcW w:w="5968" w:type="dxa"/>
            <w:tcBorders>
              <w:top w:val="single" w:color="000000" w:sz="4" w:space="0"/>
              <w:left w:val="single" w:color="000000" w:sz="4" w:space="0"/>
              <w:bottom w:val="single" w:color="000000" w:sz="4" w:space="0"/>
              <w:right w:val="single" w:color="000000" w:sz="4" w:space="0"/>
            </w:tcBorders>
            <w:vAlign w:val="center"/>
          </w:tcPr>
          <w:p w14:paraId="38F2D45C">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注氮管路、空压机等异常声音</w:t>
            </w:r>
          </w:p>
        </w:tc>
      </w:tr>
      <w:tr w14:paraId="6E21B9BD">
        <w:tblPrEx>
          <w:tblCellMar>
            <w:top w:w="0" w:type="dxa"/>
            <w:left w:w="108" w:type="dxa"/>
            <w:bottom w:w="0" w:type="dxa"/>
            <w:right w:w="108" w:type="dxa"/>
          </w:tblCellMar>
        </w:tblPrEx>
        <w:trPr>
          <w:trHeight w:val="654" w:hRule="atLeast"/>
          <w:jc w:val="center"/>
        </w:trPr>
        <w:tc>
          <w:tcPr>
            <w:tcW w:w="1487" w:type="dxa"/>
            <w:vMerge w:val="continue"/>
            <w:tcBorders>
              <w:top w:val="single" w:color="000000" w:sz="4" w:space="0"/>
              <w:left w:val="single" w:color="000000" w:sz="4" w:space="0"/>
              <w:bottom w:val="single" w:color="000000" w:sz="4" w:space="0"/>
              <w:right w:val="single" w:color="000000" w:sz="4" w:space="0"/>
            </w:tcBorders>
            <w:vAlign w:val="center"/>
          </w:tcPr>
          <w:p w14:paraId="3D7E430A">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14:paraId="6C3DD9C2">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嗅异味</w:t>
            </w:r>
          </w:p>
        </w:tc>
        <w:tc>
          <w:tcPr>
            <w:tcW w:w="5968" w:type="dxa"/>
            <w:tcBorders>
              <w:top w:val="single" w:color="000000" w:sz="4" w:space="0"/>
              <w:left w:val="single" w:color="000000" w:sz="4" w:space="0"/>
              <w:bottom w:val="single" w:color="000000" w:sz="4" w:space="0"/>
              <w:right w:val="single" w:color="000000" w:sz="4" w:space="0"/>
            </w:tcBorders>
            <w:vAlign w:val="center"/>
          </w:tcPr>
          <w:p w14:paraId="01E25194">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闻气味异常</w:t>
            </w:r>
          </w:p>
        </w:tc>
      </w:tr>
      <w:tr w14:paraId="22B4A52A">
        <w:tblPrEx>
          <w:tblCellMar>
            <w:top w:w="0" w:type="dxa"/>
            <w:left w:w="108" w:type="dxa"/>
            <w:bottom w:w="0" w:type="dxa"/>
            <w:right w:w="108" w:type="dxa"/>
          </w:tblCellMar>
        </w:tblPrEx>
        <w:trPr>
          <w:trHeight w:val="665" w:hRule="atLeast"/>
          <w:jc w:val="center"/>
        </w:trPr>
        <w:tc>
          <w:tcPr>
            <w:tcW w:w="1487" w:type="dxa"/>
            <w:vMerge w:val="continue"/>
            <w:tcBorders>
              <w:top w:val="single" w:color="000000" w:sz="4" w:space="0"/>
              <w:left w:val="single" w:color="000000" w:sz="4" w:space="0"/>
              <w:bottom w:val="single" w:color="000000" w:sz="4" w:space="0"/>
              <w:right w:val="single" w:color="000000" w:sz="4" w:space="0"/>
            </w:tcBorders>
            <w:vAlign w:val="center"/>
          </w:tcPr>
          <w:p w14:paraId="3338159B">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14:paraId="140E8B19">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968" w:type="dxa"/>
            <w:tcBorders>
              <w:top w:val="single" w:color="000000" w:sz="4" w:space="0"/>
              <w:left w:val="single" w:color="000000" w:sz="4" w:space="0"/>
              <w:bottom w:val="single" w:color="000000" w:sz="4" w:space="0"/>
              <w:right w:val="single" w:color="000000" w:sz="4" w:space="0"/>
            </w:tcBorders>
            <w:vAlign w:val="center"/>
          </w:tcPr>
          <w:p w14:paraId="6DB40B83">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压力超过0.8MPa；氮气浓度不低于97%</w:t>
            </w:r>
          </w:p>
        </w:tc>
      </w:tr>
      <w:tr w14:paraId="6FE0E36A">
        <w:tblPrEx>
          <w:tblCellMar>
            <w:top w:w="0" w:type="dxa"/>
            <w:left w:w="108" w:type="dxa"/>
            <w:bottom w:w="0" w:type="dxa"/>
            <w:right w:w="108" w:type="dxa"/>
          </w:tblCellMar>
        </w:tblPrEx>
        <w:trPr>
          <w:trHeight w:val="665" w:hRule="atLeast"/>
          <w:jc w:val="center"/>
        </w:trPr>
        <w:tc>
          <w:tcPr>
            <w:tcW w:w="1487" w:type="dxa"/>
            <w:vMerge w:val="restart"/>
            <w:tcBorders>
              <w:top w:val="single" w:color="000000" w:sz="4" w:space="0"/>
              <w:left w:val="single" w:color="000000" w:sz="4" w:space="0"/>
              <w:right w:val="single" w:color="000000" w:sz="4" w:space="0"/>
            </w:tcBorders>
            <w:vAlign w:val="center"/>
          </w:tcPr>
          <w:p w14:paraId="3A3A1DEF">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注氮气</w:t>
            </w:r>
          </w:p>
        </w:tc>
        <w:tc>
          <w:tcPr>
            <w:tcW w:w="1545" w:type="dxa"/>
            <w:tcBorders>
              <w:top w:val="single" w:color="000000" w:sz="4" w:space="0"/>
              <w:left w:val="single" w:color="000000" w:sz="4" w:space="0"/>
              <w:bottom w:val="single" w:color="000000" w:sz="4" w:space="0"/>
              <w:right w:val="single" w:color="000000" w:sz="4" w:space="0"/>
            </w:tcBorders>
            <w:vAlign w:val="center"/>
          </w:tcPr>
          <w:p w14:paraId="06D7D062">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968" w:type="dxa"/>
            <w:tcBorders>
              <w:top w:val="single" w:color="000000" w:sz="4" w:space="0"/>
              <w:left w:val="single" w:color="000000" w:sz="4" w:space="0"/>
              <w:bottom w:val="single" w:color="000000" w:sz="4" w:space="0"/>
              <w:right w:val="single" w:color="000000" w:sz="4" w:space="0"/>
            </w:tcBorders>
            <w:vAlign w:val="center"/>
          </w:tcPr>
          <w:p w14:paraId="075E8EA8">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注氮气时要注意周围安全防止电器、机械等伤害</w:t>
            </w:r>
          </w:p>
        </w:tc>
      </w:tr>
      <w:tr w14:paraId="27F4AE31">
        <w:tblPrEx>
          <w:tblCellMar>
            <w:top w:w="0" w:type="dxa"/>
            <w:left w:w="108" w:type="dxa"/>
            <w:bottom w:w="0" w:type="dxa"/>
            <w:right w:w="108" w:type="dxa"/>
          </w:tblCellMar>
        </w:tblPrEx>
        <w:trPr>
          <w:trHeight w:val="665" w:hRule="atLeast"/>
          <w:jc w:val="center"/>
        </w:trPr>
        <w:tc>
          <w:tcPr>
            <w:tcW w:w="1487" w:type="dxa"/>
            <w:vMerge w:val="continue"/>
            <w:tcBorders>
              <w:left w:val="single" w:color="000000" w:sz="4" w:space="0"/>
              <w:right w:val="single" w:color="000000" w:sz="4" w:space="0"/>
            </w:tcBorders>
            <w:vAlign w:val="center"/>
          </w:tcPr>
          <w:p w14:paraId="4B21DBC1">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14:paraId="612E6216">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听异响、信号</w:t>
            </w:r>
          </w:p>
        </w:tc>
        <w:tc>
          <w:tcPr>
            <w:tcW w:w="5968" w:type="dxa"/>
            <w:tcBorders>
              <w:top w:val="single" w:color="000000" w:sz="4" w:space="0"/>
              <w:left w:val="single" w:color="000000" w:sz="4" w:space="0"/>
              <w:bottom w:val="single" w:color="000000" w:sz="4" w:space="0"/>
              <w:right w:val="single" w:color="000000" w:sz="4" w:space="0"/>
            </w:tcBorders>
            <w:vAlign w:val="center"/>
          </w:tcPr>
          <w:p w14:paraId="0D048AD3">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听注氮机异常声音；信号提醒</w:t>
            </w:r>
          </w:p>
        </w:tc>
      </w:tr>
      <w:tr w14:paraId="267874A3">
        <w:tblPrEx>
          <w:tblCellMar>
            <w:top w:w="0" w:type="dxa"/>
            <w:left w:w="108" w:type="dxa"/>
            <w:bottom w:w="0" w:type="dxa"/>
            <w:right w:w="108" w:type="dxa"/>
          </w:tblCellMar>
        </w:tblPrEx>
        <w:trPr>
          <w:trHeight w:val="665" w:hRule="atLeast"/>
          <w:jc w:val="center"/>
        </w:trPr>
        <w:tc>
          <w:tcPr>
            <w:tcW w:w="1487" w:type="dxa"/>
            <w:vMerge w:val="continue"/>
            <w:tcBorders>
              <w:left w:val="single" w:color="000000" w:sz="4" w:space="0"/>
              <w:bottom w:val="single" w:color="000000" w:sz="4" w:space="0"/>
              <w:right w:val="single" w:color="000000" w:sz="4" w:space="0"/>
            </w:tcBorders>
            <w:vAlign w:val="center"/>
          </w:tcPr>
          <w:p w14:paraId="295690AC">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14:paraId="5979422E">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968" w:type="dxa"/>
            <w:tcBorders>
              <w:top w:val="single" w:color="000000" w:sz="4" w:space="0"/>
              <w:left w:val="single" w:color="000000" w:sz="4" w:space="0"/>
              <w:bottom w:val="single" w:color="000000" w:sz="4" w:space="0"/>
              <w:right w:val="single" w:color="000000" w:sz="4" w:space="0"/>
            </w:tcBorders>
            <w:vAlign w:val="center"/>
          </w:tcPr>
          <w:p w14:paraId="4836AAEB">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控制注氮机的注氮量和注氮浓度</w:t>
            </w:r>
          </w:p>
        </w:tc>
      </w:tr>
    </w:tbl>
    <w:p w14:paraId="62A03AE2">
      <w:pPr>
        <w:pStyle w:val="7"/>
        <w:keepNext w:val="0"/>
        <w:keepLines w:val="0"/>
        <w:pageBreakBefore w:val="0"/>
        <w:kinsoku/>
        <w:wordWrap/>
        <w:overflowPunct/>
        <w:topLinePunct w:val="0"/>
        <w:autoSpaceDE/>
        <w:autoSpaceDN/>
        <w:bidi w:val="0"/>
        <w:outlineLvl w:val="9"/>
        <w:rPr>
          <w:rFonts w:hint="eastAsia" w:ascii="仿宋" w:hAnsi="仿宋" w:eastAsia="仿宋" w:cs="仿宋"/>
          <w:b/>
          <w:color w:val="auto"/>
          <w:sz w:val="21"/>
          <w:szCs w:val="21"/>
          <w:highlight w:val="none"/>
        </w:rPr>
      </w:pPr>
    </w:p>
    <w:p w14:paraId="6E8071E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2F14040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w:t>
      </w:r>
      <w:r>
        <w:rPr>
          <w:rFonts w:hint="eastAsia" w:ascii="仿宋" w:hAnsi="仿宋" w:eastAsia="仿宋" w:cs="仿宋"/>
          <w:b w:val="0"/>
          <w:bCs/>
          <w:color w:val="auto"/>
          <w:sz w:val="28"/>
          <w:szCs w:val="28"/>
          <w:highlight w:val="none"/>
          <w:lang w:eastAsia="zh-CN"/>
        </w:rPr>
        <w:t>进入车间时</w:t>
      </w:r>
      <w:r>
        <w:rPr>
          <w:rFonts w:hint="eastAsia" w:ascii="仿宋" w:hAnsi="仿宋" w:eastAsia="仿宋" w:cs="仿宋"/>
          <w:b w:val="0"/>
          <w:bCs/>
          <w:color w:val="auto"/>
          <w:sz w:val="28"/>
          <w:szCs w:val="28"/>
          <w:highlight w:val="none"/>
        </w:rPr>
        <w:t>必须戴安全帽</w:t>
      </w:r>
      <w:r>
        <w:rPr>
          <w:rFonts w:hint="eastAsia"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rPr>
        <w:t>严禁携带烟草和点火物品，</w:t>
      </w:r>
      <w:r>
        <w:rPr>
          <w:rFonts w:hint="eastAsia" w:ascii="仿宋" w:hAnsi="仿宋" w:eastAsia="仿宋" w:cs="仿宋"/>
          <w:b w:val="0"/>
          <w:bCs/>
          <w:color w:val="auto"/>
          <w:sz w:val="28"/>
          <w:szCs w:val="28"/>
          <w:highlight w:val="none"/>
          <w:lang w:eastAsia="zh-CN"/>
        </w:rPr>
        <w:t>上岗</w:t>
      </w:r>
      <w:r>
        <w:rPr>
          <w:rFonts w:hint="eastAsia" w:ascii="仿宋" w:hAnsi="仿宋" w:eastAsia="仿宋" w:cs="仿宋"/>
          <w:b w:val="0"/>
          <w:bCs/>
          <w:color w:val="auto"/>
          <w:sz w:val="28"/>
          <w:szCs w:val="28"/>
          <w:highlight w:val="none"/>
        </w:rPr>
        <w:t>前严禁喝酒。</w:t>
      </w:r>
    </w:p>
    <w:p w14:paraId="3D5D37B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val="en-US" w:eastAsia="zh-CN"/>
        </w:rPr>
        <w:t>注氮机司机</w:t>
      </w:r>
      <w:r>
        <w:rPr>
          <w:rFonts w:hint="eastAsia" w:ascii="仿宋" w:hAnsi="仿宋" w:eastAsia="仿宋" w:cs="仿宋"/>
          <w:b w:val="0"/>
          <w:bCs/>
          <w:color w:val="auto"/>
          <w:sz w:val="28"/>
          <w:szCs w:val="28"/>
          <w:highlight w:val="none"/>
        </w:rPr>
        <w:t>必须经有资质的机构培训考试合格后持证上岗。</w:t>
      </w:r>
    </w:p>
    <w:p w14:paraId="15ED95F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（三）严禁随意打开</w:t>
      </w:r>
      <w:r>
        <w:rPr>
          <w:rFonts w:hint="eastAsia" w:ascii="仿宋" w:hAnsi="仿宋" w:eastAsia="仿宋" w:cs="仿宋"/>
          <w:b w:val="0"/>
          <w:bCs/>
          <w:color w:val="auto"/>
          <w:sz w:val="28"/>
          <w:szCs w:val="28"/>
          <w:highlight w:val="none"/>
          <w:lang w:eastAsia="zh-CN"/>
        </w:rPr>
        <w:t>注氮管路</w:t>
      </w:r>
      <w:r>
        <w:rPr>
          <w:rFonts w:hint="eastAsia" w:ascii="仿宋" w:hAnsi="仿宋" w:eastAsia="仿宋" w:cs="仿宋"/>
          <w:b w:val="0"/>
          <w:bCs/>
          <w:color w:val="auto"/>
          <w:sz w:val="28"/>
          <w:szCs w:val="28"/>
          <w:highlight w:val="none"/>
        </w:rPr>
        <w:t>。</w:t>
      </w:r>
    </w:p>
    <w:p w14:paraId="21E4157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开机时必须对注氮机管路、空压机等设备进行开机前检查</w:t>
      </w:r>
      <w:r>
        <w:rPr>
          <w:rFonts w:hint="eastAsia" w:ascii="仿宋" w:hAnsi="仿宋" w:eastAsia="仿宋" w:cs="仿宋"/>
          <w:b w:val="0"/>
          <w:bCs/>
          <w:color w:val="auto"/>
          <w:sz w:val="28"/>
          <w:szCs w:val="28"/>
          <w:highlight w:val="none"/>
        </w:rPr>
        <w:t>。</w:t>
      </w:r>
    </w:p>
    <w:p w14:paraId="0C2BCFE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）严禁</w:t>
      </w:r>
      <w:r>
        <w:rPr>
          <w:rFonts w:hint="eastAsia" w:ascii="仿宋" w:hAnsi="仿宋" w:eastAsia="仿宋" w:cs="仿宋"/>
          <w:b w:val="0"/>
          <w:bCs/>
          <w:color w:val="auto"/>
          <w:sz w:val="28"/>
          <w:szCs w:val="28"/>
          <w:highlight w:val="none"/>
          <w:lang w:eastAsia="zh-CN"/>
        </w:rPr>
        <w:t>私自停机，严禁带电进行检修。</w:t>
      </w:r>
    </w:p>
    <w:p w14:paraId="0F56D6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必须制定专项检修方案和时间，严格按照检修方案进行检修。</w:t>
      </w:r>
    </w:p>
    <w:p w14:paraId="157AC73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6297A48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600421B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5DC856A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1A86458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35FBF43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777C810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3F1E744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414B9DC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2052BB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39F5285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042C947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498152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4E2A73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799435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56656E6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4A130E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67F2C39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0B5EA17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2BC0DDF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11498E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0D5F962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61F0D2DD">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1905C80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06AAC27C">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3706D2C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67B431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173C07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1DABABC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5372AF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10E86B8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784CC83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6B6E038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5EFF4C1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45CC74B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47EAE4C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4336960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738D2D8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22AC5E4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1697B324">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56455AF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0A19EEE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417933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31F325C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23D6110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399F12D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17208A4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10FD39F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1CE2F9A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14:paraId="5C3B20F7">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14:paraId="11397B1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1.风险描述：地面工广设备运行时，可能发生员工被噪声伤害的风险。</w:t>
      </w:r>
    </w:p>
    <w:p w14:paraId="75DB37DF">
      <w:pPr>
        <w:keepNext w:val="0"/>
        <w:keepLines w:val="0"/>
        <w:pageBreakBefore w:val="0"/>
        <w:widowControl w:val="0"/>
        <w:kinsoku/>
        <w:wordWrap/>
        <w:overflowPunct/>
        <w:topLinePunct w:val="0"/>
        <w:autoSpaceDE/>
        <w:autoSpaceDN/>
        <w:bidi w:val="0"/>
        <w:spacing w:line="500" w:lineRule="exact"/>
        <w:ind w:firstLine="840" w:firstLineChars="3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307C5C40">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（1）作业人员配备合格的劳动防护用品。</w:t>
      </w:r>
    </w:p>
    <w:p w14:paraId="5EECA539">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（2）安设隔音和吸音材料降低噪音。</w:t>
      </w:r>
    </w:p>
    <w:p w14:paraId="2DDCC00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2</w:t>
      </w:r>
      <w:r>
        <w:rPr>
          <w:rFonts w:hint="eastAsia" w:ascii="仿宋" w:hAnsi="仿宋" w:eastAsia="仿宋" w:cs="仿宋"/>
          <w:color w:val="auto"/>
          <w:kern w:val="0"/>
          <w:sz w:val="28"/>
          <w:szCs w:val="28"/>
        </w:rPr>
        <w:t>.风险描述：电缆老化、接头老化、外表破皮短路，有火灾风险。</w:t>
      </w:r>
    </w:p>
    <w:p w14:paraId="77FFAABF">
      <w:pPr>
        <w:keepNext w:val="0"/>
        <w:keepLines w:val="0"/>
        <w:pageBreakBefore w:val="0"/>
        <w:widowControl w:val="0"/>
        <w:kinsoku/>
        <w:wordWrap/>
        <w:overflowPunct/>
        <w:topLinePunct w:val="0"/>
        <w:autoSpaceDE/>
        <w:autoSpaceDN/>
        <w:bidi w:val="0"/>
        <w:spacing w:line="500" w:lineRule="exact"/>
        <w:ind w:firstLine="840" w:firstLineChars="3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5D28103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（1）排查老化电缆，及时更换。</w:t>
      </w:r>
    </w:p>
    <w:p w14:paraId="1FEEE80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（2）排查电缆外表破皮情况，及时冷补处理。</w:t>
      </w:r>
    </w:p>
    <w:p w14:paraId="2C4DC36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（3）排查电缆老化接头，及时处理。</w:t>
      </w:r>
    </w:p>
    <w:p w14:paraId="6E28D4F2">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eastAsia="zh-CN"/>
        </w:rPr>
      </w:pP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及时排查、整改过载保护的整定值</w:t>
      </w:r>
      <w:r>
        <w:rPr>
          <w:rFonts w:hint="eastAsia" w:ascii="仿宋" w:hAnsi="仿宋" w:eastAsia="仿宋" w:cs="仿宋"/>
          <w:color w:val="auto"/>
          <w:kern w:val="0"/>
          <w:sz w:val="28"/>
          <w:szCs w:val="28"/>
          <w:lang w:eastAsia="zh-CN"/>
        </w:rPr>
        <w:t>。</w:t>
      </w:r>
    </w:p>
    <w:p w14:paraId="62061AD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.风险描述：更换电机时，手脚被砸伤风险。</w:t>
      </w:r>
    </w:p>
    <w:p w14:paraId="31E54A92">
      <w:pPr>
        <w:keepNext w:val="0"/>
        <w:keepLines w:val="0"/>
        <w:pageBreakBefore w:val="0"/>
        <w:widowControl w:val="0"/>
        <w:kinsoku/>
        <w:wordWrap/>
        <w:overflowPunct/>
        <w:topLinePunct w:val="0"/>
        <w:autoSpaceDE/>
        <w:autoSpaceDN/>
        <w:bidi w:val="0"/>
        <w:spacing w:line="500" w:lineRule="exact"/>
        <w:ind w:firstLine="840" w:firstLineChars="3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76E09BD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（1）更换电机时，人员严禁站在起吊件下方、严禁站在重物受力状态下可能滑移的方向和行程范围内。</w:t>
      </w:r>
    </w:p>
    <w:p w14:paraId="11404165">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（2）更换电器开关时，断开上一级断路器的开关电源，用与电源电压相适应的验电笔验电，确认无电后，方可操作。</w:t>
      </w:r>
    </w:p>
    <w:p w14:paraId="590C56B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eastAsia="zh-CN"/>
        </w:rPr>
      </w:pP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）电机接线时，用与电源电压相适应的验电笔验电，确认无电后，方可接线。</w:t>
      </w:r>
    </w:p>
    <w:p w14:paraId="02DA950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w:t>
      </w:r>
      <w:r>
        <w:rPr>
          <w:rFonts w:hint="eastAsia" w:ascii="仿宋" w:hAnsi="仿宋" w:eastAsia="仿宋" w:cs="仿宋"/>
          <w:color w:val="auto"/>
          <w:kern w:val="0"/>
          <w:sz w:val="28"/>
          <w:szCs w:val="28"/>
          <w:lang w:eastAsia="zh-CN"/>
        </w:rPr>
        <w:t>注氮车间气体伤害</w:t>
      </w:r>
      <w:r>
        <w:rPr>
          <w:rFonts w:hint="eastAsia" w:ascii="仿宋" w:hAnsi="仿宋" w:eastAsia="仿宋" w:cs="仿宋"/>
          <w:color w:val="auto"/>
          <w:kern w:val="0"/>
          <w:sz w:val="28"/>
          <w:szCs w:val="28"/>
        </w:rPr>
        <w:t>。</w:t>
      </w:r>
    </w:p>
    <w:p w14:paraId="6F935BA0">
      <w:pPr>
        <w:keepNext w:val="0"/>
        <w:keepLines w:val="0"/>
        <w:pageBreakBefore w:val="0"/>
        <w:widowControl w:val="0"/>
        <w:kinsoku/>
        <w:wordWrap/>
        <w:overflowPunct/>
        <w:topLinePunct w:val="0"/>
        <w:autoSpaceDE/>
        <w:autoSpaceDN/>
        <w:bidi w:val="0"/>
        <w:spacing w:line="500" w:lineRule="exact"/>
        <w:ind w:firstLine="840" w:firstLineChars="3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14:paraId="3CE2E95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eastAsia="zh-CN"/>
        </w:rPr>
        <w:t>车间内安设氧气传感器，实行实时监测，确保气体无异常</w:t>
      </w:r>
      <w:r>
        <w:rPr>
          <w:rFonts w:hint="eastAsia" w:ascii="仿宋" w:hAnsi="仿宋" w:eastAsia="仿宋" w:cs="仿宋"/>
          <w:color w:val="auto"/>
          <w:kern w:val="0"/>
          <w:sz w:val="28"/>
          <w:szCs w:val="28"/>
          <w:highlight w:val="none"/>
        </w:rPr>
        <w:t>。</w:t>
      </w:r>
    </w:p>
    <w:p w14:paraId="4625BF3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eastAsia="zh-CN"/>
        </w:rPr>
        <w:t>保持注氮车间内空气流通，紧急出口严禁存放物资</w:t>
      </w:r>
      <w:r>
        <w:rPr>
          <w:rFonts w:hint="eastAsia" w:ascii="仿宋" w:hAnsi="仿宋" w:eastAsia="仿宋" w:cs="仿宋"/>
          <w:color w:val="auto"/>
          <w:kern w:val="0"/>
          <w:sz w:val="28"/>
          <w:szCs w:val="28"/>
          <w:highlight w:val="none"/>
        </w:rPr>
        <w:t>。</w:t>
      </w:r>
    </w:p>
    <w:p w14:paraId="2294CA2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eastAsia="zh-CN"/>
        </w:rPr>
        <w:t>注氮机开启前，必须检查输送管路，确保无泄露现象</w:t>
      </w:r>
      <w:r>
        <w:rPr>
          <w:rFonts w:hint="eastAsia" w:ascii="仿宋" w:hAnsi="仿宋" w:eastAsia="仿宋" w:cs="仿宋"/>
          <w:color w:val="auto"/>
          <w:kern w:val="0"/>
          <w:sz w:val="28"/>
          <w:szCs w:val="28"/>
          <w:highlight w:val="none"/>
        </w:rPr>
        <w:t>。</w:t>
      </w:r>
    </w:p>
    <w:p w14:paraId="6B5EE92A">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14:paraId="5195C84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rPr>
        <w:t>风险描述：</w:t>
      </w:r>
      <w:r>
        <w:rPr>
          <w:rFonts w:hint="eastAsia" w:ascii="仿宋" w:hAnsi="仿宋" w:eastAsia="仿宋" w:cs="仿宋"/>
          <w:color w:val="auto"/>
          <w:kern w:val="0"/>
          <w:sz w:val="28"/>
          <w:szCs w:val="28"/>
          <w:lang w:eastAsia="zh-CN"/>
        </w:rPr>
        <w:t>注氮车间设备异常，未及时发现检修</w:t>
      </w:r>
      <w:r>
        <w:rPr>
          <w:rFonts w:hint="eastAsia" w:ascii="仿宋" w:hAnsi="仿宋" w:eastAsia="仿宋" w:cs="仿宋"/>
          <w:color w:val="auto"/>
          <w:kern w:val="0"/>
          <w:sz w:val="28"/>
          <w:szCs w:val="28"/>
        </w:rPr>
        <w:t>。</w:t>
      </w:r>
    </w:p>
    <w:p w14:paraId="0D545E49">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r>
        <w:rPr>
          <w:rFonts w:hint="eastAsia" w:ascii="仿宋" w:hAnsi="仿宋" w:eastAsia="仿宋" w:cs="仿宋"/>
          <w:color w:val="auto"/>
          <w:kern w:val="0"/>
          <w:sz w:val="28"/>
          <w:szCs w:val="28"/>
          <w:lang w:val="en-US" w:eastAsia="zh-CN"/>
        </w:rPr>
        <w:t>严格执行注氮机维修检查规定，定期对设备进行维修</w:t>
      </w:r>
      <w:r>
        <w:rPr>
          <w:rFonts w:hint="eastAsia" w:ascii="仿宋" w:hAnsi="仿宋" w:eastAsia="仿宋" w:cs="仿宋"/>
          <w:color w:val="auto"/>
          <w:kern w:val="0"/>
          <w:sz w:val="28"/>
          <w:szCs w:val="28"/>
        </w:rPr>
        <w:t>。</w:t>
      </w:r>
    </w:p>
    <w:p w14:paraId="0AE632C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2.</w:t>
      </w:r>
      <w:r>
        <w:rPr>
          <w:rFonts w:hint="eastAsia" w:ascii="仿宋" w:hAnsi="仿宋" w:eastAsia="仿宋" w:cs="仿宋"/>
          <w:color w:val="auto"/>
          <w:kern w:val="0"/>
          <w:sz w:val="28"/>
          <w:szCs w:val="28"/>
        </w:rPr>
        <w:t>风险描述：</w:t>
      </w:r>
      <w:r>
        <w:rPr>
          <w:rFonts w:hint="eastAsia" w:ascii="仿宋" w:hAnsi="仿宋" w:eastAsia="仿宋" w:cs="仿宋"/>
          <w:color w:val="auto"/>
          <w:kern w:val="0"/>
          <w:sz w:val="28"/>
          <w:szCs w:val="28"/>
          <w:lang w:val="en-US" w:eastAsia="zh-CN"/>
        </w:rPr>
        <w:t>注氮机司机操作过程中</w:t>
      </w:r>
      <w:r>
        <w:rPr>
          <w:rFonts w:hint="eastAsia" w:ascii="仿宋" w:hAnsi="仿宋" w:eastAsia="仿宋" w:cs="仿宋"/>
          <w:color w:val="auto"/>
          <w:kern w:val="0"/>
          <w:sz w:val="28"/>
          <w:szCs w:val="28"/>
        </w:rPr>
        <w:t>存在误操作风险。</w:t>
      </w:r>
    </w:p>
    <w:p w14:paraId="3BF10C4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r>
        <w:rPr>
          <w:rFonts w:hint="eastAsia" w:ascii="仿宋" w:hAnsi="仿宋" w:eastAsia="仿宋" w:cs="仿宋"/>
          <w:color w:val="auto"/>
          <w:kern w:val="0"/>
          <w:sz w:val="28"/>
          <w:szCs w:val="28"/>
          <w:lang w:val="en-US" w:eastAsia="zh-CN"/>
        </w:rPr>
        <w:t>注氮机</w:t>
      </w:r>
      <w:r>
        <w:rPr>
          <w:rFonts w:hint="eastAsia" w:ascii="仿宋" w:hAnsi="仿宋" w:eastAsia="仿宋" w:cs="仿宋"/>
          <w:color w:val="auto"/>
          <w:kern w:val="0"/>
          <w:sz w:val="28"/>
          <w:szCs w:val="28"/>
        </w:rPr>
        <w:t>司机要时刻保持精力集中，听清信号，精准操作。</w:t>
      </w:r>
    </w:p>
    <w:p w14:paraId="12A92FFB">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3.风险描</w:t>
      </w:r>
      <w:r>
        <w:rPr>
          <w:rFonts w:hint="eastAsia" w:ascii="仿宋" w:hAnsi="仿宋" w:eastAsia="仿宋" w:cs="仿宋"/>
          <w:color w:val="auto"/>
          <w:kern w:val="0"/>
          <w:sz w:val="28"/>
          <w:szCs w:val="28"/>
        </w:rPr>
        <w:t>述：</w:t>
      </w:r>
      <w:r>
        <w:rPr>
          <w:rFonts w:hint="eastAsia" w:ascii="仿宋" w:hAnsi="仿宋" w:eastAsia="仿宋" w:cs="仿宋"/>
          <w:color w:val="auto"/>
          <w:kern w:val="0"/>
          <w:sz w:val="28"/>
          <w:szCs w:val="28"/>
          <w:lang w:val="en-US" w:eastAsia="zh-CN"/>
        </w:rPr>
        <w:t>机电设备不完好，存在伤人风险。</w:t>
      </w:r>
    </w:p>
    <w:p w14:paraId="08ADEBFB">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r>
        <w:rPr>
          <w:rFonts w:hint="eastAsia" w:ascii="仿宋" w:hAnsi="仿宋" w:eastAsia="仿宋" w:cs="仿宋"/>
          <w:color w:val="auto"/>
          <w:kern w:val="0"/>
          <w:sz w:val="28"/>
          <w:szCs w:val="28"/>
          <w:lang w:val="en-US" w:eastAsia="zh-CN"/>
        </w:rPr>
        <w:t>开机前检查机电设备，确保机电设备完好，不完好不操作，</w:t>
      </w:r>
      <w:r>
        <w:rPr>
          <w:rFonts w:hint="eastAsia" w:ascii="仿宋" w:hAnsi="仿宋" w:eastAsia="仿宋" w:cs="仿宋"/>
          <w:color w:val="auto"/>
          <w:kern w:val="0"/>
          <w:sz w:val="28"/>
          <w:szCs w:val="28"/>
        </w:rPr>
        <w:t>听清信号，精准操作。</w:t>
      </w:r>
    </w:p>
    <w:p w14:paraId="72AA36F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w:t>
      </w:r>
      <w:r>
        <w:rPr>
          <w:rFonts w:hint="eastAsia" w:ascii="仿宋" w:hAnsi="仿宋" w:eastAsia="仿宋" w:cs="仿宋"/>
          <w:color w:val="auto"/>
          <w:kern w:val="0"/>
          <w:sz w:val="28"/>
          <w:szCs w:val="28"/>
          <w:lang w:val="en-US" w:eastAsia="zh-CN"/>
        </w:rPr>
        <w:t>停止工作后，未停电闭锁，控制阀未关闭，存在伤人风险。</w:t>
      </w:r>
    </w:p>
    <w:p w14:paraId="26037F68">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rPr>
        <w:t>管控措施：</w:t>
      </w:r>
      <w:r>
        <w:rPr>
          <w:rFonts w:hint="eastAsia" w:ascii="仿宋" w:hAnsi="仿宋" w:eastAsia="仿宋" w:cs="仿宋"/>
          <w:color w:val="auto"/>
          <w:kern w:val="0"/>
          <w:sz w:val="28"/>
          <w:szCs w:val="28"/>
          <w:lang w:val="en-US" w:eastAsia="zh-CN"/>
        </w:rPr>
        <w:t>注氮机停止运行后，机电设备停电闭锁，及时关闭控制阀。</w:t>
      </w:r>
    </w:p>
    <w:p w14:paraId="0A0D577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（一）</w:t>
      </w:r>
      <w:r>
        <w:rPr>
          <w:rFonts w:hint="eastAsia" w:ascii="仿宋" w:hAnsi="仿宋" w:eastAsia="仿宋" w:cs="仿宋"/>
          <w:b/>
          <w:color w:val="auto"/>
          <w:sz w:val="28"/>
          <w:szCs w:val="28"/>
          <w:highlight w:val="none"/>
        </w:rPr>
        <w:t>开机前检查</w:t>
      </w:r>
    </w:p>
    <w:p w14:paraId="2A1D4CF6">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检查注氮系统各零部件是否完好、仪表、阀门、管路及接头是否有损坏或松动。</w:t>
      </w:r>
    </w:p>
    <w:p w14:paraId="65F524C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通过观油镜检查油气桶中的润滑油是否足够（观油镜上下刻度线之间），不足时应及时补充。</w:t>
      </w:r>
    </w:p>
    <w:p w14:paraId="2150F4A3">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关闭注氮系统上所有手动阀门，将注氮系统电源开关合上。按下空压机“启动”按钮后，显示“排气温度、电机温度、排气压力、设备状态”等参数。</w:t>
      </w:r>
    </w:p>
    <w:p w14:paraId="3E07305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打开球阀，启动冷却干燥机，待空气储气罐压力上升至0.8MPa。</w:t>
      </w:r>
    </w:p>
    <w:p w14:paraId="797B0E2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按下注氮主机“启动”按钮，待氮气储气罐压力上升至0.8MPa后，调节氮气减压阀至所需压力，缓慢打开氮气放空阀，控制氮气流量不大于设备额定流量，随后调整取样流量。</w:t>
      </w:r>
    </w:p>
    <w:p w14:paraId="3F0C9DE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待氮气纯度达到使用要求后，关闭放空阀，缓慢打开氮气出口阀，控制氮气流量不大于设备额定流量。</w:t>
      </w:r>
    </w:p>
    <w:p w14:paraId="3E1942C9">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关机前检查</w:t>
      </w:r>
    </w:p>
    <w:p w14:paraId="2931B6E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1.关闭氮气出口阀，关闭空气储气罐出口阀。</w:t>
      </w:r>
    </w:p>
    <w:p w14:paraId="19E395F4">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2.关闭氮气取样流量计。</w:t>
      </w:r>
    </w:p>
    <w:p w14:paraId="59BFA3C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3.按“停止”按钮，关闭冷却干燥机电源。</w:t>
      </w:r>
    </w:p>
    <w:p w14:paraId="1B0160A8">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4.停止空压机运行。</w:t>
      </w:r>
    </w:p>
    <w:p w14:paraId="6A35142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5.长时间停机或设备维修时，应将电控箱内的电源开关断开。</w:t>
      </w:r>
    </w:p>
    <w:p w14:paraId="27623C04">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4.（二）</w:t>
      </w:r>
      <w:r>
        <w:rPr>
          <w:rFonts w:hint="eastAsia" w:ascii="仿宋" w:hAnsi="仿宋" w:eastAsia="仿宋" w:cs="仿宋"/>
          <w:b/>
          <w:bCs/>
          <w:color w:val="auto"/>
          <w:sz w:val="28"/>
          <w:szCs w:val="28"/>
          <w:highlight w:val="none"/>
        </w:rPr>
        <w:t>单元检查表确认</w:t>
      </w:r>
      <w:r>
        <w:rPr>
          <w:rFonts w:hint="eastAsia" w:ascii="仿宋" w:hAnsi="仿宋" w:eastAsia="仿宋" w:cs="仿宋"/>
          <w:b/>
          <w:bCs/>
          <w:color w:val="auto"/>
          <w:kern w:val="0"/>
          <w:sz w:val="28"/>
          <w:szCs w:val="28"/>
          <w:highlight w:val="none"/>
        </w:rPr>
        <w:t>：</w:t>
      </w:r>
    </w:p>
    <w:p w14:paraId="55A643CC">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（1）水管：水管接头连接牢固能正常使用。</w:t>
      </w:r>
    </w:p>
    <w:p w14:paraId="31A41DC3">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（2）浓度：</w:t>
      </w:r>
      <w:r>
        <w:rPr>
          <w:rFonts w:hint="eastAsia" w:ascii="仿宋" w:hAnsi="仿宋" w:eastAsia="仿宋" w:cs="仿宋"/>
          <w:color w:val="auto"/>
          <w:sz w:val="28"/>
          <w:szCs w:val="28"/>
          <w:highlight w:val="none"/>
          <w:lang w:val="en-US" w:eastAsia="zh-CN"/>
        </w:rPr>
        <w:t>氮气</w:t>
      </w:r>
      <w:r>
        <w:rPr>
          <w:rFonts w:hint="eastAsia" w:ascii="仿宋" w:hAnsi="仿宋" w:eastAsia="仿宋" w:cs="仿宋"/>
          <w:color w:val="auto"/>
          <w:sz w:val="28"/>
          <w:szCs w:val="28"/>
          <w:highlight w:val="none"/>
        </w:rPr>
        <w:t>浓度</w:t>
      </w:r>
      <w:r>
        <w:rPr>
          <w:rFonts w:hint="eastAsia" w:ascii="仿宋" w:hAnsi="仿宋" w:eastAsia="仿宋" w:cs="仿宋"/>
          <w:color w:val="auto"/>
          <w:sz w:val="28"/>
          <w:szCs w:val="28"/>
          <w:highlight w:val="none"/>
          <w:lang w:val="en-US" w:eastAsia="zh-CN"/>
        </w:rPr>
        <w:t>不低于97</w:t>
      </w:r>
      <w:r>
        <w:rPr>
          <w:rFonts w:hint="eastAsia" w:ascii="仿宋" w:hAnsi="仿宋" w:eastAsia="仿宋" w:cs="仿宋"/>
          <w:color w:val="auto"/>
          <w:sz w:val="28"/>
          <w:szCs w:val="28"/>
          <w:highlight w:val="none"/>
        </w:rPr>
        <w:t>%。</w:t>
      </w:r>
    </w:p>
    <w:p w14:paraId="19582849">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（3）电机：电机完好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联轴节：联轴节转动灵活</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护罩：固定牢靠</w:t>
      </w:r>
      <w:r>
        <w:rPr>
          <w:rFonts w:hint="eastAsia" w:ascii="仿宋" w:hAnsi="仿宋" w:eastAsia="仿宋" w:cs="仿宋"/>
          <w:color w:val="auto"/>
          <w:sz w:val="28"/>
          <w:szCs w:val="28"/>
          <w:highlight w:val="none"/>
          <w:lang w:eastAsia="zh-CN"/>
        </w:rPr>
        <w:t>。</w:t>
      </w:r>
    </w:p>
    <w:p w14:paraId="6001B5A5">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（4）油质：无杂质，润滑良好；油量：油池和油量充足清洁</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油漆桶</w:t>
      </w:r>
      <w:r>
        <w:rPr>
          <w:rFonts w:hint="eastAsia" w:ascii="仿宋" w:hAnsi="仿宋" w:eastAsia="仿宋" w:cs="仿宋"/>
          <w:color w:val="auto"/>
          <w:sz w:val="28"/>
          <w:szCs w:val="28"/>
          <w:highlight w:val="none"/>
        </w:rPr>
        <w:t>的油位不低于最底刻度线，密封良好无漏油现象。</w:t>
      </w:r>
    </w:p>
    <w:p w14:paraId="2C27FE30">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管路：</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管路连接牢固。</w:t>
      </w:r>
    </w:p>
    <w:p w14:paraId="37CA3109">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（6）压力表：压力表指针灵活，无破损。</w:t>
      </w:r>
    </w:p>
    <w:p w14:paraId="44A44F46">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五、</w:t>
      </w:r>
      <w:r>
        <w:rPr>
          <w:rFonts w:hint="eastAsia" w:ascii="仿宋" w:hAnsi="仿宋" w:eastAsia="仿宋" w:cs="仿宋"/>
          <w:b/>
          <w:color w:val="auto"/>
          <w:sz w:val="28"/>
          <w:szCs w:val="28"/>
          <w:highlight w:val="none"/>
          <w:lang w:val="en-US" w:eastAsia="zh-CN"/>
        </w:rPr>
        <w:t>注氮机</w:t>
      </w:r>
      <w:r>
        <w:rPr>
          <w:rFonts w:hint="eastAsia" w:ascii="仿宋" w:hAnsi="仿宋" w:eastAsia="仿宋" w:cs="仿宋"/>
          <w:b/>
          <w:color w:val="auto"/>
          <w:sz w:val="28"/>
          <w:szCs w:val="28"/>
          <w:highlight w:val="none"/>
        </w:rPr>
        <w:t>司机正规操作</w:t>
      </w:r>
    </w:p>
    <w:p w14:paraId="4F870084">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val="en-US" w:eastAsia="zh-CN"/>
        </w:rPr>
        <w:t>注氮机</w:t>
      </w:r>
      <w:r>
        <w:rPr>
          <w:rFonts w:hint="eastAsia" w:ascii="仿宋" w:hAnsi="仿宋" w:eastAsia="仿宋" w:cs="仿宋"/>
          <w:b/>
          <w:color w:val="auto"/>
          <w:sz w:val="28"/>
          <w:szCs w:val="28"/>
          <w:highlight w:val="none"/>
        </w:rPr>
        <w:t>司机操作顺序：</w:t>
      </w:r>
    </w:p>
    <w:p w14:paraId="49FA11FF">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试运转→检查处理问题→正式启动→运转→停机。</w:t>
      </w:r>
    </w:p>
    <w:p w14:paraId="506C4082">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w:t>
      </w:r>
      <w:r>
        <w:rPr>
          <w:rFonts w:hint="eastAsia" w:ascii="仿宋" w:hAnsi="仿宋" w:eastAsia="仿宋" w:cs="仿宋"/>
          <w:b/>
          <w:color w:val="auto"/>
          <w:sz w:val="28"/>
          <w:szCs w:val="28"/>
          <w:highlight w:val="none"/>
          <w:lang w:val="en-US" w:eastAsia="zh-CN"/>
        </w:rPr>
        <w:t>注氮机</w:t>
      </w:r>
      <w:r>
        <w:rPr>
          <w:rFonts w:hint="eastAsia" w:ascii="仿宋" w:hAnsi="仿宋" w:eastAsia="仿宋" w:cs="仿宋"/>
          <w:b/>
          <w:color w:val="auto"/>
          <w:sz w:val="28"/>
          <w:szCs w:val="28"/>
          <w:highlight w:val="none"/>
        </w:rPr>
        <w:t>司机正规操作：</w:t>
      </w:r>
    </w:p>
    <w:p w14:paraId="187D3960">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1.试运转：开</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前必须发出开</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信号，启动电动机，使</w:t>
      </w:r>
      <w:r>
        <w:rPr>
          <w:rFonts w:hint="eastAsia" w:ascii="仿宋" w:hAnsi="仿宋" w:eastAsia="仿宋" w:cs="仿宋"/>
          <w:color w:val="auto"/>
          <w:sz w:val="28"/>
          <w:szCs w:val="28"/>
          <w:highlight w:val="none"/>
          <w:lang w:val="en-US" w:eastAsia="zh-CN"/>
        </w:rPr>
        <w:t>氮气浓度</w:t>
      </w:r>
      <w:r>
        <w:rPr>
          <w:rFonts w:hint="eastAsia" w:ascii="仿宋" w:hAnsi="仿宋" w:eastAsia="仿宋" w:cs="仿宋"/>
          <w:color w:val="auto"/>
          <w:sz w:val="28"/>
          <w:szCs w:val="28"/>
          <w:highlight w:val="none"/>
        </w:rPr>
        <w:t>升到</w:t>
      </w:r>
      <w:r>
        <w:rPr>
          <w:rFonts w:hint="eastAsia" w:ascii="仿宋" w:hAnsi="仿宋" w:eastAsia="仿宋" w:cs="仿宋"/>
          <w:color w:val="auto"/>
          <w:sz w:val="28"/>
          <w:szCs w:val="28"/>
          <w:highlight w:val="none"/>
          <w:lang w:val="en-US" w:eastAsia="zh-CN"/>
        </w:rPr>
        <w:t>97%以上</w:t>
      </w:r>
      <w:r>
        <w:rPr>
          <w:rFonts w:hint="eastAsia" w:ascii="仿宋" w:hAnsi="仿宋" w:eastAsia="仿宋" w:cs="仿宋"/>
          <w:color w:val="auto"/>
          <w:sz w:val="28"/>
          <w:szCs w:val="28"/>
          <w:highlight w:val="none"/>
        </w:rPr>
        <w:t>。</w:t>
      </w:r>
    </w:p>
    <w:p w14:paraId="562219DF">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2.检查处理问题:</w:t>
      </w:r>
    </w:p>
    <w:p w14:paraId="3E11EBD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检查处理：</w:t>
      </w:r>
    </w:p>
    <w:p w14:paraId="7D9E9F75">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①异声异味。</w:t>
      </w:r>
    </w:p>
    <w:p w14:paraId="67C289B8">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②温度超过规定。</w:t>
      </w:r>
    </w:p>
    <w:p w14:paraId="12FF4FE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③压力表指示压力不正常。</w:t>
      </w:r>
    </w:p>
    <w:p w14:paraId="620658C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④控制阀失效、失控。</w:t>
      </w:r>
    </w:p>
    <w:p w14:paraId="3D506BD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⑤过滤器损坏或被堵不能过滤。</w:t>
      </w:r>
    </w:p>
    <w:p w14:paraId="61BB10B3">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⑥</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管路破裂、脱开，大量泄</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w:t>
      </w:r>
    </w:p>
    <w:p w14:paraId="60F29806">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3.正式启动：起动电动机,</w:t>
      </w:r>
      <w:r>
        <w:rPr>
          <w:rFonts w:hint="eastAsia" w:ascii="仿宋" w:hAnsi="仿宋" w:eastAsia="仿宋" w:cs="仿宋"/>
          <w:color w:val="auto"/>
          <w:sz w:val="28"/>
          <w:szCs w:val="28"/>
          <w:highlight w:val="none"/>
          <w:lang w:val="en-US" w:eastAsia="zh-CN"/>
        </w:rPr>
        <w:t>氮气浓度大于97%以上时，</w:t>
      </w:r>
      <w:r>
        <w:rPr>
          <w:rFonts w:hint="eastAsia" w:ascii="仿宋" w:hAnsi="仿宋" w:eastAsia="仿宋" w:cs="仿宋"/>
          <w:color w:val="auto"/>
          <w:sz w:val="28"/>
          <w:szCs w:val="28"/>
          <w:highlight w:val="none"/>
        </w:rPr>
        <w:t>慢慢打开截止阀，向工作面</w:t>
      </w:r>
      <w:r>
        <w:rPr>
          <w:rFonts w:hint="eastAsia" w:ascii="仿宋" w:hAnsi="仿宋" w:eastAsia="仿宋" w:cs="仿宋"/>
          <w:color w:val="auto"/>
          <w:sz w:val="28"/>
          <w:szCs w:val="28"/>
          <w:highlight w:val="none"/>
          <w:lang w:val="en-US" w:eastAsia="zh-CN"/>
        </w:rPr>
        <w:t>采空区注氮</w:t>
      </w:r>
      <w:r>
        <w:rPr>
          <w:rFonts w:hint="eastAsia" w:ascii="仿宋" w:hAnsi="仿宋" w:eastAsia="仿宋" w:cs="仿宋"/>
          <w:color w:val="auto"/>
          <w:sz w:val="28"/>
          <w:szCs w:val="28"/>
          <w:highlight w:val="none"/>
        </w:rPr>
        <w:t>。</w:t>
      </w:r>
    </w:p>
    <w:p w14:paraId="06E93DD5">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4.运转：运转过程中应注意观察各种仪表的显示情况，机器声音、温度是否正常，</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是否平稳、液位保持在规定范围内、液面无污染物，密封是否良好。发现问题，应立即停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w:t>
      </w:r>
    </w:p>
    <w:p w14:paraId="66CD20B8">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5．停机：</w:t>
      </w:r>
      <w:r>
        <w:rPr>
          <w:rFonts w:hint="eastAsia" w:ascii="仿宋" w:hAnsi="仿宋" w:eastAsia="仿宋" w:cs="仿宋"/>
          <w:color w:val="auto"/>
          <w:sz w:val="28"/>
          <w:szCs w:val="28"/>
          <w:highlight w:val="none"/>
          <w:lang w:val="en-US" w:eastAsia="zh-CN"/>
        </w:rPr>
        <w:t>停机闭锁</w:t>
      </w:r>
      <w:r>
        <w:rPr>
          <w:rFonts w:hint="eastAsia" w:ascii="仿宋" w:hAnsi="仿宋" w:eastAsia="仿宋" w:cs="仿宋"/>
          <w:color w:val="auto"/>
          <w:sz w:val="28"/>
          <w:szCs w:val="28"/>
          <w:highlight w:val="none"/>
        </w:rPr>
        <w:t>。</w:t>
      </w:r>
    </w:p>
    <w:p w14:paraId="550EE82A">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val="en-US" w:eastAsia="zh-CN"/>
        </w:rPr>
        <w:t>注氮机</w:t>
      </w:r>
      <w:r>
        <w:rPr>
          <w:rFonts w:hint="eastAsia" w:ascii="仿宋" w:hAnsi="仿宋" w:eastAsia="仿宋" w:cs="仿宋"/>
          <w:b/>
          <w:color w:val="auto"/>
          <w:sz w:val="28"/>
          <w:szCs w:val="28"/>
          <w:highlight w:val="none"/>
        </w:rPr>
        <w:t>司机操作过程中的安全注意事项：</w:t>
      </w:r>
    </w:p>
    <w:p w14:paraId="47863579">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（一）开</w:t>
      </w:r>
      <w:r>
        <w:rPr>
          <w:rFonts w:hint="eastAsia" w:ascii="仿宋" w:hAnsi="仿宋" w:eastAsia="仿宋" w:cs="仿宋"/>
          <w:b/>
          <w:color w:val="auto"/>
          <w:sz w:val="28"/>
          <w:szCs w:val="28"/>
          <w:highlight w:val="none"/>
          <w:lang w:val="en-US" w:eastAsia="zh-CN"/>
        </w:rPr>
        <w:t>机</w:t>
      </w:r>
    </w:p>
    <w:p w14:paraId="01CAC8BE">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周围有无人员、异物</w:t>
      </w:r>
      <w:r>
        <w:rPr>
          <w:rFonts w:hint="eastAsia" w:ascii="仿宋" w:hAnsi="仿宋" w:eastAsia="仿宋" w:cs="仿宋"/>
          <w:color w:val="auto"/>
          <w:kern w:val="0"/>
          <w:sz w:val="28"/>
          <w:szCs w:val="28"/>
          <w:highlight w:val="none"/>
          <w:lang w:eastAsia="zh-CN"/>
        </w:rPr>
        <w:t>。</w:t>
      </w:r>
    </w:p>
    <w:p w14:paraId="0011200C">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default" w:ascii="仿宋" w:hAnsi="仿宋" w:eastAsia="仿宋" w:cs="仿宋"/>
          <w:b/>
          <w:color w:val="auto"/>
          <w:sz w:val="28"/>
          <w:szCs w:val="28"/>
          <w:highlight w:val="none"/>
          <w:lang w:val="en-US"/>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w:t>
      </w:r>
      <w:r>
        <w:rPr>
          <w:rFonts w:hint="eastAsia" w:ascii="仿宋" w:hAnsi="仿宋" w:eastAsia="仿宋" w:cs="仿宋"/>
          <w:color w:val="auto"/>
          <w:kern w:val="0"/>
          <w:sz w:val="28"/>
          <w:szCs w:val="28"/>
          <w:highlight w:val="none"/>
          <w:lang w:val="en-US" w:eastAsia="zh-CN"/>
        </w:rPr>
        <w:t>注氮管路、空压机等异常声音。</w:t>
      </w:r>
    </w:p>
    <w:p w14:paraId="57523510">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lang w:val="en-US" w:eastAsia="zh-CN"/>
        </w:rPr>
        <w:t>3.</w:t>
      </w:r>
      <w:r>
        <w:rPr>
          <w:rFonts w:hint="eastAsia" w:ascii="仿宋" w:hAnsi="仿宋" w:eastAsia="仿宋" w:cs="仿宋"/>
          <w:b/>
          <w:color w:val="auto"/>
          <w:sz w:val="28"/>
          <w:szCs w:val="28"/>
          <w:highlight w:val="none"/>
        </w:rPr>
        <w:t>嗅异味：</w:t>
      </w:r>
      <w:r>
        <w:rPr>
          <w:rFonts w:hint="eastAsia" w:ascii="仿宋" w:hAnsi="仿宋" w:eastAsia="仿宋" w:cs="仿宋"/>
          <w:color w:val="auto"/>
          <w:kern w:val="0"/>
          <w:sz w:val="28"/>
          <w:szCs w:val="28"/>
          <w:highlight w:val="none"/>
        </w:rPr>
        <w:t>闻气味异常</w:t>
      </w:r>
      <w:r>
        <w:rPr>
          <w:rFonts w:hint="eastAsia" w:ascii="仿宋" w:hAnsi="仿宋" w:eastAsia="仿宋" w:cs="仿宋"/>
          <w:color w:val="auto"/>
          <w:kern w:val="0"/>
          <w:sz w:val="28"/>
          <w:szCs w:val="28"/>
          <w:highlight w:val="none"/>
          <w:lang w:eastAsia="zh-CN"/>
        </w:rPr>
        <w:t>。</w:t>
      </w:r>
    </w:p>
    <w:p w14:paraId="06336274">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color w:val="auto"/>
          <w:kern w:val="0"/>
          <w:sz w:val="28"/>
          <w:szCs w:val="28"/>
          <w:highlight w:val="none"/>
          <w:lang w:val="en-US" w:eastAsia="zh-CN"/>
        </w:rPr>
      </w:pPr>
      <w:r>
        <w:rPr>
          <w:rFonts w:hint="eastAsia" w:ascii="仿宋" w:hAnsi="仿宋" w:eastAsia="仿宋" w:cs="仿宋"/>
          <w:b/>
          <w:color w:val="auto"/>
          <w:sz w:val="28"/>
          <w:szCs w:val="28"/>
          <w:highlight w:val="none"/>
          <w:lang w:val="en-US" w:eastAsia="zh-CN"/>
        </w:rPr>
        <w:t>4.</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lang w:val="en-US" w:eastAsia="zh-CN"/>
        </w:rPr>
        <w:t>压力超过0.8MPa；氮气浓度不低于97%。</w:t>
      </w:r>
    </w:p>
    <w:p w14:paraId="6033324A">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七、全部注意事项</w:t>
      </w:r>
    </w:p>
    <w:p w14:paraId="34F5B96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▲1.检修</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站必须停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；修理、更换主要供</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管路时必须关闭主管路截止阀，不得在井下拆检各种压力控制元件，严禁带压更换</w:t>
      </w:r>
      <w:r>
        <w:rPr>
          <w:rFonts w:hint="eastAsia" w:ascii="仿宋" w:hAnsi="仿宋" w:eastAsia="仿宋" w:cs="仿宋"/>
          <w:color w:val="auto"/>
          <w:sz w:val="28"/>
          <w:szCs w:val="28"/>
          <w:highlight w:val="none"/>
          <w:lang w:val="en-US" w:eastAsia="zh-CN"/>
        </w:rPr>
        <w:t>元</w:t>
      </w:r>
      <w:r>
        <w:rPr>
          <w:rFonts w:hint="eastAsia" w:ascii="仿宋" w:hAnsi="仿宋" w:eastAsia="仿宋" w:cs="仿宋"/>
          <w:color w:val="auto"/>
          <w:sz w:val="28"/>
          <w:szCs w:val="28"/>
          <w:highlight w:val="none"/>
        </w:rPr>
        <w:t>件。</w:t>
      </w:r>
    </w:p>
    <w:p w14:paraId="6C1E4B0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▲2.严禁擅自打开卸载阀、安全阀等部位的铅封和调整部件的动作压力。</w:t>
      </w:r>
    </w:p>
    <w:p w14:paraId="4D298F7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▲3在正常情况下，严禁关闭</w:t>
      </w:r>
      <w:r>
        <w:rPr>
          <w:rFonts w:hint="eastAsia" w:ascii="仿宋" w:hAnsi="仿宋" w:eastAsia="仿宋" w:cs="仿宋"/>
          <w:color w:val="auto"/>
          <w:sz w:val="28"/>
          <w:szCs w:val="28"/>
          <w:highlight w:val="none"/>
          <w:lang w:val="en-US" w:eastAsia="zh-CN"/>
        </w:rPr>
        <w:t>空压机</w:t>
      </w:r>
      <w:r>
        <w:rPr>
          <w:rFonts w:hint="eastAsia" w:ascii="仿宋" w:hAnsi="仿宋" w:eastAsia="仿宋" w:cs="仿宋"/>
          <w:color w:val="auto"/>
          <w:sz w:val="28"/>
          <w:szCs w:val="28"/>
          <w:highlight w:val="none"/>
        </w:rPr>
        <w:t>的</w:t>
      </w:r>
      <w:r>
        <w:rPr>
          <w:rFonts w:hint="eastAsia" w:ascii="仿宋" w:hAnsi="仿宋" w:eastAsia="仿宋" w:cs="仿宋"/>
          <w:color w:val="auto"/>
          <w:sz w:val="28"/>
          <w:szCs w:val="28"/>
          <w:highlight w:val="none"/>
          <w:lang w:val="en-US" w:eastAsia="zh-CN"/>
        </w:rPr>
        <w:t>冷却水</w:t>
      </w:r>
      <w:r>
        <w:rPr>
          <w:rFonts w:hint="eastAsia" w:ascii="仿宋" w:hAnsi="仿宋" w:eastAsia="仿宋" w:cs="仿宋"/>
          <w:color w:val="auto"/>
          <w:sz w:val="28"/>
          <w:szCs w:val="28"/>
          <w:highlight w:val="none"/>
        </w:rPr>
        <w:t>截止阀。</w:t>
      </w:r>
    </w:p>
    <w:p w14:paraId="264E00E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▲4.运转过程中应注意观察各种仪表的显示情况，机器声音、温度是否正常，</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是否平稳、</w:t>
      </w:r>
      <w:r>
        <w:rPr>
          <w:rFonts w:hint="eastAsia" w:ascii="仿宋" w:hAnsi="仿宋" w:eastAsia="仿宋" w:cs="仿宋"/>
          <w:color w:val="auto"/>
          <w:sz w:val="28"/>
          <w:szCs w:val="28"/>
          <w:highlight w:val="none"/>
          <w:lang w:val="en-US" w:eastAsia="zh-CN"/>
        </w:rPr>
        <w:t>冷却液</w:t>
      </w:r>
      <w:r>
        <w:rPr>
          <w:rFonts w:hint="eastAsia" w:ascii="仿宋" w:hAnsi="仿宋" w:eastAsia="仿宋" w:cs="仿宋"/>
          <w:color w:val="auto"/>
          <w:sz w:val="28"/>
          <w:szCs w:val="28"/>
          <w:highlight w:val="none"/>
        </w:rPr>
        <w:t>液位保持在规定范围内、液面无污染物，密封是否良好。发现问题，应及时停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处理。</w:t>
      </w:r>
    </w:p>
    <w:p w14:paraId="25330FD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w:t>
      </w:r>
    </w:p>
    <w:p w14:paraId="1053EDA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（1）异声异味</w:t>
      </w:r>
      <w:r>
        <w:rPr>
          <w:rFonts w:hint="eastAsia" w:ascii="仿宋" w:hAnsi="仿宋" w:eastAsia="仿宋" w:cs="仿宋"/>
          <w:color w:val="auto"/>
          <w:sz w:val="28"/>
          <w:szCs w:val="28"/>
          <w:highlight w:val="none"/>
          <w:lang w:eastAsia="zh-CN"/>
        </w:rPr>
        <w:t>；</w:t>
      </w:r>
    </w:p>
    <w:p w14:paraId="1F4E6705">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（2）温度超过规定</w:t>
      </w:r>
      <w:r>
        <w:rPr>
          <w:rFonts w:hint="eastAsia" w:ascii="仿宋" w:hAnsi="仿宋" w:eastAsia="仿宋" w:cs="仿宋"/>
          <w:color w:val="auto"/>
          <w:sz w:val="28"/>
          <w:szCs w:val="28"/>
          <w:highlight w:val="none"/>
          <w:lang w:eastAsia="zh-CN"/>
        </w:rPr>
        <w:t>；</w:t>
      </w:r>
    </w:p>
    <w:p w14:paraId="1C6EB97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（3）压力表指示压力不正常</w:t>
      </w:r>
      <w:r>
        <w:rPr>
          <w:rFonts w:hint="eastAsia" w:ascii="仿宋" w:hAnsi="仿宋" w:eastAsia="仿宋" w:cs="仿宋"/>
          <w:color w:val="auto"/>
          <w:sz w:val="28"/>
          <w:szCs w:val="28"/>
          <w:highlight w:val="none"/>
          <w:lang w:eastAsia="zh-CN"/>
        </w:rPr>
        <w:t>；</w:t>
      </w:r>
    </w:p>
    <w:p w14:paraId="2B92477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（4）控制阀失效、失控</w:t>
      </w:r>
      <w:r>
        <w:rPr>
          <w:rFonts w:hint="eastAsia" w:ascii="仿宋" w:hAnsi="仿宋" w:eastAsia="仿宋" w:cs="仿宋"/>
          <w:color w:val="auto"/>
          <w:sz w:val="28"/>
          <w:szCs w:val="28"/>
          <w:highlight w:val="none"/>
          <w:lang w:eastAsia="zh-CN"/>
        </w:rPr>
        <w:t>；</w:t>
      </w:r>
    </w:p>
    <w:p w14:paraId="7540B66C">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（5）过滤器损坏或被堵不能过滤</w:t>
      </w:r>
      <w:r>
        <w:rPr>
          <w:rFonts w:hint="eastAsia" w:ascii="仿宋" w:hAnsi="仿宋" w:eastAsia="仿宋" w:cs="仿宋"/>
          <w:color w:val="auto"/>
          <w:sz w:val="28"/>
          <w:szCs w:val="28"/>
          <w:highlight w:val="none"/>
          <w:lang w:eastAsia="zh-CN"/>
        </w:rPr>
        <w:t>；</w:t>
      </w:r>
    </w:p>
    <w:p w14:paraId="1CE63F5F">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管路破裂、脱开，大量泄液。</w:t>
      </w:r>
    </w:p>
    <w:p w14:paraId="2D9D6CCB">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5.发现</w:t>
      </w:r>
      <w:r>
        <w:rPr>
          <w:rFonts w:hint="eastAsia" w:ascii="仿宋" w:hAnsi="仿宋" w:eastAsia="仿宋" w:cs="仿宋"/>
          <w:color w:val="auto"/>
          <w:sz w:val="28"/>
          <w:szCs w:val="28"/>
          <w:highlight w:val="none"/>
          <w:lang w:val="en-US" w:eastAsia="zh-CN"/>
        </w:rPr>
        <w:t>空压机</w:t>
      </w:r>
      <w:r>
        <w:rPr>
          <w:rFonts w:hint="eastAsia" w:ascii="仿宋" w:hAnsi="仿宋" w:eastAsia="仿宋" w:cs="仿宋"/>
          <w:color w:val="auto"/>
          <w:sz w:val="28"/>
          <w:szCs w:val="28"/>
          <w:highlight w:val="none"/>
        </w:rPr>
        <w:t>和</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处于非水平稳固状态时，应立即汇报、调整、处理。</w:t>
      </w:r>
    </w:p>
    <w:p w14:paraId="61FBC759">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6.开关、电动机、按钮、接线盒等电气设备无法避开淋水时，必须妥善遮盖。</w:t>
      </w:r>
    </w:p>
    <w:p w14:paraId="1ED79C7C">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需加油时,采用同一牌号、同一厂家生产的</w:t>
      </w:r>
      <w:r>
        <w:rPr>
          <w:rFonts w:hint="eastAsia" w:ascii="仿宋" w:hAnsi="仿宋" w:eastAsia="仿宋" w:cs="仿宋"/>
          <w:color w:val="auto"/>
          <w:sz w:val="28"/>
          <w:szCs w:val="28"/>
          <w:highlight w:val="none"/>
          <w:lang w:val="en-US" w:eastAsia="zh-CN"/>
        </w:rPr>
        <w:t>冷却液</w:t>
      </w:r>
      <w:r>
        <w:rPr>
          <w:rFonts w:hint="eastAsia" w:ascii="仿宋" w:hAnsi="仿宋" w:eastAsia="仿宋" w:cs="仿宋"/>
          <w:color w:val="auto"/>
          <w:sz w:val="28"/>
          <w:szCs w:val="28"/>
          <w:highlight w:val="none"/>
        </w:rPr>
        <w:t>,要专桶专用。</w:t>
      </w:r>
    </w:p>
    <w:p w14:paraId="3869D74B">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8、事故停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和收工停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时都应首先打开手动卸载阀，使</w:t>
      </w:r>
      <w:r>
        <w:rPr>
          <w:rFonts w:hint="eastAsia" w:ascii="仿宋" w:hAnsi="仿宋" w:eastAsia="仿宋" w:cs="仿宋"/>
          <w:color w:val="auto"/>
          <w:sz w:val="28"/>
          <w:szCs w:val="28"/>
          <w:highlight w:val="none"/>
          <w:lang w:val="en-US" w:eastAsia="zh-CN"/>
        </w:rPr>
        <w:t>空压机</w:t>
      </w:r>
      <w:r>
        <w:rPr>
          <w:rFonts w:hint="eastAsia" w:ascii="仿宋" w:hAnsi="仿宋" w:eastAsia="仿宋" w:cs="仿宋"/>
          <w:color w:val="auto"/>
          <w:sz w:val="28"/>
          <w:szCs w:val="28"/>
          <w:highlight w:val="none"/>
        </w:rPr>
        <w:t>空载运行，然后再按</w:t>
      </w:r>
      <w:r>
        <w:rPr>
          <w:rFonts w:hint="eastAsia" w:ascii="仿宋" w:hAnsi="仿宋" w:eastAsia="仿宋" w:cs="仿宋"/>
          <w:color w:val="auto"/>
          <w:sz w:val="28"/>
          <w:szCs w:val="28"/>
          <w:highlight w:val="none"/>
          <w:lang w:val="en-US" w:eastAsia="zh-CN"/>
        </w:rPr>
        <w:t>停机</w:t>
      </w:r>
      <w:r>
        <w:rPr>
          <w:rFonts w:hint="eastAsia" w:ascii="仿宋" w:hAnsi="仿宋" w:eastAsia="仿宋" w:cs="仿宋"/>
          <w:color w:val="auto"/>
          <w:sz w:val="28"/>
          <w:szCs w:val="28"/>
          <w:highlight w:val="none"/>
        </w:rPr>
        <w:t>的停止按钮，将控制开关手把扳到断电位置，并切断电源。</w:t>
      </w:r>
    </w:p>
    <w:p w14:paraId="18590B40">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八、停机后确认</w:t>
      </w:r>
    </w:p>
    <w:p w14:paraId="590621FE">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1.停电闭锁：已闭锁</w:t>
      </w:r>
      <w:r>
        <w:rPr>
          <w:rFonts w:hint="eastAsia" w:ascii="仿宋" w:hAnsi="仿宋" w:eastAsia="仿宋" w:cs="仿宋"/>
          <w:color w:val="auto"/>
          <w:sz w:val="28"/>
          <w:szCs w:val="28"/>
          <w:highlight w:val="none"/>
          <w:lang w:eastAsia="zh-CN"/>
        </w:rPr>
        <w:t>。</w:t>
      </w:r>
    </w:p>
    <w:p w14:paraId="7560901F">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2.控制阀：已关闭</w:t>
      </w:r>
      <w:r>
        <w:rPr>
          <w:rFonts w:hint="eastAsia" w:ascii="仿宋" w:hAnsi="仿宋" w:eastAsia="仿宋" w:cs="仿宋"/>
          <w:color w:val="auto"/>
          <w:sz w:val="28"/>
          <w:szCs w:val="28"/>
          <w:highlight w:val="none"/>
          <w:lang w:eastAsia="zh-CN"/>
        </w:rPr>
        <w:t>。</w:t>
      </w:r>
    </w:p>
    <w:p w14:paraId="2C4C5F10">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九、事故案例教育</w:t>
      </w:r>
    </w:p>
    <w:p w14:paraId="07F33638">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21DF7E02">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2011年8月20日夜班4时左右，某矿1233综采工作面</w:t>
      </w:r>
      <w:r>
        <w:rPr>
          <w:rFonts w:hint="eastAsia" w:ascii="仿宋" w:hAnsi="仿宋" w:eastAsia="仿宋" w:cs="仿宋"/>
          <w:color w:val="auto"/>
          <w:sz w:val="28"/>
          <w:szCs w:val="28"/>
          <w:highlight w:val="none"/>
          <w:lang w:val="en-US" w:eastAsia="zh-CN"/>
        </w:rPr>
        <w:t>联络巷</w:t>
      </w:r>
      <w:r>
        <w:rPr>
          <w:rFonts w:hint="eastAsia" w:ascii="仿宋" w:hAnsi="仿宋" w:eastAsia="仿宋" w:cs="仿宋"/>
          <w:color w:val="auto"/>
          <w:sz w:val="28"/>
          <w:szCs w:val="28"/>
          <w:highlight w:val="none"/>
        </w:rPr>
        <w:t>维修工王某更换完43</w:t>
      </w:r>
      <w:r>
        <w:rPr>
          <w:rFonts w:hint="eastAsia" w:ascii="仿宋" w:hAnsi="仿宋" w:eastAsia="仿宋" w:cs="仿宋"/>
          <w:color w:val="auto"/>
          <w:sz w:val="28"/>
          <w:szCs w:val="28"/>
          <w:highlight w:val="none"/>
          <w:vertAlign w:val="superscript"/>
        </w:rPr>
        <w:t>#</w:t>
      </w:r>
      <w:r>
        <w:rPr>
          <w:rFonts w:hint="eastAsia" w:ascii="仿宋" w:hAnsi="仿宋" w:eastAsia="仿宋" w:cs="仿宋"/>
          <w:color w:val="auto"/>
          <w:sz w:val="28"/>
          <w:szCs w:val="28"/>
          <w:highlight w:val="none"/>
          <w:lang w:val="en-US" w:eastAsia="zh-CN"/>
        </w:rPr>
        <w:t>注氮管路</w:t>
      </w:r>
      <w:r>
        <w:rPr>
          <w:rFonts w:hint="eastAsia" w:ascii="仿宋" w:hAnsi="仿宋" w:eastAsia="仿宋" w:cs="仿宋"/>
          <w:color w:val="auto"/>
          <w:sz w:val="28"/>
          <w:szCs w:val="28"/>
          <w:highlight w:val="none"/>
        </w:rPr>
        <w:t>后，进行</w:t>
      </w:r>
      <w:r>
        <w:rPr>
          <w:rFonts w:hint="eastAsia" w:ascii="仿宋" w:hAnsi="仿宋" w:eastAsia="仿宋" w:cs="仿宋"/>
          <w:color w:val="auto"/>
          <w:sz w:val="28"/>
          <w:szCs w:val="28"/>
          <w:highlight w:val="none"/>
          <w:lang w:val="en-US" w:eastAsia="zh-CN"/>
        </w:rPr>
        <w:t>打压</w:t>
      </w:r>
      <w:r>
        <w:rPr>
          <w:rFonts w:hint="eastAsia" w:ascii="仿宋" w:hAnsi="仿宋" w:eastAsia="仿宋" w:cs="仿宋"/>
          <w:color w:val="auto"/>
          <w:sz w:val="28"/>
          <w:szCs w:val="28"/>
          <w:highlight w:val="none"/>
        </w:rPr>
        <w:t>送</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试验，因</w:t>
      </w:r>
      <w:r>
        <w:rPr>
          <w:rFonts w:hint="eastAsia" w:ascii="仿宋" w:hAnsi="仿宋" w:eastAsia="仿宋" w:cs="仿宋"/>
          <w:color w:val="auto"/>
          <w:sz w:val="28"/>
          <w:szCs w:val="28"/>
          <w:highlight w:val="none"/>
          <w:lang w:val="en-US" w:eastAsia="zh-CN"/>
        </w:rPr>
        <w:t>注氮管路</w:t>
      </w:r>
      <w:r>
        <w:rPr>
          <w:rFonts w:hint="eastAsia" w:ascii="仿宋" w:hAnsi="仿宋" w:eastAsia="仿宋" w:cs="仿宋"/>
          <w:color w:val="auto"/>
          <w:sz w:val="28"/>
          <w:szCs w:val="28"/>
          <w:highlight w:val="none"/>
        </w:rPr>
        <w:t>连接不当，接头鼓开，</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管打在维修工王某的右脸部，造成鼻子多处骨折，泪小管、鼻泪管断裂，颅底骨折，脑挫裂伤。</w:t>
      </w:r>
    </w:p>
    <w:p w14:paraId="782535B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35FBACB0">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14:paraId="36D8C44F">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维修工王某操作不规范，在未接好</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w:t>
      </w:r>
      <w:r>
        <w:rPr>
          <w:rFonts w:hint="eastAsia" w:ascii="仿宋" w:hAnsi="仿宋" w:eastAsia="仿宋" w:cs="仿宋"/>
          <w:color w:val="auto"/>
          <w:sz w:val="28"/>
          <w:szCs w:val="28"/>
          <w:highlight w:val="none"/>
          <w:lang w:val="en-US" w:eastAsia="zh-CN"/>
        </w:rPr>
        <w:t>路</w:t>
      </w:r>
      <w:r>
        <w:rPr>
          <w:rFonts w:hint="eastAsia" w:ascii="仿宋" w:hAnsi="仿宋" w:eastAsia="仿宋" w:cs="仿宋"/>
          <w:color w:val="auto"/>
          <w:sz w:val="28"/>
          <w:szCs w:val="28"/>
          <w:highlight w:val="none"/>
        </w:rPr>
        <w:t>接头的情况下进行升柱试验，致使接头鼓开，是造成事故发生的直接原因。</w:t>
      </w:r>
    </w:p>
    <w:p w14:paraId="5583F88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14:paraId="48EE8FBA">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（1）王某自主保安意识差，精力不集中，站位不当。</w:t>
      </w:r>
    </w:p>
    <w:p w14:paraId="790C6FA9">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（2）工区跟班区长对现场薄弱环节未能引起足够重视，敏感心不强，现场安全管理不到位，跟班安监员现场安全监督不到位。</w:t>
      </w:r>
    </w:p>
    <w:p w14:paraId="0792FD05">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（3）工区值班区长工作安排不细致，也是造成事故发生的间接原因。</w:t>
      </w:r>
    </w:p>
    <w:p w14:paraId="1E07628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4D5EB78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现场维修工，要加强工作落实，规范操作，在维修前、维修时及维修后，都要在确认现场安全的情况下，方能进行操作。</w:t>
      </w:r>
    </w:p>
    <w:p w14:paraId="27192371">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合理站位，不得站在液压管路附近可能打伤的位置。</w:t>
      </w:r>
    </w:p>
    <w:p w14:paraId="0B360D4D">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《安全技术操作规程》规定“在拆卸或更换安全阀、</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压阀及高压软管时，应在各有关</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压卸载后进行，</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压件装配时，必须用</w:t>
      </w:r>
      <w:r>
        <w:rPr>
          <w:rFonts w:hint="eastAsia" w:ascii="仿宋" w:hAnsi="仿宋" w:eastAsia="仿宋" w:cs="仿宋"/>
          <w:color w:val="auto"/>
          <w:sz w:val="28"/>
          <w:szCs w:val="28"/>
          <w:highlight w:val="none"/>
          <w:lang w:val="en-US" w:eastAsia="zh-CN"/>
        </w:rPr>
        <w:t>水</w:t>
      </w:r>
      <w:r>
        <w:rPr>
          <w:rFonts w:hint="eastAsia" w:ascii="仿宋" w:hAnsi="仿宋" w:eastAsia="仿宋" w:cs="仿宋"/>
          <w:color w:val="auto"/>
          <w:sz w:val="28"/>
          <w:szCs w:val="28"/>
          <w:highlight w:val="none"/>
        </w:rPr>
        <w:t>冲洗干净，并注意有关零部件相互配合的密封面，防止因未连接牢固而伤人。”</w:t>
      </w:r>
    </w:p>
    <w:p w14:paraId="0CEC2941">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十、常见三违</w:t>
      </w:r>
    </w:p>
    <w:p w14:paraId="250AFC87">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一</w:t>
      </w:r>
      <w:r>
        <w:rPr>
          <w:rFonts w:hint="eastAsia" w:ascii="仿宋" w:hAnsi="仿宋" w:eastAsia="仿宋" w:cs="仿宋"/>
          <w:color w:val="auto"/>
          <w:sz w:val="28"/>
          <w:szCs w:val="28"/>
          <w:highlight w:val="none"/>
        </w:rPr>
        <w:t>）开泵前，未仔细检查各部件、管路和</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油位的；</w:t>
      </w:r>
    </w:p>
    <w:p w14:paraId="0C3AE4E9">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二</w:t>
      </w:r>
      <w:r>
        <w:rPr>
          <w:rFonts w:hint="eastAsia" w:ascii="仿宋" w:hAnsi="仿宋" w:eastAsia="仿宋" w:cs="仿宋"/>
          <w:color w:val="auto"/>
          <w:sz w:val="28"/>
          <w:szCs w:val="28"/>
          <w:highlight w:val="none"/>
        </w:rPr>
        <w:t>）未按规定换油或未从滤网口加油的；</w:t>
      </w:r>
    </w:p>
    <w:p w14:paraId="09F5BE5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w:t>
      </w:r>
      <w:r>
        <w:rPr>
          <w:rFonts w:hint="eastAsia" w:ascii="仿宋" w:hAnsi="仿宋" w:eastAsia="仿宋" w:cs="仿宋"/>
          <w:color w:val="auto"/>
          <w:sz w:val="28"/>
          <w:szCs w:val="28"/>
          <w:highlight w:val="none"/>
          <w:lang w:val="en-US" w:eastAsia="zh-CN"/>
        </w:rPr>
        <w:t>空压机</w:t>
      </w:r>
      <w:r>
        <w:rPr>
          <w:rFonts w:hint="eastAsia" w:ascii="仿宋" w:hAnsi="仿宋" w:eastAsia="仿宋" w:cs="仿宋"/>
          <w:color w:val="auto"/>
          <w:sz w:val="28"/>
          <w:szCs w:val="28"/>
          <w:highlight w:val="none"/>
        </w:rPr>
        <w:t>漏液不及时处理的；</w:t>
      </w:r>
    </w:p>
    <w:p w14:paraId="23945F0A">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四</w:t>
      </w:r>
      <w:r>
        <w:rPr>
          <w:rFonts w:hint="eastAsia" w:ascii="仿宋" w:hAnsi="仿宋" w:eastAsia="仿宋" w:cs="仿宋"/>
          <w:color w:val="auto"/>
          <w:sz w:val="28"/>
          <w:szCs w:val="28"/>
          <w:highlight w:val="none"/>
        </w:rPr>
        <w:t>）检修或更换</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站的机械液压元件时，未控制开关闭锁或者带压作业的；</w:t>
      </w:r>
    </w:p>
    <w:p w14:paraId="7234559E">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五</w:t>
      </w:r>
      <w:r>
        <w:rPr>
          <w:rFonts w:hint="eastAsia" w:ascii="仿宋" w:hAnsi="仿宋" w:eastAsia="仿宋" w:cs="仿宋"/>
          <w:color w:val="auto"/>
          <w:sz w:val="28"/>
          <w:szCs w:val="28"/>
          <w:highlight w:val="none"/>
        </w:rPr>
        <w:t>）停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后未将各控制阀打到非工作位置的</w:t>
      </w:r>
      <w:r>
        <w:rPr>
          <w:rFonts w:hint="eastAsia" w:ascii="仿宋" w:hAnsi="仿宋" w:eastAsia="仿宋" w:cs="仿宋"/>
          <w:color w:val="auto"/>
          <w:sz w:val="28"/>
          <w:szCs w:val="28"/>
          <w:highlight w:val="none"/>
          <w:lang w:eastAsia="zh-CN"/>
        </w:rPr>
        <w:t>。</w:t>
      </w:r>
    </w:p>
    <w:p w14:paraId="3C47C448">
      <w:pPr>
        <w:rPr>
          <w:rFonts w:hint="eastAsia" w:ascii="仿宋" w:hAnsi="仿宋" w:eastAsia="仿宋" w:cs="仿宋"/>
          <w:b/>
          <w:color w:val="auto"/>
          <w:sz w:val="36"/>
          <w:szCs w:val="36"/>
          <w:highlight w:val="none"/>
          <w:lang w:val="en-US" w:eastAsia="zh-CN"/>
        </w:rPr>
      </w:pPr>
      <w:bookmarkStart w:id="535" w:name="_Toc8131"/>
      <w:bookmarkStart w:id="536" w:name="_Toc15420"/>
      <w:bookmarkStart w:id="537" w:name="_Toc20549"/>
      <w:r>
        <w:rPr>
          <w:rFonts w:hint="eastAsia" w:ascii="仿宋" w:hAnsi="仿宋" w:eastAsia="仿宋" w:cs="仿宋"/>
          <w:b/>
          <w:color w:val="auto"/>
          <w:sz w:val="36"/>
          <w:szCs w:val="36"/>
          <w:highlight w:val="none"/>
          <w:lang w:val="en-US" w:eastAsia="zh-CN"/>
        </w:rPr>
        <w:br w:type="page"/>
      </w:r>
    </w:p>
    <w:p w14:paraId="1C9E7B29">
      <w:pPr>
        <w:keepNext w:val="0"/>
        <w:keepLines w:val="0"/>
        <w:pageBreakBefore w:val="0"/>
        <w:kinsoku/>
        <w:wordWrap/>
        <w:overflowPunct/>
        <w:topLinePunct w:val="0"/>
        <w:autoSpaceDE/>
        <w:autoSpaceDN/>
        <w:bidi w:val="0"/>
        <w:spacing w:line="600" w:lineRule="exact"/>
        <w:ind w:firstLine="723" w:firstLineChars="200"/>
        <w:jc w:val="center"/>
        <w:outlineLvl w:val="1"/>
        <w:rPr>
          <w:rFonts w:hint="eastAsia" w:ascii="仿宋" w:hAnsi="仿宋" w:eastAsia="仿宋" w:cs="仿宋"/>
          <w:b/>
          <w:color w:val="auto"/>
          <w:sz w:val="28"/>
          <w:szCs w:val="28"/>
          <w:highlight w:val="none"/>
          <w:lang w:val="en-US"/>
        </w:rPr>
      </w:pPr>
      <w:bookmarkStart w:id="538" w:name="_Toc28024"/>
      <w:r>
        <w:rPr>
          <w:rFonts w:hint="eastAsia" w:ascii="仿宋" w:hAnsi="仿宋" w:eastAsia="仿宋" w:cs="仿宋"/>
          <w:b/>
          <w:color w:val="auto"/>
          <w:sz w:val="36"/>
          <w:szCs w:val="36"/>
          <w:highlight w:val="none"/>
          <w:lang w:val="en-US" w:eastAsia="zh-CN"/>
        </w:rPr>
        <w:t>注浆工（地面）</w:t>
      </w:r>
      <w:bookmarkEnd w:id="535"/>
      <w:bookmarkEnd w:id="536"/>
      <w:bookmarkEnd w:id="537"/>
      <w:bookmarkEnd w:id="538"/>
    </w:p>
    <w:tbl>
      <w:tblPr>
        <w:tblStyle w:val="12"/>
        <w:tblW w:w="9185" w:type="dxa"/>
        <w:jc w:val="center"/>
        <w:tblLayout w:type="fixed"/>
        <w:tblCellMar>
          <w:top w:w="0" w:type="dxa"/>
          <w:left w:w="108" w:type="dxa"/>
          <w:bottom w:w="0" w:type="dxa"/>
          <w:right w:w="108" w:type="dxa"/>
        </w:tblCellMar>
      </w:tblPr>
      <w:tblGrid>
        <w:gridCol w:w="905"/>
        <w:gridCol w:w="3774"/>
        <w:gridCol w:w="863"/>
        <w:gridCol w:w="3643"/>
      </w:tblGrid>
      <w:tr w14:paraId="30FC2AE2">
        <w:tblPrEx>
          <w:tblCellMar>
            <w:top w:w="0" w:type="dxa"/>
            <w:left w:w="108" w:type="dxa"/>
            <w:bottom w:w="0" w:type="dxa"/>
            <w:right w:w="108" w:type="dxa"/>
          </w:tblCellMar>
        </w:tblPrEx>
        <w:trPr>
          <w:trHeight w:val="572" w:hRule="atLeast"/>
          <w:jc w:val="center"/>
        </w:trPr>
        <w:tc>
          <w:tcPr>
            <w:tcW w:w="9185" w:type="dxa"/>
            <w:gridSpan w:val="4"/>
            <w:tcBorders>
              <w:top w:val="single" w:color="000000" w:sz="4" w:space="0"/>
              <w:left w:val="single" w:color="000000" w:sz="4" w:space="0"/>
              <w:bottom w:val="single" w:color="000000" w:sz="4" w:space="0"/>
              <w:right w:val="single" w:color="000000" w:sz="4" w:space="0"/>
            </w:tcBorders>
            <w:vAlign w:val="center"/>
          </w:tcPr>
          <w:p w14:paraId="5971258E">
            <w:pPr>
              <w:keepNext w:val="0"/>
              <w:keepLines w:val="0"/>
              <w:pageBreakBefore w:val="0"/>
              <w:widowControl/>
              <w:suppressLineNumbers w:val="0"/>
              <w:kinsoku/>
              <w:wordWrap/>
              <w:overflowPunct/>
              <w:topLinePunct w:val="0"/>
              <w:autoSpaceDE/>
              <w:autoSpaceDN/>
              <w:bidi w:val="0"/>
              <w:adjustRightInd/>
              <w:spacing w:line="600" w:lineRule="exact"/>
              <w:ind w:firstLine="420" w:firstLineChars="20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b w:val="0"/>
                <w:bCs/>
                <w:color w:val="auto"/>
                <w:kern w:val="0"/>
                <w:sz w:val="21"/>
                <w:szCs w:val="21"/>
                <w:lang w:val="en-US" w:eastAsia="zh-CN"/>
              </w:rPr>
              <w:t>注浆工岗位风险告知卡</w:t>
            </w:r>
          </w:p>
        </w:tc>
      </w:tr>
      <w:tr w14:paraId="2B06FF81">
        <w:tblPrEx>
          <w:tblCellMar>
            <w:top w:w="0" w:type="dxa"/>
            <w:left w:w="108" w:type="dxa"/>
            <w:bottom w:w="0" w:type="dxa"/>
            <w:right w:w="108" w:type="dxa"/>
          </w:tblCellMar>
        </w:tblPrEx>
        <w:trPr>
          <w:trHeight w:val="1390" w:hRule="atLeast"/>
          <w:jc w:val="center"/>
        </w:trPr>
        <w:tc>
          <w:tcPr>
            <w:tcW w:w="905" w:type="dxa"/>
            <w:tcBorders>
              <w:top w:val="single" w:color="000000" w:sz="4" w:space="0"/>
              <w:left w:val="single" w:color="000000" w:sz="4" w:space="0"/>
              <w:bottom w:val="single" w:color="000000" w:sz="4" w:space="0"/>
              <w:right w:val="single" w:color="000000" w:sz="4" w:space="0"/>
            </w:tcBorders>
            <w:vAlign w:val="center"/>
          </w:tcPr>
          <w:p w14:paraId="0C9DA970">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风险</w:t>
            </w:r>
          </w:p>
          <w:p w14:paraId="5FF274C0">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类型</w:t>
            </w:r>
          </w:p>
        </w:tc>
        <w:tc>
          <w:tcPr>
            <w:tcW w:w="3774" w:type="dxa"/>
            <w:tcBorders>
              <w:top w:val="single" w:color="000000" w:sz="4" w:space="0"/>
              <w:left w:val="single" w:color="000000" w:sz="4" w:space="0"/>
              <w:bottom w:val="single" w:color="000000" w:sz="4" w:space="0"/>
              <w:right w:val="single" w:color="000000" w:sz="4" w:space="0"/>
            </w:tcBorders>
            <w:vAlign w:val="center"/>
          </w:tcPr>
          <w:p w14:paraId="0F7A14D6">
            <w:pPr>
              <w:keepNext w:val="0"/>
              <w:keepLines w:val="0"/>
              <w:pageBreakBefore w:val="0"/>
              <w:widowControl/>
              <w:suppressLineNumbers w:val="0"/>
              <w:kinsoku/>
              <w:wordWrap/>
              <w:overflowPunct/>
              <w:topLinePunct w:val="0"/>
              <w:autoSpaceDE/>
              <w:autoSpaceDN/>
              <w:bidi w:val="0"/>
              <w:adjustRightInd/>
              <w:spacing w:line="600" w:lineRule="exact"/>
              <w:ind w:firstLine="420" w:firstLineChars="200"/>
              <w:jc w:val="both"/>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机电、职业病危害</w:t>
            </w:r>
          </w:p>
        </w:tc>
        <w:tc>
          <w:tcPr>
            <w:tcW w:w="863" w:type="dxa"/>
            <w:tcBorders>
              <w:top w:val="single" w:color="000000" w:sz="4" w:space="0"/>
              <w:left w:val="single" w:color="000000" w:sz="4" w:space="0"/>
              <w:bottom w:val="single" w:color="000000" w:sz="4" w:space="0"/>
              <w:right w:val="single" w:color="000000" w:sz="4" w:space="0"/>
            </w:tcBorders>
            <w:vAlign w:val="center"/>
          </w:tcPr>
          <w:p w14:paraId="1885B5C9">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事故</w:t>
            </w:r>
          </w:p>
          <w:p w14:paraId="48B92A35">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报告</w:t>
            </w:r>
          </w:p>
        </w:tc>
        <w:tc>
          <w:tcPr>
            <w:tcW w:w="3643" w:type="dxa"/>
            <w:tcBorders>
              <w:top w:val="single" w:color="000000" w:sz="4" w:space="0"/>
              <w:left w:val="single" w:color="000000" w:sz="4" w:space="0"/>
              <w:bottom w:val="single" w:color="000000" w:sz="4" w:space="0"/>
              <w:right w:val="single" w:color="000000" w:sz="4" w:space="0"/>
            </w:tcBorders>
            <w:vAlign w:val="center"/>
          </w:tcPr>
          <w:p w14:paraId="5F38AFD5">
            <w:pPr>
              <w:keepNext w:val="0"/>
              <w:keepLines w:val="0"/>
              <w:pageBreakBefore w:val="0"/>
              <w:widowControl/>
              <w:suppressLineNumbers w:val="0"/>
              <w:kinsoku/>
              <w:wordWrap/>
              <w:overflowPunct/>
              <w:topLinePunct w:val="0"/>
              <w:autoSpaceDE/>
              <w:autoSpaceDN/>
              <w:bidi w:val="0"/>
              <w:adjustRightInd/>
              <w:snapToGrid/>
              <w:spacing w:line="4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调度室：8650200、8650202、“#”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工区值班： 8650342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安监科值班：8650512</w:t>
            </w:r>
          </w:p>
        </w:tc>
      </w:tr>
      <w:tr w14:paraId="251A17D6">
        <w:tblPrEx>
          <w:tblCellMar>
            <w:top w:w="0" w:type="dxa"/>
            <w:left w:w="108" w:type="dxa"/>
            <w:bottom w:w="0" w:type="dxa"/>
            <w:right w:w="108" w:type="dxa"/>
          </w:tblCellMar>
        </w:tblPrEx>
        <w:trPr>
          <w:trHeight w:val="572"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15ED06FD">
            <w:pPr>
              <w:keepNext w:val="0"/>
              <w:keepLines w:val="0"/>
              <w:pageBreakBefore w:val="0"/>
              <w:widowControl/>
              <w:suppressLineNumbers w:val="0"/>
              <w:kinsoku/>
              <w:wordWrap/>
              <w:overflowPunct/>
              <w:topLinePunct w:val="0"/>
              <w:autoSpaceDE/>
              <w:autoSpaceDN/>
              <w:bidi w:val="0"/>
              <w:adjustRightInd/>
              <w:spacing w:line="600" w:lineRule="exact"/>
              <w:ind w:firstLine="422" w:firstLineChars="20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主要危害因素</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14:paraId="65479492">
            <w:pPr>
              <w:keepNext w:val="0"/>
              <w:keepLines w:val="0"/>
              <w:pageBreakBefore w:val="0"/>
              <w:widowControl/>
              <w:suppressLineNumbers w:val="0"/>
              <w:kinsoku/>
              <w:wordWrap/>
              <w:overflowPunct/>
              <w:topLinePunct w:val="0"/>
              <w:autoSpaceDE/>
              <w:autoSpaceDN/>
              <w:bidi w:val="0"/>
              <w:adjustRightInd/>
              <w:spacing w:line="600" w:lineRule="exact"/>
              <w:ind w:firstLine="422" w:firstLineChars="20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管控措施</w:t>
            </w:r>
          </w:p>
        </w:tc>
      </w:tr>
      <w:tr w14:paraId="7DE75187">
        <w:tblPrEx>
          <w:tblCellMar>
            <w:top w:w="0" w:type="dxa"/>
            <w:left w:w="108" w:type="dxa"/>
            <w:bottom w:w="0" w:type="dxa"/>
            <w:right w:w="108" w:type="dxa"/>
          </w:tblCellMar>
        </w:tblPrEx>
        <w:trPr>
          <w:trHeight w:val="890"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361FB6F6">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1.不持证上岗；注浆车间通风不良，造成气体积聚，造成人体健康伤害。</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14:paraId="7D8B4568">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1.持证上岗；保持注浆车间内正常通风，监控系统正常运行。</w:t>
            </w:r>
          </w:p>
        </w:tc>
      </w:tr>
      <w:tr w14:paraId="6BD76729">
        <w:tblPrEx>
          <w:tblCellMar>
            <w:top w:w="0" w:type="dxa"/>
            <w:left w:w="108" w:type="dxa"/>
            <w:bottom w:w="0" w:type="dxa"/>
            <w:right w:w="108" w:type="dxa"/>
          </w:tblCellMar>
        </w:tblPrEx>
        <w:trPr>
          <w:trHeight w:val="866"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4E753C07">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2.管路不完好，造成管路开裂伤人；注浆池附近严禁有人施工。</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14:paraId="590A2523">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2.开机前，保证管路连接完好。</w:t>
            </w:r>
          </w:p>
        </w:tc>
      </w:tr>
      <w:tr w14:paraId="764991EF">
        <w:tblPrEx>
          <w:tblCellMar>
            <w:top w:w="0" w:type="dxa"/>
            <w:left w:w="108" w:type="dxa"/>
            <w:bottom w:w="0" w:type="dxa"/>
            <w:right w:w="108" w:type="dxa"/>
          </w:tblCellMar>
        </w:tblPrEx>
        <w:trPr>
          <w:trHeight w:val="875"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2CB35F17">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3.制浆浓度不符合要求。</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14:paraId="64EC80EE">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3.氯化镁、浆、水调成1:5:100，保证浓度符合标准值。</w:t>
            </w:r>
          </w:p>
        </w:tc>
      </w:tr>
      <w:tr w14:paraId="0CED19B9">
        <w:tblPrEx>
          <w:tblCellMar>
            <w:top w:w="0" w:type="dxa"/>
            <w:left w:w="108" w:type="dxa"/>
            <w:bottom w:w="0" w:type="dxa"/>
            <w:right w:w="108" w:type="dxa"/>
          </w:tblCellMar>
        </w:tblPrEx>
        <w:trPr>
          <w:trHeight w:val="836"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14:paraId="5AFA55C1">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4.未佩戴防护用品。</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14:paraId="642C66EF">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4.佩戴好防护手套、耳塞、口罩等劳保用品。</w:t>
            </w:r>
          </w:p>
        </w:tc>
      </w:tr>
      <w:tr w14:paraId="100B0B16">
        <w:tblPrEx>
          <w:tblCellMar>
            <w:top w:w="0" w:type="dxa"/>
            <w:left w:w="108" w:type="dxa"/>
            <w:bottom w:w="0" w:type="dxa"/>
            <w:right w:w="108" w:type="dxa"/>
          </w:tblCellMar>
        </w:tblPrEx>
        <w:trPr>
          <w:trHeight w:val="901" w:hRule="atLeast"/>
          <w:jc w:val="center"/>
        </w:trPr>
        <w:tc>
          <w:tcPr>
            <w:tcW w:w="905" w:type="dxa"/>
            <w:tcBorders>
              <w:top w:val="single" w:color="000000" w:sz="4" w:space="0"/>
              <w:left w:val="single" w:color="000000" w:sz="4" w:space="0"/>
              <w:bottom w:val="single" w:color="000000" w:sz="4" w:space="0"/>
              <w:right w:val="single" w:color="000000" w:sz="4" w:space="0"/>
            </w:tcBorders>
            <w:vAlign w:val="center"/>
          </w:tcPr>
          <w:p w14:paraId="79CA4DC7">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14:paraId="24CA50FE">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280" w:type="dxa"/>
            <w:gridSpan w:val="3"/>
            <w:tcBorders>
              <w:top w:val="single" w:color="000000" w:sz="4" w:space="0"/>
              <w:left w:val="single" w:color="000000" w:sz="4" w:space="0"/>
              <w:bottom w:val="single" w:color="000000" w:sz="4" w:space="0"/>
              <w:right w:val="single" w:color="000000" w:sz="4" w:space="0"/>
            </w:tcBorders>
            <w:vAlign w:val="center"/>
          </w:tcPr>
          <w:p w14:paraId="6BE203A4">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14:paraId="6AAFFB03">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14:paraId="36615EF8">
        <w:tblPrEx>
          <w:tblCellMar>
            <w:top w:w="0" w:type="dxa"/>
            <w:left w:w="108" w:type="dxa"/>
            <w:bottom w:w="0" w:type="dxa"/>
            <w:right w:w="108" w:type="dxa"/>
          </w:tblCellMar>
        </w:tblPrEx>
        <w:trPr>
          <w:trHeight w:val="1254" w:hRule="atLeast"/>
          <w:jc w:val="center"/>
        </w:trPr>
        <w:tc>
          <w:tcPr>
            <w:tcW w:w="905" w:type="dxa"/>
            <w:tcBorders>
              <w:top w:val="single" w:color="000000" w:sz="4" w:space="0"/>
              <w:left w:val="single" w:color="000000" w:sz="4" w:space="0"/>
              <w:bottom w:val="single" w:color="000000" w:sz="4" w:space="0"/>
              <w:right w:val="single" w:color="000000" w:sz="4" w:space="0"/>
            </w:tcBorders>
            <w:vAlign w:val="center"/>
          </w:tcPr>
          <w:p w14:paraId="50F44298">
            <w:pPr>
              <w:keepNext w:val="0"/>
              <w:keepLines w:val="0"/>
              <w:pageBreakBefore w:val="0"/>
              <w:widowControl/>
              <w:suppressLineNumbers w:val="0"/>
              <w:kinsoku/>
              <w:wordWrap/>
              <w:overflowPunct/>
              <w:topLinePunct w:val="0"/>
              <w:autoSpaceDE/>
              <w:autoSpaceDN/>
              <w:bidi w:val="0"/>
              <w:adjustRightInd/>
              <w:spacing w:line="360" w:lineRule="auto"/>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应急</w:t>
            </w:r>
          </w:p>
          <w:p w14:paraId="136BE8D0">
            <w:pPr>
              <w:keepNext w:val="0"/>
              <w:keepLines w:val="0"/>
              <w:pageBreakBefore w:val="0"/>
              <w:widowControl/>
              <w:suppressLineNumbers w:val="0"/>
              <w:kinsoku/>
              <w:wordWrap/>
              <w:overflowPunct/>
              <w:topLinePunct w:val="0"/>
              <w:autoSpaceDE/>
              <w:autoSpaceDN/>
              <w:bidi w:val="0"/>
              <w:adjustRightInd/>
              <w:spacing w:line="360" w:lineRule="auto"/>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处置</w:t>
            </w:r>
          </w:p>
          <w:p w14:paraId="6B24CD5B">
            <w:pPr>
              <w:keepNext w:val="0"/>
              <w:keepLines w:val="0"/>
              <w:pageBreakBefore w:val="0"/>
              <w:widowControl/>
              <w:suppressLineNumbers w:val="0"/>
              <w:kinsoku/>
              <w:wordWrap/>
              <w:overflowPunct/>
              <w:topLinePunct w:val="0"/>
              <w:autoSpaceDE/>
              <w:autoSpaceDN/>
              <w:bidi w:val="0"/>
              <w:adjustRightInd/>
              <w:spacing w:line="36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措施</w:t>
            </w:r>
          </w:p>
        </w:tc>
        <w:tc>
          <w:tcPr>
            <w:tcW w:w="8280" w:type="dxa"/>
            <w:gridSpan w:val="3"/>
            <w:tcBorders>
              <w:top w:val="single" w:color="000000" w:sz="4" w:space="0"/>
              <w:left w:val="single" w:color="000000" w:sz="4" w:space="0"/>
              <w:bottom w:val="single" w:color="000000" w:sz="4" w:space="0"/>
              <w:right w:val="single" w:color="000000" w:sz="4" w:space="0"/>
            </w:tcBorders>
            <w:vAlign w:val="center"/>
          </w:tcPr>
          <w:p w14:paraId="48542BD6">
            <w:pPr>
              <w:keepNext w:val="0"/>
              <w:keepLines w:val="0"/>
              <w:pageBreakBefore w:val="0"/>
              <w:widowControl/>
              <w:suppressLineNumbers w:val="0"/>
              <w:kinsoku/>
              <w:wordWrap/>
              <w:overflowPunct/>
              <w:topLinePunct w:val="0"/>
              <w:autoSpaceDE/>
              <w:autoSpaceDN/>
              <w:bidi w:val="0"/>
              <w:adjustRightInd/>
              <w:spacing w:afterAutospacing="0"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1.出现紧急情况时，立即停止下浆并通知注浆地点，找出故障点后进行泄压，泄压后方可作业，故障排除后检查完毕方可继续下浆。</w:t>
            </w:r>
          </w:p>
        </w:tc>
      </w:tr>
    </w:tbl>
    <w:p w14:paraId="47FFDF29">
      <w:pPr>
        <w:keepNext w:val="0"/>
        <w:keepLines w:val="0"/>
        <w:pageBreakBefore w:val="0"/>
        <w:kinsoku/>
        <w:wordWrap/>
        <w:overflowPunct/>
        <w:topLinePunct w:val="0"/>
        <w:autoSpaceDE/>
        <w:autoSpaceDN/>
        <w:bidi w:val="0"/>
        <w:adjustRightInd/>
        <w:spacing w:line="600" w:lineRule="exact"/>
        <w:ind w:firstLine="422" w:firstLineChars="200"/>
        <w:jc w:val="center"/>
        <w:outlineLvl w:val="9"/>
        <w:rPr>
          <w:rFonts w:hint="eastAsia" w:ascii="仿宋" w:hAnsi="仿宋" w:eastAsia="仿宋" w:cs="仿宋"/>
          <w:b/>
          <w:color w:val="auto"/>
          <w:sz w:val="21"/>
          <w:szCs w:val="21"/>
          <w:highlight w:val="none"/>
        </w:rPr>
      </w:pPr>
    </w:p>
    <w:tbl>
      <w:tblPr>
        <w:tblStyle w:val="12"/>
        <w:tblW w:w="9220" w:type="dxa"/>
        <w:jc w:val="center"/>
        <w:tblLayout w:type="fixed"/>
        <w:tblCellMar>
          <w:top w:w="0" w:type="dxa"/>
          <w:left w:w="108" w:type="dxa"/>
          <w:bottom w:w="0" w:type="dxa"/>
          <w:right w:w="108" w:type="dxa"/>
        </w:tblCellMar>
      </w:tblPr>
      <w:tblGrid>
        <w:gridCol w:w="3784"/>
        <w:gridCol w:w="5436"/>
      </w:tblGrid>
      <w:tr w14:paraId="23D12AE1">
        <w:tblPrEx>
          <w:tblCellMar>
            <w:top w:w="0" w:type="dxa"/>
            <w:left w:w="108" w:type="dxa"/>
            <w:bottom w:w="0" w:type="dxa"/>
            <w:right w:w="108" w:type="dxa"/>
          </w:tblCellMar>
        </w:tblPrEx>
        <w:trPr>
          <w:trHeight w:val="239" w:hRule="atLeast"/>
          <w:jc w:val="center"/>
        </w:trPr>
        <w:tc>
          <w:tcPr>
            <w:tcW w:w="9220" w:type="dxa"/>
            <w:gridSpan w:val="2"/>
            <w:tcBorders>
              <w:top w:val="single" w:color="auto" w:sz="4" w:space="0"/>
              <w:left w:val="single" w:color="auto" w:sz="4" w:space="0"/>
              <w:bottom w:val="single" w:color="auto" w:sz="4" w:space="0"/>
              <w:right w:val="single" w:color="auto" w:sz="4" w:space="0"/>
            </w:tcBorders>
            <w:vAlign w:val="center"/>
          </w:tcPr>
          <w:p w14:paraId="632C4D94">
            <w:pPr>
              <w:keepNext w:val="0"/>
              <w:keepLines w:val="0"/>
              <w:pageBreakBefore w:val="0"/>
              <w:widowControl/>
              <w:kinsoku/>
              <w:wordWrap/>
              <w:overflowPunct/>
              <w:topLinePunct w:val="0"/>
              <w:autoSpaceDE/>
              <w:autoSpaceDN/>
              <w:bidi w:val="0"/>
              <w:adjustRightInd/>
              <w:spacing w:line="600" w:lineRule="exact"/>
              <w:ind w:firstLine="422"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lang w:val="en-US" w:eastAsia="zh-CN"/>
              </w:rPr>
              <w:t>注浆工</w:t>
            </w:r>
            <w:r>
              <w:rPr>
                <w:rFonts w:hint="eastAsia" w:ascii="仿宋" w:hAnsi="仿宋" w:eastAsia="仿宋" w:cs="仿宋"/>
                <w:b/>
                <w:bCs/>
                <w:color w:val="auto"/>
                <w:kern w:val="0"/>
                <w:sz w:val="21"/>
                <w:szCs w:val="21"/>
                <w:highlight w:val="none"/>
              </w:rPr>
              <w:t>安全提示卡</w:t>
            </w:r>
          </w:p>
        </w:tc>
      </w:tr>
      <w:tr w14:paraId="282D90B6">
        <w:tblPrEx>
          <w:tblCellMar>
            <w:top w:w="0" w:type="dxa"/>
            <w:left w:w="108" w:type="dxa"/>
            <w:bottom w:w="0" w:type="dxa"/>
            <w:right w:w="108" w:type="dxa"/>
          </w:tblCellMar>
        </w:tblPrEx>
        <w:trPr>
          <w:trHeight w:val="239" w:hRule="atLeast"/>
          <w:jc w:val="center"/>
        </w:trPr>
        <w:tc>
          <w:tcPr>
            <w:tcW w:w="3784" w:type="dxa"/>
            <w:tcBorders>
              <w:top w:val="single" w:color="auto" w:sz="4" w:space="0"/>
              <w:left w:val="single" w:color="auto" w:sz="4" w:space="0"/>
              <w:bottom w:val="single" w:color="auto" w:sz="4" w:space="0"/>
              <w:right w:val="single" w:color="auto" w:sz="4" w:space="0"/>
            </w:tcBorders>
            <w:vAlign w:val="center"/>
          </w:tcPr>
          <w:p w14:paraId="7371F17C">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开</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前检查</w:t>
            </w:r>
          </w:p>
        </w:tc>
        <w:tc>
          <w:tcPr>
            <w:tcW w:w="5436" w:type="dxa"/>
            <w:tcBorders>
              <w:top w:val="single" w:color="auto" w:sz="4" w:space="0"/>
              <w:left w:val="nil"/>
              <w:bottom w:val="single" w:color="auto" w:sz="4" w:space="0"/>
              <w:right w:val="single" w:color="auto" w:sz="4" w:space="0"/>
            </w:tcBorders>
            <w:vAlign w:val="center"/>
          </w:tcPr>
          <w:p w14:paraId="12C8B40F">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停</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后确认</w:t>
            </w:r>
          </w:p>
        </w:tc>
      </w:tr>
      <w:tr w14:paraId="08A1B8BF">
        <w:tblPrEx>
          <w:tblCellMar>
            <w:top w:w="0" w:type="dxa"/>
            <w:left w:w="108" w:type="dxa"/>
            <w:bottom w:w="0" w:type="dxa"/>
            <w:right w:w="108" w:type="dxa"/>
          </w:tblCellMar>
        </w:tblPrEx>
        <w:trPr>
          <w:trHeight w:val="274" w:hRule="atLeast"/>
          <w:jc w:val="center"/>
        </w:trPr>
        <w:tc>
          <w:tcPr>
            <w:tcW w:w="3784" w:type="dxa"/>
            <w:tcBorders>
              <w:top w:val="single" w:color="auto" w:sz="4" w:space="0"/>
              <w:left w:val="single" w:color="auto" w:sz="4" w:space="0"/>
              <w:bottom w:val="single" w:color="auto" w:sz="4" w:space="0"/>
              <w:right w:val="single" w:color="auto" w:sz="4" w:space="0"/>
            </w:tcBorders>
            <w:vAlign w:val="center"/>
          </w:tcPr>
          <w:p w14:paraId="1AC76555">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1.</w:t>
            </w:r>
            <w:r>
              <w:rPr>
                <w:rFonts w:hint="eastAsia" w:ascii="仿宋" w:hAnsi="仿宋" w:eastAsia="仿宋" w:cs="仿宋"/>
                <w:b w:val="0"/>
                <w:bCs w:val="0"/>
                <w:color w:val="auto"/>
                <w:kern w:val="0"/>
                <w:sz w:val="21"/>
                <w:szCs w:val="21"/>
                <w:highlight w:val="none"/>
                <w:lang w:val="en-US" w:eastAsia="zh-CN"/>
              </w:rPr>
              <w:t>搅拌机</w:t>
            </w:r>
          </w:p>
        </w:tc>
        <w:tc>
          <w:tcPr>
            <w:tcW w:w="5436" w:type="dxa"/>
            <w:tcBorders>
              <w:top w:val="single" w:color="auto" w:sz="4" w:space="0"/>
              <w:left w:val="nil"/>
              <w:bottom w:val="single" w:color="auto" w:sz="4" w:space="0"/>
              <w:right w:val="single" w:color="auto" w:sz="4" w:space="0"/>
            </w:tcBorders>
            <w:vAlign w:val="center"/>
          </w:tcPr>
          <w:p w14:paraId="41514E49">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1.停电闭锁</w:t>
            </w:r>
          </w:p>
        </w:tc>
      </w:tr>
      <w:tr w14:paraId="3EBAA89D">
        <w:tblPrEx>
          <w:tblCellMar>
            <w:top w:w="0" w:type="dxa"/>
            <w:left w:w="108" w:type="dxa"/>
            <w:bottom w:w="0" w:type="dxa"/>
            <w:right w:w="108" w:type="dxa"/>
          </w:tblCellMar>
        </w:tblPrEx>
        <w:trPr>
          <w:trHeight w:val="239" w:hRule="atLeast"/>
          <w:jc w:val="center"/>
        </w:trPr>
        <w:tc>
          <w:tcPr>
            <w:tcW w:w="3784" w:type="dxa"/>
            <w:tcBorders>
              <w:top w:val="single" w:color="auto" w:sz="4" w:space="0"/>
              <w:left w:val="single" w:color="auto" w:sz="4" w:space="0"/>
              <w:bottom w:val="single" w:color="auto" w:sz="4" w:space="0"/>
              <w:right w:val="single" w:color="auto" w:sz="4" w:space="0"/>
            </w:tcBorders>
            <w:vAlign w:val="center"/>
          </w:tcPr>
          <w:p w14:paraId="5D6E2E76">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2.照明</w:t>
            </w:r>
          </w:p>
        </w:tc>
        <w:tc>
          <w:tcPr>
            <w:tcW w:w="5436" w:type="dxa"/>
            <w:tcBorders>
              <w:top w:val="single" w:color="auto" w:sz="4" w:space="0"/>
              <w:left w:val="nil"/>
              <w:bottom w:val="single" w:color="auto" w:sz="4" w:space="0"/>
              <w:right w:val="single" w:color="000000" w:sz="4" w:space="0"/>
            </w:tcBorders>
            <w:vAlign w:val="center"/>
          </w:tcPr>
          <w:p w14:paraId="0F66785F">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2.控制阀</w:t>
            </w:r>
            <w:r>
              <w:rPr>
                <w:rFonts w:hint="eastAsia" w:ascii="仿宋" w:hAnsi="仿宋" w:eastAsia="仿宋" w:cs="仿宋"/>
                <w:b w:val="0"/>
                <w:bCs w:val="0"/>
                <w:color w:val="auto"/>
                <w:kern w:val="0"/>
                <w:sz w:val="21"/>
                <w:szCs w:val="21"/>
                <w:highlight w:val="none"/>
                <w:lang w:eastAsia="zh-CN"/>
              </w:rPr>
              <w:t>、</w:t>
            </w:r>
            <w:r>
              <w:rPr>
                <w:rFonts w:hint="eastAsia" w:ascii="仿宋" w:hAnsi="仿宋" w:eastAsia="仿宋" w:cs="仿宋"/>
                <w:b w:val="0"/>
                <w:bCs w:val="0"/>
                <w:color w:val="auto"/>
                <w:kern w:val="0"/>
                <w:sz w:val="21"/>
                <w:szCs w:val="21"/>
                <w:highlight w:val="none"/>
                <w:lang w:val="en-US" w:eastAsia="zh-CN"/>
              </w:rPr>
              <w:t>压力表</w:t>
            </w:r>
          </w:p>
        </w:tc>
      </w:tr>
      <w:tr w14:paraId="3AE97DA1">
        <w:tblPrEx>
          <w:tblCellMar>
            <w:top w:w="0" w:type="dxa"/>
            <w:left w:w="108" w:type="dxa"/>
            <w:bottom w:w="0" w:type="dxa"/>
            <w:right w:w="108" w:type="dxa"/>
          </w:tblCellMar>
        </w:tblPrEx>
        <w:trPr>
          <w:trHeight w:val="478" w:hRule="atLeast"/>
          <w:jc w:val="center"/>
        </w:trPr>
        <w:tc>
          <w:tcPr>
            <w:tcW w:w="3784" w:type="dxa"/>
            <w:tcBorders>
              <w:top w:val="single" w:color="auto" w:sz="4" w:space="0"/>
              <w:left w:val="single" w:color="auto" w:sz="4" w:space="0"/>
              <w:bottom w:val="single" w:color="auto" w:sz="4" w:space="0"/>
              <w:right w:val="single" w:color="auto" w:sz="4" w:space="0"/>
            </w:tcBorders>
            <w:vAlign w:val="center"/>
          </w:tcPr>
          <w:p w14:paraId="18CA5954">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3.消防器材</w:t>
            </w:r>
          </w:p>
        </w:tc>
        <w:tc>
          <w:tcPr>
            <w:tcW w:w="5436" w:type="dxa"/>
            <w:tcBorders>
              <w:top w:val="single" w:color="auto" w:sz="4" w:space="0"/>
              <w:left w:val="nil"/>
              <w:bottom w:val="single" w:color="auto" w:sz="4" w:space="0"/>
              <w:right w:val="single" w:color="000000" w:sz="4" w:space="0"/>
            </w:tcBorders>
            <w:vAlign w:val="center"/>
          </w:tcPr>
          <w:p w14:paraId="0A12A984">
            <w:pPr>
              <w:keepNext w:val="0"/>
              <w:keepLines w:val="0"/>
              <w:pageBreakBefore w:val="0"/>
              <w:widowControl/>
              <w:kinsoku/>
              <w:wordWrap/>
              <w:overflowPunct/>
              <w:topLinePunct w:val="0"/>
              <w:autoSpaceDE/>
              <w:autoSpaceDN/>
              <w:bidi w:val="0"/>
              <w:adjustRightInd/>
              <w:snapToGrid/>
              <w:spacing w:line="400" w:lineRule="exact"/>
              <w:jc w:val="left"/>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注：第一次按开机前检查内容逐项检查并确认，存在问题整改后再确认；全部结束后按停机后确认内容逐项检查并确认。</w:t>
            </w:r>
          </w:p>
        </w:tc>
      </w:tr>
    </w:tbl>
    <w:p w14:paraId="5EF0B533">
      <w:pPr>
        <w:keepNext w:val="0"/>
        <w:keepLines w:val="0"/>
        <w:pageBreakBefore w:val="0"/>
        <w:kinsoku/>
        <w:wordWrap/>
        <w:overflowPunct/>
        <w:topLinePunct w:val="0"/>
        <w:autoSpaceDE/>
        <w:autoSpaceDN/>
        <w:bidi w:val="0"/>
        <w:adjustRightInd/>
        <w:outlineLvl w:val="9"/>
        <w:rPr>
          <w:color w:val="auto"/>
        </w:rPr>
      </w:pPr>
    </w:p>
    <w:tbl>
      <w:tblPr>
        <w:tblStyle w:val="12"/>
        <w:tblW w:w="9223" w:type="dxa"/>
        <w:jc w:val="center"/>
        <w:tblLayout w:type="fixed"/>
        <w:tblCellMar>
          <w:top w:w="0" w:type="dxa"/>
          <w:left w:w="108" w:type="dxa"/>
          <w:bottom w:w="0" w:type="dxa"/>
          <w:right w:w="108" w:type="dxa"/>
        </w:tblCellMar>
      </w:tblPr>
      <w:tblGrid>
        <w:gridCol w:w="9223"/>
      </w:tblGrid>
      <w:tr w14:paraId="2E1834EA">
        <w:tblPrEx>
          <w:tblCellMar>
            <w:top w:w="0" w:type="dxa"/>
            <w:left w:w="108" w:type="dxa"/>
            <w:bottom w:w="0" w:type="dxa"/>
            <w:right w:w="108" w:type="dxa"/>
          </w:tblCellMar>
        </w:tblPrEx>
        <w:trPr>
          <w:trHeight w:val="290" w:hRule="atLeast"/>
          <w:jc w:val="center"/>
        </w:trPr>
        <w:tc>
          <w:tcPr>
            <w:tcW w:w="9223" w:type="dxa"/>
            <w:tcBorders>
              <w:top w:val="single" w:color="auto" w:sz="4" w:space="0"/>
              <w:left w:val="single" w:color="auto" w:sz="4" w:space="0"/>
              <w:bottom w:val="single" w:color="auto" w:sz="4" w:space="0"/>
              <w:right w:val="single" w:color="auto" w:sz="4" w:space="0"/>
            </w:tcBorders>
            <w:vAlign w:val="center"/>
          </w:tcPr>
          <w:p w14:paraId="7CD3CE29">
            <w:pPr>
              <w:keepNext w:val="0"/>
              <w:keepLines w:val="0"/>
              <w:pageBreakBefore w:val="0"/>
              <w:widowControl/>
              <w:kinsoku/>
              <w:wordWrap/>
              <w:overflowPunct/>
              <w:topLinePunct w:val="0"/>
              <w:autoSpaceDE/>
              <w:autoSpaceDN/>
              <w:bidi w:val="0"/>
              <w:adjustRightInd/>
              <w:spacing w:line="600" w:lineRule="exact"/>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lang w:val="en-US" w:eastAsia="zh-CN"/>
              </w:rPr>
              <w:t>注浆站设备</w:t>
            </w:r>
            <w:r>
              <w:rPr>
                <w:rFonts w:hint="eastAsia" w:ascii="仿宋" w:hAnsi="仿宋" w:eastAsia="仿宋" w:cs="仿宋"/>
                <w:b w:val="0"/>
                <w:bCs w:val="0"/>
                <w:color w:val="auto"/>
                <w:kern w:val="0"/>
                <w:sz w:val="21"/>
                <w:szCs w:val="21"/>
                <w:highlight w:val="none"/>
              </w:rPr>
              <w:t>单元检查表</w:t>
            </w:r>
          </w:p>
        </w:tc>
      </w:tr>
      <w:tr w14:paraId="0B364CA3">
        <w:tblPrEx>
          <w:tblCellMar>
            <w:top w:w="0" w:type="dxa"/>
            <w:left w:w="108" w:type="dxa"/>
            <w:bottom w:w="0" w:type="dxa"/>
            <w:right w:w="108" w:type="dxa"/>
          </w:tblCellMar>
        </w:tblPrEx>
        <w:trPr>
          <w:trHeight w:val="435" w:hRule="atLeast"/>
          <w:jc w:val="center"/>
        </w:trPr>
        <w:tc>
          <w:tcPr>
            <w:tcW w:w="9223" w:type="dxa"/>
            <w:tcBorders>
              <w:top w:val="single" w:color="auto" w:sz="4" w:space="0"/>
              <w:left w:val="single" w:color="auto" w:sz="4" w:space="0"/>
              <w:bottom w:val="single" w:color="auto" w:sz="4" w:space="0"/>
              <w:right w:val="single" w:color="auto" w:sz="4" w:space="0"/>
            </w:tcBorders>
            <w:vAlign w:val="center"/>
          </w:tcPr>
          <w:p w14:paraId="72D806E5">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1</w:t>
            </w:r>
            <w:r>
              <w:rPr>
                <w:rFonts w:hint="eastAsia" w:ascii="仿宋" w:hAnsi="仿宋" w:eastAsia="仿宋" w:cs="仿宋"/>
                <w:b w:val="0"/>
                <w:bCs w:val="0"/>
                <w:color w:val="auto"/>
                <w:kern w:val="0"/>
                <w:sz w:val="21"/>
                <w:szCs w:val="21"/>
                <w:highlight w:val="none"/>
              </w:rPr>
              <w:t>.</w:t>
            </w:r>
            <w:r>
              <w:rPr>
                <w:rFonts w:hint="eastAsia" w:ascii="仿宋" w:hAnsi="仿宋" w:eastAsia="仿宋" w:cs="仿宋"/>
                <w:b w:val="0"/>
                <w:bCs w:val="0"/>
                <w:color w:val="auto"/>
                <w:kern w:val="0"/>
                <w:sz w:val="21"/>
                <w:szCs w:val="21"/>
                <w:highlight w:val="none"/>
                <w:lang w:val="en-US" w:eastAsia="zh-CN"/>
              </w:rPr>
              <w:t>检查电动机、搅拌机</w:t>
            </w:r>
          </w:p>
        </w:tc>
      </w:tr>
      <w:tr w14:paraId="22EA4EE0">
        <w:tblPrEx>
          <w:tblCellMar>
            <w:top w:w="0" w:type="dxa"/>
            <w:left w:w="108" w:type="dxa"/>
            <w:bottom w:w="0" w:type="dxa"/>
            <w:right w:w="108" w:type="dxa"/>
          </w:tblCellMar>
        </w:tblPrEx>
        <w:trPr>
          <w:trHeight w:val="435" w:hRule="atLeast"/>
          <w:jc w:val="center"/>
        </w:trPr>
        <w:tc>
          <w:tcPr>
            <w:tcW w:w="9223" w:type="dxa"/>
            <w:tcBorders>
              <w:top w:val="single" w:color="auto" w:sz="4" w:space="0"/>
              <w:left w:val="single" w:color="auto" w:sz="4" w:space="0"/>
              <w:bottom w:val="single" w:color="auto" w:sz="4" w:space="0"/>
              <w:right w:val="single" w:color="auto" w:sz="4" w:space="0"/>
            </w:tcBorders>
            <w:vAlign w:val="center"/>
          </w:tcPr>
          <w:p w14:paraId="5AB0EB8B">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2.管路、注浆池</w:t>
            </w:r>
          </w:p>
        </w:tc>
      </w:tr>
      <w:tr w14:paraId="329744CF">
        <w:trPr>
          <w:trHeight w:val="435" w:hRule="atLeast"/>
          <w:jc w:val="center"/>
        </w:trPr>
        <w:tc>
          <w:tcPr>
            <w:tcW w:w="9223" w:type="dxa"/>
            <w:tcBorders>
              <w:top w:val="single" w:color="auto" w:sz="4" w:space="0"/>
              <w:left w:val="single" w:color="auto" w:sz="4" w:space="0"/>
              <w:bottom w:val="single" w:color="auto" w:sz="4" w:space="0"/>
              <w:right w:val="single" w:color="auto" w:sz="4" w:space="0"/>
            </w:tcBorders>
            <w:vAlign w:val="center"/>
          </w:tcPr>
          <w:p w14:paraId="7E229073">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3.开关灵活性</w:t>
            </w:r>
          </w:p>
        </w:tc>
      </w:tr>
      <w:tr w14:paraId="7D409A17">
        <w:trPr>
          <w:trHeight w:val="365" w:hRule="atLeast"/>
          <w:jc w:val="center"/>
        </w:trPr>
        <w:tc>
          <w:tcPr>
            <w:tcW w:w="9223" w:type="dxa"/>
            <w:tcBorders>
              <w:top w:val="single" w:color="000000" w:sz="4" w:space="0"/>
              <w:left w:val="single" w:color="000000" w:sz="4" w:space="0"/>
              <w:bottom w:val="single" w:color="000000" w:sz="4" w:space="0"/>
              <w:right w:val="single" w:color="000000" w:sz="4" w:space="0"/>
            </w:tcBorders>
            <w:vAlign w:val="center"/>
          </w:tcPr>
          <w:p w14:paraId="1ABA9299">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b w:val="0"/>
                <w:bCs w:val="0"/>
                <w:i w:val="0"/>
                <w:iCs w:val="0"/>
                <w:color w:val="auto"/>
                <w:sz w:val="21"/>
                <w:szCs w:val="21"/>
                <w:highlight w:val="none"/>
                <w:u w:val="none"/>
                <w:lang w:val="en-US"/>
              </w:rPr>
            </w:pPr>
            <w:r>
              <w:rPr>
                <w:rFonts w:hint="eastAsia" w:ascii="仿宋" w:hAnsi="仿宋" w:eastAsia="仿宋" w:cs="仿宋"/>
                <w:b w:val="0"/>
                <w:bCs w:val="0"/>
                <w:color w:val="auto"/>
                <w:kern w:val="0"/>
                <w:sz w:val="21"/>
                <w:szCs w:val="21"/>
                <w:highlight w:val="none"/>
                <w:lang w:val="en-US" w:eastAsia="zh-CN"/>
              </w:rPr>
              <w:t>4.照明是否出现问题</w:t>
            </w:r>
          </w:p>
        </w:tc>
      </w:tr>
    </w:tbl>
    <w:p w14:paraId="0437D5A7">
      <w:pPr>
        <w:keepNext w:val="0"/>
        <w:keepLines w:val="0"/>
        <w:pageBreakBefore w:val="0"/>
        <w:widowControl w:val="0"/>
        <w:kinsoku/>
        <w:wordWrap/>
        <w:overflowPunct/>
        <w:topLinePunct w:val="0"/>
        <w:autoSpaceDE/>
        <w:autoSpaceDN/>
        <w:bidi w:val="0"/>
        <w:adjustRightInd/>
        <w:snapToGrid/>
        <w:spacing w:line="600" w:lineRule="exact"/>
        <w:ind w:firstLine="422" w:firstLineChars="200"/>
        <w:textAlignment w:val="auto"/>
        <w:outlineLvl w:val="9"/>
        <w:rPr>
          <w:rFonts w:hint="eastAsia" w:ascii="仿宋" w:hAnsi="仿宋" w:eastAsia="仿宋" w:cs="仿宋"/>
          <w:b/>
          <w:color w:val="auto"/>
          <w:sz w:val="21"/>
          <w:szCs w:val="21"/>
          <w:highlight w:val="none"/>
        </w:rPr>
      </w:pPr>
    </w:p>
    <w:tbl>
      <w:tblPr>
        <w:tblStyle w:val="12"/>
        <w:tblW w:w="9199" w:type="dxa"/>
        <w:jc w:val="center"/>
        <w:tblLayout w:type="fixed"/>
        <w:tblCellMar>
          <w:top w:w="0" w:type="dxa"/>
          <w:left w:w="108" w:type="dxa"/>
          <w:bottom w:w="0" w:type="dxa"/>
          <w:right w:w="108" w:type="dxa"/>
        </w:tblCellMar>
      </w:tblPr>
      <w:tblGrid>
        <w:gridCol w:w="1528"/>
        <w:gridCol w:w="2168"/>
        <w:gridCol w:w="5503"/>
      </w:tblGrid>
      <w:tr w14:paraId="1BA9061C">
        <w:tblPrEx>
          <w:tblCellMar>
            <w:top w:w="0" w:type="dxa"/>
            <w:left w:w="108" w:type="dxa"/>
            <w:bottom w:w="0" w:type="dxa"/>
            <w:right w:w="108" w:type="dxa"/>
          </w:tblCellMar>
        </w:tblPrEx>
        <w:trPr>
          <w:trHeight w:val="673" w:hRule="atLeast"/>
          <w:jc w:val="center"/>
        </w:trPr>
        <w:tc>
          <w:tcPr>
            <w:tcW w:w="9199" w:type="dxa"/>
            <w:gridSpan w:val="3"/>
            <w:tcBorders>
              <w:top w:val="single" w:color="000000" w:sz="4" w:space="0"/>
              <w:left w:val="single" w:color="000000" w:sz="4" w:space="0"/>
              <w:bottom w:val="single" w:color="000000" w:sz="4" w:space="0"/>
              <w:right w:val="single" w:color="000000" w:sz="4" w:space="0"/>
            </w:tcBorders>
            <w:vAlign w:val="center"/>
          </w:tcPr>
          <w:p w14:paraId="10C7EB3A">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color w:val="auto"/>
                <w:kern w:val="0"/>
                <w:sz w:val="21"/>
                <w:szCs w:val="21"/>
                <w:highlight w:val="none"/>
                <w:lang w:val="en-US" w:eastAsia="zh-CN"/>
              </w:rPr>
              <w:t>注浆工操作过程注意事项</w:t>
            </w:r>
          </w:p>
        </w:tc>
      </w:tr>
      <w:tr w14:paraId="1B4BE810">
        <w:tblPrEx>
          <w:tblCellMar>
            <w:top w:w="0" w:type="dxa"/>
            <w:left w:w="108" w:type="dxa"/>
            <w:bottom w:w="0" w:type="dxa"/>
            <w:right w:w="108" w:type="dxa"/>
          </w:tblCellMar>
        </w:tblPrEx>
        <w:trPr>
          <w:trHeight w:val="577" w:hRule="atLeast"/>
          <w:jc w:val="center"/>
        </w:trPr>
        <w:tc>
          <w:tcPr>
            <w:tcW w:w="1528" w:type="dxa"/>
            <w:tcBorders>
              <w:top w:val="single" w:color="000000" w:sz="4" w:space="0"/>
              <w:left w:val="single" w:color="000000" w:sz="4" w:space="0"/>
              <w:bottom w:val="single" w:color="000000" w:sz="4" w:space="0"/>
              <w:right w:val="single" w:color="000000" w:sz="4" w:space="0"/>
            </w:tcBorders>
            <w:vAlign w:val="center"/>
          </w:tcPr>
          <w:p w14:paraId="665458D8">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操作顺序</w:t>
            </w:r>
          </w:p>
        </w:tc>
        <w:tc>
          <w:tcPr>
            <w:tcW w:w="2168" w:type="dxa"/>
            <w:tcBorders>
              <w:top w:val="single" w:color="000000" w:sz="4" w:space="0"/>
              <w:left w:val="single" w:color="000000" w:sz="4" w:space="0"/>
              <w:bottom w:val="single" w:color="000000" w:sz="4" w:space="0"/>
              <w:right w:val="single" w:color="000000" w:sz="4" w:space="0"/>
            </w:tcBorders>
            <w:vAlign w:val="center"/>
          </w:tcPr>
          <w:p w14:paraId="5644D83C">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5503" w:type="dxa"/>
            <w:tcBorders>
              <w:top w:val="single" w:color="000000" w:sz="4" w:space="0"/>
              <w:left w:val="single" w:color="000000" w:sz="4" w:space="0"/>
              <w:bottom w:val="single" w:color="000000" w:sz="4" w:space="0"/>
              <w:right w:val="single" w:color="000000" w:sz="4" w:space="0"/>
            </w:tcBorders>
            <w:vAlign w:val="center"/>
          </w:tcPr>
          <w:p w14:paraId="7182F677">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14:paraId="6A51204A">
        <w:tblPrEx>
          <w:tblCellMar>
            <w:top w:w="0" w:type="dxa"/>
            <w:left w:w="108" w:type="dxa"/>
            <w:bottom w:w="0" w:type="dxa"/>
            <w:right w:w="108" w:type="dxa"/>
          </w:tblCellMar>
        </w:tblPrEx>
        <w:trPr>
          <w:trHeight w:val="1145" w:hRule="atLeast"/>
          <w:jc w:val="center"/>
        </w:trPr>
        <w:tc>
          <w:tcPr>
            <w:tcW w:w="1528" w:type="dxa"/>
            <w:vMerge w:val="restart"/>
            <w:tcBorders>
              <w:top w:val="single" w:color="000000" w:sz="4" w:space="0"/>
              <w:left w:val="single" w:color="000000" w:sz="4" w:space="0"/>
              <w:bottom w:val="single" w:color="000000" w:sz="4" w:space="0"/>
              <w:right w:val="single" w:color="000000" w:sz="4" w:space="0"/>
            </w:tcBorders>
            <w:vAlign w:val="center"/>
          </w:tcPr>
          <w:p w14:paraId="064EA769">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注浆</w:t>
            </w:r>
          </w:p>
        </w:tc>
        <w:tc>
          <w:tcPr>
            <w:tcW w:w="2168" w:type="dxa"/>
            <w:tcBorders>
              <w:top w:val="single" w:color="000000" w:sz="4" w:space="0"/>
              <w:left w:val="single" w:color="000000" w:sz="4" w:space="0"/>
              <w:bottom w:val="single" w:color="000000" w:sz="4" w:space="0"/>
              <w:right w:val="single" w:color="000000" w:sz="4" w:space="0"/>
            </w:tcBorders>
            <w:vAlign w:val="center"/>
          </w:tcPr>
          <w:p w14:paraId="0CB844DB">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503" w:type="dxa"/>
            <w:tcBorders>
              <w:top w:val="single" w:color="000000" w:sz="4" w:space="0"/>
              <w:left w:val="single" w:color="000000" w:sz="4" w:space="0"/>
              <w:bottom w:val="single" w:color="000000" w:sz="4" w:space="0"/>
              <w:right w:val="single" w:color="000000" w:sz="4" w:space="0"/>
            </w:tcBorders>
            <w:vAlign w:val="center"/>
          </w:tcPr>
          <w:p w14:paraId="73F9721E">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注浆时要注意周围安全，防止电器、机械等伤害</w:t>
            </w:r>
          </w:p>
        </w:tc>
      </w:tr>
      <w:tr w14:paraId="29F9CF74">
        <w:tblPrEx>
          <w:tblCellMar>
            <w:top w:w="0" w:type="dxa"/>
            <w:left w:w="108" w:type="dxa"/>
            <w:bottom w:w="0" w:type="dxa"/>
            <w:right w:w="108" w:type="dxa"/>
          </w:tblCellMar>
        </w:tblPrEx>
        <w:trPr>
          <w:trHeight w:val="577" w:hRule="atLeast"/>
          <w:jc w:val="center"/>
        </w:trPr>
        <w:tc>
          <w:tcPr>
            <w:tcW w:w="1528" w:type="dxa"/>
            <w:vMerge w:val="continue"/>
            <w:tcBorders>
              <w:top w:val="single" w:color="000000" w:sz="4" w:space="0"/>
              <w:left w:val="single" w:color="000000" w:sz="4" w:space="0"/>
              <w:bottom w:val="single" w:color="000000" w:sz="4" w:space="0"/>
              <w:right w:val="single" w:color="000000" w:sz="4" w:space="0"/>
            </w:tcBorders>
            <w:vAlign w:val="center"/>
          </w:tcPr>
          <w:p w14:paraId="0AE91931">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0B8C38FF">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听异响、信号</w:t>
            </w:r>
          </w:p>
        </w:tc>
        <w:tc>
          <w:tcPr>
            <w:tcW w:w="5503" w:type="dxa"/>
            <w:tcBorders>
              <w:top w:val="single" w:color="000000" w:sz="4" w:space="0"/>
              <w:left w:val="single" w:color="000000" w:sz="4" w:space="0"/>
              <w:bottom w:val="single" w:color="000000" w:sz="4" w:space="0"/>
              <w:right w:val="single" w:color="000000" w:sz="4" w:space="0"/>
            </w:tcBorders>
            <w:vAlign w:val="center"/>
          </w:tcPr>
          <w:p w14:paraId="5532CF05">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听搅拌机异常声音；信号提醒</w:t>
            </w:r>
          </w:p>
        </w:tc>
      </w:tr>
      <w:tr w14:paraId="03CC9EB9">
        <w:tblPrEx>
          <w:tblCellMar>
            <w:top w:w="0" w:type="dxa"/>
            <w:left w:w="108" w:type="dxa"/>
            <w:bottom w:w="0" w:type="dxa"/>
            <w:right w:w="108" w:type="dxa"/>
          </w:tblCellMar>
        </w:tblPrEx>
        <w:trPr>
          <w:trHeight w:val="1038" w:hRule="atLeast"/>
          <w:jc w:val="center"/>
        </w:trPr>
        <w:tc>
          <w:tcPr>
            <w:tcW w:w="1528" w:type="dxa"/>
            <w:vMerge w:val="continue"/>
            <w:tcBorders>
              <w:top w:val="single" w:color="000000" w:sz="4" w:space="0"/>
              <w:left w:val="single" w:color="000000" w:sz="4" w:space="0"/>
              <w:bottom w:val="single" w:color="000000" w:sz="4" w:space="0"/>
              <w:right w:val="single" w:color="000000" w:sz="4" w:space="0"/>
            </w:tcBorders>
            <w:vAlign w:val="center"/>
          </w:tcPr>
          <w:p w14:paraId="70800685">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14:paraId="402B9008">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503" w:type="dxa"/>
            <w:tcBorders>
              <w:top w:val="single" w:color="000000" w:sz="4" w:space="0"/>
              <w:left w:val="single" w:color="000000" w:sz="4" w:space="0"/>
              <w:bottom w:val="single" w:color="000000" w:sz="4" w:space="0"/>
              <w:right w:val="single" w:color="000000" w:sz="4" w:space="0"/>
            </w:tcBorders>
            <w:vAlign w:val="center"/>
          </w:tcPr>
          <w:p w14:paraId="0DC5E962">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控制搅拌机的运行速度和制浆浓度</w:t>
            </w:r>
          </w:p>
        </w:tc>
      </w:tr>
    </w:tbl>
    <w:p w14:paraId="6D34C86B">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14:paraId="4D5145A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w:t>
      </w:r>
      <w:r>
        <w:rPr>
          <w:rFonts w:hint="eastAsia" w:ascii="仿宋" w:hAnsi="仿宋" w:eastAsia="仿宋" w:cs="仿宋"/>
          <w:b w:val="0"/>
          <w:bCs/>
          <w:color w:val="auto"/>
          <w:sz w:val="28"/>
          <w:szCs w:val="28"/>
          <w:highlight w:val="none"/>
          <w:lang w:eastAsia="zh-CN"/>
        </w:rPr>
        <w:t>进入车间时</w:t>
      </w:r>
      <w:r>
        <w:rPr>
          <w:rFonts w:hint="eastAsia" w:ascii="仿宋" w:hAnsi="仿宋" w:eastAsia="仿宋" w:cs="仿宋"/>
          <w:b w:val="0"/>
          <w:bCs/>
          <w:color w:val="auto"/>
          <w:sz w:val="28"/>
          <w:szCs w:val="28"/>
          <w:highlight w:val="none"/>
        </w:rPr>
        <w:t>必须戴安全帽</w:t>
      </w:r>
      <w:r>
        <w:rPr>
          <w:rFonts w:hint="eastAsia"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rPr>
        <w:t>严禁携带烟草和点火物品，</w:t>
      </w:r>
      <w:r>
        <w:rPr>
          <w:rFonts w:hint="eastAsia" w:ascii="仿宋" w:hAnsi="仿宋" w:eastAsia="仿宋" w:cs="仿宋"/>
          <w:b w:val="0"/>
          <w:bCs/>
          <w:color w:val="auto"/>
          <w:sz w:val="28"/>
          <w:szCs w:val="28"/>
          <w:highlight w:val="none"/>
          <w:lang w:eastAsia="zh-CN"/>
        </w:rPr>
        <w:t>上岗</w:t>
      </w:r>
      <w:r>
        <w:rPr>
          <w:rFonts w:hint="eastAsia" w:ascii="仿宋" w:hAnsi="仿宋" w:eastAsia="仿宋" w:cs="仿宋"/>
          <w:b w:val="0"/>
          <w:bCs/>
          <w:color w:val="auto"/>
          <w:sz w:val="28"/>
          <w:szCs w:val="28"/>
          <w:highlight w:val="none"/>
        </w:rPr>
        <w:t>前严禁喝酒。</w:t>
      </w:r>
    </w:p>
    <w:p w14:paraId="0CDDE6C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val="en-US" w:eastAsia="zh-CN"/>
        </w:rPr>
        <w:t>注浆工</w:t>
      </w:r>
      <w:r>
        <w:rPr>
          <w:rFonts w:hint="eastAsia" w:ascii="仿宋" w:hAnsi="仿宋" w:eastAsia="仿宋" w:cs="仿宋"/>
          <w:b w:val="0"/>
          <w:bCs/>
          <w:color w:val="auto"/>
          <w:sz w:val="28"/>
          <w:szCs w:val="28"/>
          <w:highlight w:val="none"/>
        </w:rPr>
        <w:t>必须经有资质的机构培训考试合格后持证上岗。</w:t>
      </w:r>
    </w:p>
    <w:p w14:paraId="6745DF2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（三）严禁随意打开</w:t>
      </w:r>
      <w:r>
        <w:rPr>
          <w:rFonts w:hint="eastAsia" w:ascii="仿宋" w:hAnsi="仿宋" w:eastAsia="仿宋" w:cs="仿宋"/>
          <w:b w:val="0"/>
          <w:bCs/>
          <w:color w:val="auto"/>
          <w:sz w:val="28"/>
          <w:szCs w:val="28"/>
          <w:highlight w:val="none"/>
          <w:lang w:eastAsia="zh-CN"/>
        </w:rPr>
        <w:t>注浆管路，开、关机前必须上报通风部门</w:t>
      </w:r>
      <w:r>
        <w:rPr>
          <w:rFonts w:hint="eastAsia" w:ascii="仿宋" w:hAnsi="仿宋" w:eastAsia="仿宋" w:cs="仿宋"/>
          <w:b w:val="0"/>
          <w:bCs/>
          <w:color w:val="auto"/>
          <w:sz w:val="28"/>
          <w:szCs w:val="28"/>
          <w:highlight w:val="none"/>
        </w:rPr>
        <w:t>。</w:t>
      </w:r>
    </w:p>
    <w:p w14:paraId="1F0E073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开机时必须对注浆管路、下浆阀门等设备进行开机前检查</w:t>
      </w:r>
      <w:r>
        <w:rPr>
          <w:rFonts w:hint="eastAsia" w:ascii="仿宋" w:hAnsi="仿宋" w:eastAsia="仿宋" w:cs="仿宋"/>
          <w:b w:val="0"/>
          <w:bCs/>
          <w:color w:val="auto"/>
          <w:sz w:val="28"/>
          <w:szCs w:val="28"/>
          <w:highlight w:val="none"/>
        </w:rPr>
        <w:t>。</w:t>
      </w:r>
    </w:p>
    <w:p w14:paraId="7F7D161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）严禁</w:t>
      </w:r>
      <w:r>
        <w:rPr>
          <w:rFonts w:hint="eastAsia" w:ascii="仿宋" w:hAnsi="仿宋" w:eastAsia="仿宋" w:cs="仿宋"/>
          <w:b w:val="0"/>
          <w:bCs/>
          <w:color w:val="auto"/>
          <w:sz w:val="28"/>
          <w:szCs w:val="28"/>
          <w:highlight w:val="none"/>
          <w:lang w:eastAsia="zh-CN"/>
        </w:rPr>
        <w:t>私自停机，严禁带电进行检修。</w:t>
      </w:r>
    </w:p>
    <w:p w14:paraId="61484A4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必须制定专项检修方案和时间，严格按照检修方案进行检修。</w:t>
      </w:r>
    </w:p>
    <w:p w14:paraId="22BB52D9">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14:paraId="12337E46">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14:paraId="257A9C9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14:paraId="508E168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14:paraId="7EC8A6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14:paraId="5FC632C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14:paraId="17887A9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14:paraId="540FDF1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14:paraId="5DAB740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14:paraId="58F223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14:paraId="5197BA7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14:paraId="67104AA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14:paraId="25E69CB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14:paraId="2A05A63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14:paraId="719149D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14:paraId="38CF9D9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14:paraId="373F1FD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14:paraId="2070C6A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14:paraId="0520762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14:paraId="1A922683">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14:paraId="437CCF3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14:paraId="1E6522D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14:paraId="57CCD11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14:paraId="23F82999">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14:paraId="0EADE2E1">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14:paraId="0393E74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14:paraId="5B64603C">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14:paraId="4AE863D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14:paraId="6A07D21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14:paraId="5402E0B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14:paraId="7AF9B69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14:paraId="69DCAF62">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14:paraId="5B78CD2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14:paraId="5F61CF0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14:paraId="50E236E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14:paraId="6DE8030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14:paraId="3025ADC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14:paraId="6335D1BA">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14:paraId="61DD7C26">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14:paraId="60D7226D">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14:paraId="58547247">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14:paraId="35ABFA8B">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14:paraId="59171338">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14:paraId="6ED29F52">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14:paraId="59885791">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14:paraId="7E182435">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14:paraId="7B09E2F0">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14:paraId="0233E9EE">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14:paraId="2D125735">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14:paraId="6D8095C7">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（一）通用部分</w:t>
      </w:r>
    </w:p>
    <w:p w14:paraId="766FB2D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风险描述：电气设备性能不良、损坏、过载、短路等，防灭火管理不到位可能造成火灾。</w:t>
      </w:r>
    </w:p>
    <w:p w14:paraId="61F1415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14:paraId="6E8FD31E">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（二）专用部分</w:t>
      </w:r>
    </w:p>
    <w:p w14:paraId="752A1BC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w:t>
      </w:r>
      <w:r>
        <w:rPr>
          <w:rFonts w:hint="eastAsia" w:ascii="仿宋" w:hAnsi="仿宋" w:eastAsia="仿宋" w:cs="仿宋"/>
          <w:color w:val="auto"/>
          <w:sz w:val="28"/>
          <w:szCs w:val="28"/>
          <w:lang w:val="en-US" w:eastAsia="zh-CN"/>
        </w:rPr>
        <w:t>机</w:t>
      </w:r>
      <w:r>
        <w:rPr>
          <w:rFonts w:hint="eastAsia" w:ascii="仿宋" w:hAnsi="仿宋" w:eastAsia="仿宋" w:cs="仿宋"/>
          <w:color w:val="auto"/>
          <w:sz w:val="28"/>
          <w:szCs w:val="28"/>
        </w:rPr>
        <w:t>前：</w:t>
      </w:r>
    </w:p>
    <w:p w14:paraId="40C0C5C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①风险描述：电话不畅通，发生电气设备及人员伤亡事故不能及时汇报，存在事故扩大的风险。</w:t>
      </w:r>
    </w:p>
    <w:p w14:paraId="0AA8C42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管控措施：每班对电话进行检查，发现电话不畅通或损坏的，及时告知维护人员，确保电话畅通完好，电话不畅通严禁操作。</w:t>
      </w:r>
    </w:p>
    <w:p w14:paraId="5C23666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②风险描述：消防器材失效或缺失，发生火灾时，不能及时灭火，存在设备损坏或人员伤亡的风险。</w:t>
      </w:r>
    </w:p>
    <w:p w14:paraId="031ACF8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管控措施：做好防灭火设备设施的维护保养，确保齐全有效。</w:t>
      </w:r>
    </w:p>
    <w:p w14:paraId="127196C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w:t>
      </w:r>
      <w:r>
        <w:rPr>
          <w:rFonts w:hint="eastAsia" w:ascii="仿宋" w:hAnsi="仿宋" w:eastAsia="仿宋" w:cs="仿宋"/>
          <w:color w:val="auto"/>
          <w:sz w:val="28"/>
          <w:szCs w:val="28"/>
          <w:lang w:val="en-US" w:eastAsia="zh-CN"/>
        </w:rPr>
        <w:t>搅拌机</w:t>
      </w:r>
      <w:r>
        <w:rPr>
          <w:rFonts w:hint="eastAsia" w:ascii="仿宋" w:hAnsi="仿宋" w:eastAsia="仿宋" w:cs="仿宋"/>
          <w:color w:val="auto"/>
          <w:sz w:val="28"/>
          <w:szCs w:val="28"/>
        </w:rPr>
        <w:t>转动部位存在转动伤人的风险。</w:t>
      </w:r>
    </w:p>
    <w:p w14:paraId="3692CE2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搅拌机</w:t>
      </w:r>
      <w:r>
        <w:rPr>
          <w:rFonts w:hint="eastAsia" w:ascii="仿宋" w:hAnsi="仿宋" w:eastAsia="仿宋" w:cs="仿宋"/>
          <w:color w:val="auto"/>
          <w:sz w:val="28"/>
          <w:szCs w:val="28"/>
        </w:rPr>
        <w:t>转动部位严禁存在障碍物或人员，开</w:t>
      </w:r>
      <w:r>
        <w:rPr>
          <w:rFonts w:hint="eastAsia" w:ascii="仿宋" w:hAnsi="仿宋" w:eastAsia="仿宋" w:cs="仿宋"/>
          <w:color w:val="auto"/>
          <w:sz w:val="28"/>
          <w:szCs w:val="28"/>
          <w:lang w:val="en-US" w:eastAsia="zh-CN"/>
        </w:rPr>
        <w:t>机</w:t>
      </w:r>
      <w:r>
        <w:rPr>
          <w:rFonts w:hint="eastAsia" w:ascii="仿宋" w:hAnsi="仿宋" w:eastAsia="仿宋" w:cs="仿宋"/>
          <w:color w:val="auto"/>
          <w:sz w:val="28"/>
          <w:szCs w:val="28"/>
        </w:rPr>
        <w:t>前应认真检查，待人员离开或障碍物清理后再开</w:t>
      </w:r>
      <w:r>
        <w:rPr>
          <w:rFonts w:hint="eastAsia" w:ascii="仿宋" w:hAnsi="仿宋" w:eastAsia="仿宋" w:cs="仿宋"/>
          <w:color w:val="auto"/>
          <w:sz w:val="28"/>
          <w:szCs w:val="28"/>
          <w:lang w:val="en-US" w:eastAsia="zh-CN"/>
        </w:rPr>
        <w:t>机</w:t>
      </w:r>
      <w:r>
        <w:rPr>
          <w:rFonts w:hint="eastAsia" w:ascii="仿宋" w:hAnsi="仿宋" w:eastAsia="仿宋" w:cs="仿宋"/>
          <w:color w:val="auto"/>
          <w:sz w:val="28"/>
          <w:szCs w:val="28"/>
        </w:rPr>
        <w:t>。</w:t>
      </w:r>
    </w:p>
    <w:p w14:paraId="2189B03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④风险描述：开车前，监护人未到位，操作人员容易误操作，存在设备损坏、人员伤亡的风险。</w:t>
      </w:r>
    </w:p>
    <w:p w14:paraId="3A400FD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管控措施：开车时严格执行一人操作一人监护，监护人不到位严禁操作。</w:t>
      </w:r>
    </w:p>
    <w:p w14:paraId="6DEA1AE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14:paraId="045837E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风险描述：高压柜、启动装置、变压器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控制柜等不正常运行，发现问题未及时汇报处理，存在设备损坏、人员伤亡的风险。</w:t>
      </w:r>
    </w:p>
    <w:p w14:paraId="1426038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工作中的搅拌机</w:t>
      </w:r>
      <w:r>
        <w:rPr>
          <w:rFonts w:hint="eastAsia" w:ascii="仿宋" w:hAnsi="仿宋" w:eastAsia="仿宋" w:cs="仿宋"/>
          <w:color w:val="auto"/>
          <w:sz w:val="28"/>
          <w:szCs w:val="28"/>
        </w:rPr>
        <w:t>、高压柜、启动装置、变压器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控制柜及启动装置等异常，应立即停机，汇报处理，等问题处理后，再开机。</w:t>
      </w:r>
    </w:p>
    <w:p w14:paraId="41F97F4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w:t>
      </w:r>
      <w:r>
        <w:rPr>
          <w:rFonts w:hint="eastAsia" w:ascii="仿宋" w:hAnsi="仿宋" w:eastAsia="仿宋" w:cs="仿宋"/>
          <w:color w:val="auto"/>
          <w:sz w:val="28"/>
          <w:szCs w:val="28"/>
          <w:lang w:val="en-US" w:eastAsia="zh-CN"/>
        </w:rPr>
        <w:t>机</w:t>
      </w:r>
      <w:r>
        <w:rPr>
          <w:rFonts w:hint="eastAsia" w:ascii="仿宋" w:hAnsi="仿宋" w:eastAsia="仿宋" w:cs="仿宋"/>
          <w:color w:val="auto"/>
          <w:sz w:val="28"/>
          <w:szCs w:val="28"/>
        </w:rPr>
        <w:t>后</w:t>
      </w:r>
    </w:p>
    <w:p w14:paraId="0209BC7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w:t>
      </w:r>
      <w:r>
        <w:rPr>
          <w:rFonts w:hint="eastAsia" w:ascii="仿宋" w:hAnsi="仿宋" w:eastAsia="仿宋" w:cs="仿宋"/>
          <w:color w:val="auto"/>
          <w:sz w:val="28"/>
          <w:szCs w:val="28"/>
          <w:lang w:val="en-US" w:eastAsia="zh-CN"/>
        </w:rPr>
        <w:t>搅拌机停机后</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开关处于关闭状态</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及时停电防止</w:t>
      </w:r>
      <w:r>
        <w:rPr>
          <w:rFonts w:hint="eastAsia" w:ascii="仿宋" w:hAnsi="仿宋" w:eastAsia="仿宋" w:cs="仿宋"/>
          <w:color w:val="auto"/>
          <w:sz w:val="28"/>
          <w:szCs w:val="28"/>
        </w:rPr>
        <w:t>误动作，存在设备损坏或人员伤亡的风险。</w:t>
      </w:r>
    </w:p>
    <w:p w14:paraId="6FF367C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管控措施：提升机停车后，操作司机及监护司机应检查主令控制器位置，确认在零位，监护司机要及时提醒操作人，规范操作。</w:t>
      </w:r>
    </w:p>
    <w:p w14:paraId="7F173B1F">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四、开机前检查</w:t>
      </w:r>
    </w:p>
    <w:p w14:paraId="29F3640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检查注</w:t>
      </w:r>
      <w:r>
        <w:rPr>
          <w:rFonts w:hint="eastAsia" w:ascii="仿宋" w:hAnsi="仿宋" w:eastAsia="仿宋" w:cs="仿宋"/>
          <w:color w:val="auto"/>
          <w:sz w:val="28"/>
          <w:szCs w:val="28"/>
          <w:highlight w:val="none"/>
          <w:lang w:val="en-US" w:eastAsia="zh-CN"/>
        </w:rPr>
        <w:t>浆</w:t>
      </w:r>
      <w:r>
        <w:rPr>
          <w:rFonts w:hint="eastAsia" w:ascii="仿宋" w:hAnsi="仿宋" w:eastAsia="仿宋" w:cs="仿宋"/>
          <w:color w:val="auto"/>
          <w:sz w:val="28"/>
          <w:szCs w:val="28"/>
          <w:highlight w:val="none"/>
        </w:rPr>
        <w:t>系统各零部件是否完好、仪表、阀门、管路及接头是否有损坏或松动。</w:t>
      </w:r>
    </w:p>
    <w:p w14:paraId="2A30025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.检查注浆池内是否有垃圾杂料等</w:t>
      </w:r>
      <w:r>
        <w:rPr>
          <w:rFonts w:hint="eastAsia" w:ascii="仿宋" w:hAnsi="仿宋" w:eastAsia="仿宋" w:cs="仿宋"/>
          <w:color w:val="auto"/>
          <w:sz w:val="28"/>
          <w:szCs w:val="28"/>
          <w:highlight w:val="none"/>
        </w:rPr>
        <w:t>。</w:t>
      </w:r>
    </w:p>
    <w:p w14:paraId="12CE9B2B">
      <w:pPr>
        <w:pStyle w:val="7"/>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3.检查注浆下浆阀门是否灵活、好用。</w:t>
      </w:r>
    </w:p>
    <w:p w14:paraId="182F042A">
      <w:pPr>
        <w:pStyle w:val="7"/>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4.检查搅拌机电源接头是否松动、漏电现象。</w:t>
      </w:r>
    </w:p>
    <w:p w14:paraId="0BF5FBE0">
      <w:pPr>
        <w:pStyle w:val="7"/>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5.检查电源控制箱控制按钮是否灵活好用。</w:t>
      </w:r>
    </w:p>
    <w:p w14:paraId="274942DD">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（一）关机前检查：</w:t>
      </w:r>
    </w:p>
    <w:p w14:paraId="7408540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1.关闭下浆阀门。</w:t>
      </w:r>
    </w:p>
    <w:p w14:paraId="73E151D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2.关闭搅拌机电源。</w:t>
      </w:r>
    </w:p>
    <w:p w14:paraId="4B891E47">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3.按“停止”按钮，关闭控制箱电源。</w:t>
      </w:r>
    </w:p>
    <w:p w14:paraId="0467C39B">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4.关闭水枪阀门。</w:t>
      </w:r>
    </w:p>
    <w:p w14:paraId="1D7A861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5.长时间停机或设备维修时，应将电控箱内的电源开关断开。</w:t>
      </w:r>
    </w:p>
    <w:p w14:paraId="62DC5A5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单元检查表确认</w:t>
      </w:r>
      <w:r>
        <w:rPr>
          <w:rFonts w:hint="eastAsia" w:ascii="仿宋" w:hAnsi="仿宋" w:eastAsia="仿宋" w:cs="仿宋"/>
          <w:color w:val="auto"/>
          <w:kern w:val="0"/>
          <w:sz w:val="28"/>
          <w:szCs w:val="28"/>
          <w:highlight w:val="none"/>
        </w:rPr>
        <w:t>：</w:t>
      </w:r>
    </w:p>
    <w:p w14:paraId="68BB8F63">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（1）水管：水管接头连接牢固能正常使用。</w:t>
      </w:r>
    </w:p>
    <w:p w14:paraId="301382F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（2）浓度：</w:t>
      </w:r>
      <w:r>
        <w:rPr>
          <w:rFonts w:hint="eastAsia" w:ascii="仿宋" w:hAnsi="仿宋" w:eastAsia="仿宋" w:cs="仿宋"/>
          <w:color w:val="auto"/>
          <w:sz w:val="28"/>
          <w:szCs w:val="28"/>
          <w:highlight w:val="none"/>
          <w:lang w:val="en-US" w:eastAsia="zh-CN"/>
        </w:rPr>
        <w:t>按照比例进行制浆</w:t>
      </w:r>
      <w:r>
        <w:rPr>
          <w:rFonts w:hint="eastAsia" w:ascii="仿宋" w:hAnsi="仿宋" w:eastAsia="仿宋" w:cs="仿宋"/>
          <w:color w:val="auto"/>
          <w:sz w:val="28"/>
          <w:szCs w:val="28"/>
          <w:highlight w:val="none"/>
        </w:rPr>
        <w:t>。</w:t>
      </w:r>
    </w:p>
    <w:p w14:paraId="3647108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（3）电机：电机完好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联轴节：联轴节转动灵活</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护罩：固定牢靠</w:t>
      </w:r>
      <w:r>
        <w:rPr>
          <w:rFonts w:hint="eastAsia" w:ascii="仿宋" w:hAnsi="仿宋" w:eastAsia="仿宋" w:cs="仿宋"/>
          <w:color w:val="auto"/>
          <w:sz w:val="28"/>
          <w:szCs w:val="28"/>
          <w:highlight w:val="none"/>
          <w:lang w:eastAsia="zh-CN"/>
        </w:rPr>
        <w:t>。</w:t>
      </w:r>
    </w:p>
    <w:p w14:paraId="2078154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（4）油质：无杂质，润滑良好；密封良好无漏油现象。</w:t>
      </w:r>
    </w:p>
    <w:p w14:paraId="5A1C426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下浆</w:t>
      </w:r>
      <w:r>
        <w:rPr>
          <w:rFonts w:hint="eastAsia" w:ascii="仿宋" w:hAnsi="仿宋" w:eastAsia="仿宋" w:cs="仿宋"/>
          <w:color w:val="auto"/>
          <w:sz w:val="28"/>
          <w:szCs w:val="28"/>
          <w:highlight w:val="none"/>
        </w:rPr>
        <w:t>管路：管路连接牢固。</w:t>
      </w:r>
    </w:p>
    <w:p w14:paraId="65DF873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（6）压力表：压力表指针灵活，无破损。</w:t>
      </w:r>
    </w:p>
    <w:p w14:paraId="39539C9B">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五、</w:t>
      </w:r>
      <w:r>
        <w:rPr>
          <w:rFonts w:hint="eastAsia" w:ascii="仿宋" w:hAnsi="仿宋" w:eastAsia="仿宋" w:cs="仿宋"/>
          <w:b/>
          <w:color w:val="auto"/>
          <w:sz w:val="28"/>
          <w:szCs w:val="28"/>
          <w:highlight w:val="none"/>
          <w:lang w:val="en-US" w:eastAsia="zh-CN"/>
        </w:rPr>
        <w:t>注浆工</w:t>
      </w:r>
      <w:r>
        <w:rPr>
          <w:rFonts w:hint="eastAsia" w:ascii="仿宋" w:hAnsi="仿宋" w:eastAsia="仿宋" w:cs="仿宋"/>
          <w:b/>
          <w:color w:val="auto"/>
          <w:sz w:val="28"/>
          <w:szCs w:val="28"/>
          <w:highlight w:val="none"/>
        </w:rPr>
        <w:t>正规操作</w:t>
      </w:r>
    </w:p>
    <w:p w14:paraId="77232E8F">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val="en-US" w:eastAsia="zh-CN"/>
        </w:rPr>
        <w:t>注浆工</w:t>
      </w:r>
      <w:r>
        <w:rPr>
          <w:rFonts w:hint="eastAsia" w:ascii="仿宋" w:hAnsi="仿宋" w:eastAsia="仿宋" w:cs="仿宋"/>
          <w:b/>
          <w:color w:val="auto"/>
          <w:sz w:val="28"/>
          <w:szCs w:val="28"/>
          <w:highlight w:val="none"/>
        </w:rPr>
        <w:t>操作顺序：</w:t>
      </w:r>
    </w:p>
    <w:p w14:paraId="4D833B8B">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试运转→检查处理问题→正式启动→运转→停机。</w:t>
      </w:r>
    </w:p>
    <w:p w14:paraId="61F4DE3B">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w:t>
      </w:r>
      <w:r>
        <w:rPr>
          <w:rFonts w:hint="eastAsia" w:ascii="仿宋" w:hAnsi="仿宋" w:eastAsia="仿宋" w:cs="仿宋"/>
          <w:b/>
          <w:color w:val="auto"/>
          <w:sz w:val="28"/>
          <w:szCs w:val="28"/>
          <w:highlight w:val="none"/>
          <w:lang w:val="en-US" w:eastAsia="zh-CN"/>
        </w:rPr>
        <w:t>注浆工</w:t>
      </w:r>
      <w:r>
        <w:rPr>
          <w:rFonts w:hint="eastAsia" w:ascii="仿宋" w:hAnsi="仿宋" w:eastAsia="仿宋" w:cs="仿宋"/>
          <w:b/>
          <w:color w:val="auto"/>
          <w:sz w:val="28"/>
          <w:szCs w:val="28"/>
          <w:highlight w:val="none"/>
        </w:rPr>
        <w:t>正规操作：</w:t>
      </w:r>
    </w:p>
    <w:p w14:paraId="2787681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1.试运转：开</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前必须发出开</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信号，启动</w:t>
      </w:r>
      <w:r>
        <w:rPr>
          <w:rFonts w:hint="eastAsia" w:ascii="仿宋" w:hAnsi="仿宋" w:eastAsia="仿宋" w:cs="仿宋"/>
          <w:color w:val="auto"/>
          <w:sz w:val="28"/>
          <w:szCs w:val="28"/>
          <w:highlight w:val="none"/>
          <w:lang w:val="en-US" w:eastAsia="zh-CN"/>
        </w:rPr>
        <w:t>搅拌机。</w:t>
      </w:r>
    </w:p>
    <w:p w14:paraId="1255305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2.检查处理问题:</w:t>
      </w:r>
    </w:p>
    <w:p w14:paraId="13E266C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w:t>
      </w:r>
      <w:r>
        <w:rPr>
          <w:rFonts w:hint="eastAsia" w:ascii="仿宋" w:hAnsi="仿宋" w:eastAsia="仿宋" w:cs="仿宋"/>
          <w:color w:val="auto"/>
          <w:sz w:val="28"/>
          <w:szCs w:val="28"/>
          <w:highlight w:val="none"/>
          <w:lang w:val="en-US" w:eastAsia="zh-CN"/>
        </w:rPr>
        <w:t>至搅拌机</w:t>
      </w:r>
      <w:r>
        <w:rPr>
          <w:rFonts w:hint="eastAsia" w:ascii="仿宋" w:hAnsi="仿宋" w:eastAsia="仿宋" w:cs="仿宋"/>
          <w:color w:val="auto"/>
          <w:sz w:val="28"/>
          <w:szCs w:val="28"/>
          <w:highlight w:val="none"/>
        </w:rPr>
        <w:t>检查处理：</w:t>
      </w:r>
    </w:p>
    <w:p w14:paraId="59DDA23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①异声异味。</w:t>
      </w:r>
    </w:p>
    <w:p w14:paraId="6BED696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w:t>
      </w:r>
      <w:r>
        <w:rPr>
          <w:rFonts w:hint="eastAsia" w:ascii="仿宋" w:hAnsi="仿宋" w:eastAsia="仿宋" w:cs="仿宋"/>
          <w:color w:val="auto"/>
          <w:sz w:val="28"/>
          <w:szCs w:val="28"/>
          <w:highlight w:val="none"/>
          <w:lang w:val="en-US" w:eastAsia="zh-CN"/>
        </w:rPr>
        <w:t>注浆</w:t>
      </w:r>
      <w:r>
        <w:rPr>
          <w:rFonts w:hint="eastAsia" w:ascii="仿宋" w:hAnsi="仿宋" w:eastAsia="仿宋" w:cs="仿宋"/>
          <w:color w:val="auto"/>
          <w:sz w:val="28"/>
          <w:szCs w:val="28"/>
          <w:highlight w:val="none"/>
        </w:rPr>
        <w:t>管路破裂、脱开，</w:t>
      </w:r>
      <w:r>
        <w:rPr>
          <w:rFonts w:hint="eastAsia" w:ascii="仿宋" w:hAnsi="仿宋" w:eastAsia="仿宋" w:cs="仿宋"/>
          <w:color w:val="auto"/>
          <w:sz w:val="28"/>
          <w:szCs w:val="28"/>
          <w:highlight w:val="none"/>
          <w:lang w:val="en-US" w:eastAsia="zh-CN"/>
        </w:rPr>
        <w:t>漏浆</w:t>
      </w:r>
      <w:r>
        <w:rPr>
          <w:rFonts w:hint="eastAsia" w:ascii="仿宋" w:hAnsi="仿宋" w:eastAsia="仿宋" w:cs="仿宋"/>
          <w:color w:val="auto"/>
          <w:sz w:val="28"/>
          <w:szCs w:val="28"/>
          <w:highlight w:val="none"/>
        </w:rPr>
        <w:t>。</w:t>
      </w:r>
    </w:p>
    <w:p w14:paraId="0C66D4C9">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3.正式启动：起动</w:t>
      </w:r>
      <w:r>
        <w:rPr>
          <w:rFonts w:hint="eastAsia" w:ascii="仿宋" w:hAnsi="仿宋" w:eastAsia="仿宋" w:cs="仿宋"/>
          <w:color w:val="auto"/>
          <w:sz w:val="28"/>
          <w:szCs w:val="28"/>
          <w:highlight w:val="none"/>
          <w:lang w:val="en-US" w:eastAsia="zh-CN"/>
        </w:rPr>
        <w:t>搅拌机，调节注浆比例</w:t>
      </w:r>
      <w:r>
        <w:rPr>
          <w:rFonts w:hint="eastAsia" w:ascii="仿宋" w:hAnsi="仿宋" w:eastAsia="仿宋" w:cs="仿宋"/>
          <w:color w:val="auto"/>
          <w:sz w:val="28"/>
          <w:szCs w:val="28"/>
          <w:highlight w:val="none"/>
        </w:rPr>
        <w:t>使</w:t>
      </w:r>
      <w:r>
        <w:rPr>
          <w:rFonts w:hint="eastAsia" w:ascii="仿宋" w:hAnsi="仿宋" w:eastAsia="仿宋" w:cs="仿宋"/>
          <w:color w:val="auto"/>
          <w:sz w:val="28"/>
          <w:szCs w:val="28"/>
          <w:highlight w:val="none"/>
          <w:lang w:val="en-US" w:eastAsia="zh-CN"/>
        </w:rPr>
        <w:t>注浆浓度达到标准</w:t>
      </w:r>
      <w:r>
        <w:rPr>
          <w:rFonts w:hint="eastAsia" w:ascii="仿宋" w:hAnsi="仿宋" w:eastAsia="仿宋" w:cs="仿宋"/>
          <w:color w:val="auto"/>
          <w:sz w:val="28"/>
          <w:szCs w:val="28"/>
          <w:highlight w:val="none"/>
        </w:rPr>
        <w:t>。</w:t>
      </w:r>
    </w:p>
    <w:p w14:paraId="5693DC21">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4.运转：运转过程中应注意观察</w:t>
      </w:r>
      <w:r>
        <w:rPr>
          <w:rFonts w:hint="eastAsia" w:ascii="仿宋" w:hAnsi="仿宋" w:eastAsia="仿宋" w:cs="仿宋"/>
          <w:color w:val="auto"/>
          <w:sz w:val="28"/>
          <w:szCs w:val="28"/>
          <w:highlight w:val="none"/>
          <w:lang w:val="en-US" w:eastAsia="zh-CN"/>
        </w:rPr>
        <w:t>搅拌机运转</w:t>
      </w:r>
      <w:r>
        <w:rPr>
          <w:rFonts w:hint="eastAsia" w:ascii="仿宋" w:hAnsi="仿宋" w:eastAsia="仿宋" w:cs="仿宋"/>
          <w:color w:val="auto"/>
          <w:sz w:val="28"/>
          <w:szCs w:val="28"/>
          <w:highlight w:val="none"/>
        </w:rPr>
        <w:t>情况，机器声音、温度是否正常，发现问题，应立即停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w:t>
      </w:r>
    </w:p>
    <w:p w14:paraId="389B5ADE">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停机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关闭开关，停电。</w:t>
      </w:r>
    </w:p>
    <w:p w14:paraId="35D44435">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val="en-US" w:eastAsia="zh-CN"/>
        </w:rPr>
        <w:t>注浆工</w:t>
      </w:r>
      <w:r>
        <w:rPr>
          <w:rFonts w:hint="eastAsia" w:ascii="仿宋" w:hAnsi="仿宋" w:eastAsia="仿宋" w:cs="仿宋"/>
          <w:b/>
          <w:color w:val="auto"/>
          <w:sz w:val="28"/>
          <w:szCs w:val="28"/>
          <w:highlight w:val="none"/>
        </w:rPr>
        <w:t>操作过程中的安全注意事项：</w:t>
      </w:r>
    </w:p>
    <w:p w14:paraId="414D2A84">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（一）开</w:t>
      </w:r>
      <w:r>
        <w:rPr>
          <w:rFonts w:hint="eastAsia" w:ascii="仿宋" w:hAnsi="仿宋" w:eastAsia="仿宋" w:cs="仿宋"/>
          <w:b/>
          <w:color w:val="auto"/>
          <w:sz w:val="28"/>
          <w:szCs w:val="28"/>
          <w:highlight w:val="none"/>
          <w:lang w:val="en-US" w:eastAsia="zh-CN"/>
        </w:rPr>
        <w:t>机</w:t>
      </w:r>
    </w:p>
    <w:p w14:paraId="5CD60C7D">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b w:val="0"/>
          <w:bCs/>
          <w:color w:val="auto"/>
          <w:sz w:val="28"/>
          <w:szCs w:val="28"/>
          <w:highlight w:val="none"/>
          <w:lang w:val="en-US" w:eastAsia="zh-CN"/>
        </w:rPr>
        <w:t>机器</w:t>
      </w:r>
      <w:r>
        <w:rPr>
          <w:rFonts w:hint="eastAsia" w:ascii="仿宋" w:hAnsi="仿宋" w:eastAsia="仿宋" w:cs="仿宋"/>
          <w:color w:val="auto"/>
          <w:kern w:val="0"/>
          <w:sz w:val="28"/>
          <w:szCs w:val="28"/>
          <w:highlight w:val="none"/>
        </w:rPr>
        <w:t>周围有无人员、异物</w:t>
      </w:r>
      <w:r>
        <w:rPr>
          <w:rFonts w:hint="eastAsia" w:ascii="仿宋" w:hAnsi="仿宋" w:eastAsia="仿宋" w:cs="仿宋"/>
          <w:color w:val="auto"/>
          <w:kern w:val="0"/>
          <w:sz w:val="28"/>
          <w:szCs w:val="28"/>
          <w:highlight w:val="none"/>
          <w:lang w:eastAsia="zh-CN"/>
        </w:rPr>
        <w:t>。</w:t>
      </w:r>
    </w:p>
    <w:p w14:paraId="3654B526">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w:t>
      </w:r>
      <w:r>
        <w:rPr>
          <w:rFonts w:hint="eastAsia" w:ascii="仿宋" w:hAnsi="仿宋" w:eastAsia="仿宋" w:cs="仿宋"/>
          <w:b w:val="0"/>
          <w:bCs/>
          <w:color w:val="auto"/>
          <w:sz w:val="28"/>
          <w:szCs w:val="28"/>
          <w:highlight w:val="none"/>
          <w:lang w:val="en-US" w:eastAsia="zh-CN"/>
        </w:rPr>
        <w:t>观察搅拌机及</w:t>
      </w:r>
      <w:r>
        <w:rPr>
          <w:rFonts w:hint="eastAsia" w:ascii="仿宋" w:hAnsi="仿宋" w:eastAsia="仿宋" w:cs="仿宋"/>
          <w:color w:val="auto"/>
          <w:kern w:val="0"/>
          <w:sz w:val="28"/>
          <w:szCs w:val="28"/>
          <w:highlight w:val="none"/>
          <w:lang w:val="en-US" w:eastAsia="zh-CN"/>
        </w:rPr>
        <w:t>注浆管路等异常声音。</w:t>
      </w:r>
    </w:p>
    <w:p w14:paraId="7AEA631D">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3.</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lang w:val="en-US" w:eastAsia="zh-CN"/>
        </w:rPr>
        <w:t>控制注浆浓度、搅拌速度及下浆速度。</w:t>
      </w:r>
    </w:p>
    <w:p w14:paraId="04057EC1">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七、全部注意事项</w:t>
      </w:r>
    </w:p>
    <w:p w14:paraId="1408C082">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1.修理、更换主要供</w:t>
      </w:r>
      <w:r>
        <w:rPr>
          <w:rFonts w:hint="eastAsia" w:ascii="仿宋" w:hAnsi="仿宋" w:eastAsia="仿宋" w:cs="仿宋"/>
          <w:color w:val="auto"/>
          <w:sz w:val="28"/>
          <w:szCs w:val="28"/>
          <w:highlight w:val="none"/>
          <w:lang w:val="en-US" w:eastAsia="zh-CN"/>
        </w:rPr>
        <w:t>浆</w:t>
      </w:r>
      <w:r>
        <w:rPr>
          <w:rFonts w:hint="eastAsia" w:ascii="仿宋" w:hAnsi="仿宋" w:eastAsia="仿宋" w:cs="仿宋"/>
          <w:color w:val="auto"/>
          <w:sz w:val="28"/>
          <w:szCs w:val="28"/>
          <w:highlight w:val="none"/>
        </w:rPr>
        <w:t>管路时必须关闭主管路截止阀，严禁带压更换</w:t>
      </w:r>
      <w:r>
        <w:rPr>
          <w:rFonts w:hint="eastAsia" w:ascii="仿宋" w:hAnsi="仿宋" w:eastAsia="仿宋" w:cs="仿宋"/>
          <w:color w:val="auto"/>
          <w:sz w:val="28"/>
          <w:szCs w:val="28"/>
          <w:highlight w:val="none"/>
          <w:lang w:val="en-US" w:eastAsia="zh-CN"/>
        </w:rPr>
        <w:t>元</w:t>
      </w:r>
      <w:r>
        <w:rPr>
          <w:rFonts w:hint="eastAsia" w:ascii="仿宋" w:hAnsi="仿宋" w:eastAsia="仿宋" w:cs="仿宋"/>
          <w:color w:val="auto"/>
          <w:sz w:val="28"/>
          <w:szCs w:val="28"/>
          <w:highlight w:val="none"/>
        </w:rPr>
        <w:t>件。</w:t>
      </w:r>
    </w:p>
    <w:p w14:paraId="146991FF">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搅拌机</w:t>
      </w:r>
      <w:r>
        <w:rPr>
          <w:rFonts w:hint="eastAsia" w:ascii="仿宋" w:hAnsi="仿宋" w:eastAsia="仿宋" w:cs="仿宋"/>
          <w:color w:val="auto"/>
          <w:sz w:val="28"/>
          <w:szCs w:val="28"/>
          <w:highlight w:val="none"/>
        </w:rPr>
        <w:t>运转过程中应注意观察各种仪表的显示情况，机器声音、温度是否正常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发现问题，应及时停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处理。</w:t>
      </w:r>
    </w:p>
    <w:p w14:paraId="2428C83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w:t>
      </w:r>
    </w:p>
    <w:p w14:paraId="39A6F28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（1）异声异味。</w:t>
      </w:r>
    </w:p>
    <w:p w14:paraId="7E1B030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（2）温度超过规定。</w:t>
      </w:r>
    </w:p>
    <w:p w14:paraId="372F991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注浆池内出现垃圾、杂料。</w:t>
      </w:r>
    </w:p>
    <w:p w14:paraId="490C725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注浆</w:t>
      </w:r>
      <w:r>
        <w:rPr>
          <w:rFonts w:hint="eastAsia" w:ascii="仿宋" w:hAnsi="仿宋" w:eastAsia="仿宋" w:cs="仿宋"/>
          <w:color w:val="auto"/>
          <w:sz w:val="28"/>
          <w:szCs w:val="28"/>
          <w:highlight w:val="none"/>
        </w:rPr>
        <w:t>管路破裂、脱开，大量泄液。</w:t>
      </w:r>
    </w:p>
    <w:p w14:paraId="74B4002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5.发现</w:t>
      </w:r>
      <w:r>
        <w:rPr>
          <w:rFonts w:hint="eastAsia" w:ascii="仿宋" w:hAnsi="仿宋" w:eastAsia="仿宋" w:cs="仿宋"/>
          <w:color w:val="auto"/>
          <w:sz w:val="28"/>
          <w:szCs w:val="28"/>
          <w:highlight w:val="none"/>
          <w:lang w:val="en-US" w:eastAsia="zh-CN"/>
        </w:rPr>
        <w:t>搅拌机出现漏电现象时</w:t>
      </w:r>
      <w:r>
        <w:rPr>
          <w:rFonts w:hint="eastAsia" w:ascii="仿宋" w:hAnsi="仿宋" w:eastAsia="仿宋" w:cs="仿宋"/>
          <w:color w:val="auto"/>
          <w:sz w:val="28"/>
          <w:szCs w:val="28"/>
          <w:highlight w:val="none"/>
        </w:rPr>
        <w:t>，应立即汇报、调整、处理。</w:t>
      </w:r>
    </w:p>
    <w:p w14:paraId="2589B7BA">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6.开关、电动机、按钮、接线盒等电气设备无法避开淋水时，必须妥善遮盖。</w:t>
      </w:r>
    </w:p>
    <w:p w14:paraId="4229FF37">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7.事故停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和收工停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时都应首先</w:t>
      </w:r>
      <w:r>
        <w:rPr>
          <w:rFonts w:hint="eastAsia" w:ascii="仿宋" w:hAnsi="仿宋" w:eastAsia="仿宋" w:cs="仿宋"/>
          <w:color w:val="auto"/>
          <w:sz w:val="28"/>
          <w:szCs w:val="28"/>
          <w:highlight w:val="none"/>
          <w:lang w:eastAsia="zh-CN"/>
        </w:rPr>
        <w:t>关闭电源控制箱</w:t>
      </w:r>
      <w:r>
        <w:rPr>
          <w:rFonts w:hint="eastAsia" w:ascii="仿宋" w:hAnsi="仿宋" w:eastAsia="仿宋" w:cs="仿宋"/>
          <w:color w:val="auto"/>
          <w:sz w:val="28"/>
          <w:szCs w:val="28"/>
          <w:highlight w:val="none"/>
        </w:rPr>
        <w:t>，使</w:t>
      </w:r>
      <w:r>
        <w:rPr>
          <w:rFonts w:hint="eastAsia" w:ascii="仿宋" w:hAnsi="仿宋" w:eastAsia="仿宋" w:cs="仿宋"/>
          <w:color w:val="auto"/>
          <w:sz w:val="28"/>
          <w:szCs w:val="28"/>
          <w:highlight w:val="none"/>
          <w:lang w:val="en-US" w:eastAsia="zh-CN"/>
        </w:rPr>
        <w:t>搅拌机停止</w:t>
      </w:r>
      <w:r>
        <w:rPr>
          <w:rFonts w:hint="eastAsia" w:ascii="仿宋" w:hAnsi="仿宋" w:eastAsia="仿宋" w:cs="仿宋"/>
          <w:color w:val="auto"/>
          <w:sz w:val="28"/>
          <w:szCs w:val="28"/>
          <w:highlight w:val="none"/>
        </w:rPr>
        <w:t>运行，并切断电源。</w:t>
      </w:r>
    </w:p>
    <w:p w14:paraId="7F0FF809">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八、停机后确认</w:t>
      </w:r>
    </w:p>
    <w:p w14:paraId="75DA99E3">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1.停电闭锁：已闭锁</w:t>
      </w:r>
      <w:r>
        <w:rPr>
          <w:rFonts w:hint="eastAsia" w:ascii="仿宋" w:hAnsi="仿宋" w:eastAsia="仿宋" w:cs="仿宋"/>
          <w:color w:val="auto"/>
          <w:sz w:val="28"/>
          <w:szCs w:val="28"/>
          <w:highlight w:val="none"/>
          <w:lang w:eastAsia="zh-CN"/>
        </w:rPr>
        <w:t>。</w:t>
      </w:r>
    </w:p>
    <w:p w14:paraId="3B538504">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控制箱</w:t>
      </w:r>
      <w:r>
        <w:rPr>
          <w:rFonts w:hint="eastAsia" w:ascii="仿宋" w:hAnsi="仿宋" w:eastAsia="仿宋" w:cs="仿宋"/>
          <w:color w:val="auto"/>
          <w:sz w:val="28"/>
          <w:szCs w:val="28"/>
          <w:highlight w:val="none"/>
        </w:rPr>
        <w:t>：已关闭</w:t>
      </w:r>
      <w:r>
        <w:rPr>
          <w:rFonts w:hint="eastAsia" w:ascii="仿宋" w:hAnsi="仿宋" w:eastAsia="仿宋" w:cs="仿宋"/>
          <w:color w:val="auto"/>
          <w:sz w:val="28"/>
          <w:szCs w:val="28"/>
          <w:highlight w:val="none"/>
          <w:lang w:eastAsia="zh-CN"/>
        </w:rPr>
        <w:t>。</w:t>
      </w:r>
    </w:p>
    <w:p w14:paraId="641F56A0">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九、事故案例教育</w:t>
      </w:r>
    </w:p>
    <w:p w14:paraId="13B4D07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14:paraId="11417E8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事故发生在XX矿井下制浆用的浆池。浆池(椭圆形，高2.5m)的容积约为28.8m3，四周密闭，仅池顶部开1个0.24m2(0.4mX0.6m)的观察口，池内设有搅拌机、抽浆泵。2003年6月20日13：00左右，制浆工周XX在工作中发现抽浆速度太慢，怀疑抽浆泵堵塞，既没系好绳子，也没有带好氧气瓶就下池检修，一不小心跌入浆池中。谢XX听到求救声后，杜XX、戚XX、俞XX先后下池救人，都没有上来。谢XX就叫别人给自己系上绳子下去救人，被人拉上来，并被迅速送往医院抢救。</w:t>
      </w:r>
    </w:p>
    <w:p w14:paraId="5666807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14:paraId="7B3EC83F">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周XX在没有任何防护措施的情况下，冒险作业，擅自进入浆池检修而导致事故的发生。</w:t>
      </w:r>
    </w:p>
    <w:p w14:paraId="3AE55856">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企业安全管理混乱。安全管理人员不到位；没有建立健全和落实安全生产责任制；没有制定必要的安全生产规章制度和安全操作规程，也没有对职工进行安全知识培训，职工安全意识淡薄，缺乏基本的自我保护意识和救援知识。</w:t>
      </w:r>
    </w:p>
    <w:p w14:paraId="40593E0E">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14:paraId="7D93477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请专业设计和安装单位重新设计浆池和生产装置，调整工艺布局。增加制浆工艺的安全可靠性，在工艺上对抽浆进行改造。</w:t>
      </w:r>
    </w:p>
    <w:p w14:paraId="17A4E855">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制定操作安全规程和制度。</w:t>
      </w:r>
    </w:p>
    <w:p w14:paraId="177F5981">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对生产车间操作人员进行技术、安全培训教育。</w:t>
      </w:r>
    </w:p>
    <w:p w14:paraId="681F8A84">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十、常见三违</w:t>
      </w:r>
    </w:p>
    <w:p w14:paraId="501D2060">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一</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注浆</w:t>
      </w:r>
      <w:r>
        <w:rPr>
          <w:rFonts w:hint="eastAsia" w:ascii="仿宋" w:hAnsi="仿宋" w:eastAsia="仿宋" w:cs="仿宋"/>
          <w:color w:val="auto"/>
          <w:sz w:val="28"/>
          <w:szCs w:val="28"/>
          <w:highlight w:val="none"/>
        </w:rPr>
        <w:t>前，未仔细检查各部件、管路；</w:t>
      </w:r>
    </w:p>
    <w:p w14:paraId="4E032E8C">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注浆前，未对池内垃圾进行清理，导致管路堵塞；</w:t>
      </w:r>
    </w:p>
    <w:p w14:paraId="4F466589">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（三）</w:t>
      </w:r>
      <w:r>
        <w:rPr>
          <w:rFonts w:hint="eastAsia" w:ascii="仿宋" w:hAnsi="仿宋" w:eastAsia="仿宋" w:cs="仿宋"/>
          <w:color w:val="auto"/>
          <w:sz w:val="28"/>
          <w:szCs w:val="28"/>
          <w:highlight w:val="none"/>
          <w:lang w:eastAsia="zh-CN"/>
        </w:rPr>
        <w:t>开机前，未对控制箱电源进行检查；</w:t>
      </w:r>
    </w:p>
    <w:p w14:paraId="65D899E8">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四</w:t>
      </w:r>
      <w:r>
        <w:rPr>
          <w:rFonts w:hint="eastAsia" w:ascii="仿宋" w:hAnsi="仿宋" w:eastAsia="仿宋" w:cs="仿宋"/>
          <w:color w:val="auto"/>
          <w:sz w:val="28"/>
          <w:szCs w:val="28"/>
          <w:highlight w:val="none"/>
        </w:rPr>
        <w:t>）检修或更换</w:t>
      </w:r>
      <w:r>
        <w:rPr>
          <w:rFonts w:hint="eastAsia" w:ascii="仿宋" w:hAnsi="仿宋" w:eastAsia="仿宋" w:cs="仿宋"/>
          <w:color w:val="auto"/>
          <w:sz w:val="28"/>
          <w:szCs w:val="28"/>
          <w:highlight w:val="none"/>
          <w:lang w:val="en-US" w:eastAsia="zh-CN"/>
        </w:rPr>
        <w:t>注浆站</w:t>
      </w:r>
      <w:r>
        <w:rPr>
          <w:rFonts w:hint="eastAsia" w:ascii="仿宋" w:hAnsi="仿宋" w:eastAsia="仿宋" w:cs="仿宋"/>
          <w:color w:val="auto"/>
          <w:sz w:val="28"/>
          <w:szCs w:val="28"/>
          <w:highlight w:val="none"/>
        </w:rPr>
        <w:t>的机械</w:t>
      </w:r>
      <w:r>
        <w:rPr>
          <w:rFonts w:hint="eastAsia" w:ascii="仿宋" w:hAnsi="仿宋" w:eastAsia="仿宋" w:cs="仿宋"/>
          <w:color w:val="auto"/>
          <w:sz w:val="28"/>
          <w:szCs w:val="28"/>
          <w:highlight w:val="none"/>
          <w:lang w:eastAsia="zh-CN"/>
        </w:rPr>
        <w:t>配件时</w:t>
      </w:r>
      <w:r>
        <w:rPr>
          <w:rFonts w:hint="eastAsia" w:ascii="仿宋" w:hAnsi="仿宋" w:eastAsia="仿宋" w:cs="仿宋"/>
          <w:color w:val="auto"/>
          <w:sz w:val="28"/>
          <w:szCs w:val="28"/>
          <w:highlight w:val="none"/>
        </w:rPr>
        <w:t>，未控制开关闭锁或者带</w:t>
      </w:r>
      <w:r>
        <w:rPr>
          <w:rFonts w:hint="eastAsia" w:ascii="仿宋" w:hAnsi="仿宋" w:eastAsia="仿宋" w:cs="仿宋"/>
          <w:color w:val="auto"/>
          <w:sz w:val="28"/>
          <w:szCs w:val="28"/>
          <w:highlight w:val="none"/>
          <w:lang w:eastAsia="zh-CN"/>
        </w:rPr>
        <w:t>电</w:t>
      </w:r>
      <w:r>
        <w:rPr>
          <w:rFonts w:hint="eastAsia" w:ascii="仿宋" w:hAnsi="仿宋" w:eastAsia="仿宋" w:cs="仿宋"/>
          <w:color w:val="auto"/>
          <w:sz w:val="28"/>
          <w:szCs w:val="28"/>
          <w:highlight w:val="none"/>
        </w:rPr>
        <w:t>作业的；</w:t>
      </w:r>
    </w:p>
    <w:p w14:paraId="3F2BC66B">
      <w:pPr>
        <w:keepNext w:val="0"/>
        <w:keepLines w:val="0"/>
        <w:pageBreakBefore w:val="0"/>
        <w:widowControl w:val="0"/>
        <w:kinsoku/>
        <w:wordWrap/>
        <w:overflowPunct/>
        <w:topLinePunct w:val="0"/>
        <w:autoSpaceDE/>
        <w:autoSpaceDN/>
        <w:bidi w:val="0"/>
        <w:adjustRightIn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五</w:t>
      </w:r>
      <w:r>
        <w:rPr>
          <w:rFonts w:hint="eastAsia" w:ascii="仿宋" w:hAnsi="仿宋" w:eastAsia="仿宋" w:cs="仿宋"/>
          <w:color w:val="auto"/>
          <w:sz w:val="28"/>
          <w:szCs w:val="28"/>
          <w:highlight w:val="none"/>
        </w:rPr>
        <w:t>）停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后未将各控制阀打到非工作位置的</w:t>
      </w:r>
      <w:r>
        <w:rPr>
          <w:rFonts w:hint="eastAsia" w:ascii="仿宋" w:hAnsi="仿宋" w:eastAsia="仿宋" w:cs="仿宋"/>
          <w:color w:val="auto"/>
          <w:sz w:val="28"/>
          <w:szCs w:val="28"/>
          <w:highlight w:val="none"/>
          <w:lang w:eastAsia="zh-CN"/>
        </w:rPr>
        <w:t>。</w:t>
      </w:r>
    </w:p>
    <w:sectPr>
      <w:footerReference r:id="rId5"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88F95E">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D6381E">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98E942">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752CA87">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4752CA87">
                    <w:pPr>
                      <w:pStyle w:val="7"/>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C28DED"/>
    <w:multiLevelType w:val="singleLevel"/>
    <w:tmpl w:val="82C28DED"/>
    <w:lvl w:ilvl="0" w:tentative="0">
      <w:start w:val="1"/>
      <w:numFmt w:val="decimal"/>
      <w:suff w:val="nothing"/>
      <w:lvlText w:val="（%1）"/>
      <w:lvlJc w:val="left"/>
    </w:lvl>
  </w:abstractNum>
  <w:abstractNum w:abstractNumId="1">
    <w:nsid w:val="905EBC09"/>
    <w:multiLevelType w:val="singleLevel"/>
    <w:tmpl w:val="905EBC09"/>
    <w:lvl w:ilvl="0" w:tentative="0">
      <w:start w:val="2"/>
      <w:numFmt w:val="chineseCounting"/>
      <w:suff w:val="nothing"/>
      <w:lvlText w:val="（%1）"/>
      <w:lvlJc w:val="left"/>
      <w:rPr>
        <w:rFonts w:hint="eastAsia"/>
      </w:rPr>
    </w:lvl>
  </w:abstractNum>
  <w:abstractNum w:abstractNumId="2">
    <w:nsid w:val="A55AAEA8"/>
    <w:multiLevelType w:val="singleLevel"/>
    <w:tmpl w:val="A55AAEA8"/>
    <w:lvl w:ilvl="0" w:tentative="0">
      <w:start w:val="1"/>
      <w:numFmt w:val="decimal"/>
      <w:suff w:val="nothing"/>
      <w:lvlText w:val="（%1）"/>
      <w:lvlJc w:val="left"/>
    </w:lvl>
  </w:abstractNum>
  <w:abstractNum w:abstractNumId="3">
    <w:nsid w:val="BE36E9F1"/>
    <w:multiLevelType w:val="multilevel"/>
    <w:tmpl w:val="BE36E9F1"/>
    <w:lvl w:ilvl="0" w:tentative="0">
      <w:start w:val="2"/>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4">
    <w:nsid w:val="C344F87E"/>
    <w:multiLevelType w:val="singleLevel"/>
    <w:tmpl w:val="C344F87E"/>
    <w:lvl w:ilvl="0" w:tentative="0">
      <w:start w:val="1"/>
      <w:numFmt w:val="decimal"/>
      <w:suff w:val="nothing"/>
      <w:lvlText w:val="（%1）"/>
      <w:lvlJc w:val="left"/>
    </w:lvl>
  </w:abstractNum>
  <w:abstractNum w:abstractNumId="5">
    <w:nsid w:val="D4C11B24"/>
    <w:multiLevelType w:val="singleLevel"/>
    <w:tmpl w:val="D4C11B24"/>
    <w:lvl w:ilvl="0" w:tentative="0">
      <w:start w:val="1"/>
      <w:numFmt w:val="decimal"/>
      <w:lvlText w:val="%1."/>
      <w:lvlJc w:val="left"/>
      <w:pPr>
        <w:tabs>
          <w:tab w:val="left" w:pos="312"/>
        </w:tabs>
      </w:pPr>
    </w:lvl>
  </w:abstractNum>
  <w:abstractNum w:abstractNumId="6">
    <w:nsid w:val="D6F4D063"/>
    <w:multiLevelType w:val="singleLevel"/>
    <w:tmpl w:val="D6F4D063"/>
    <w:lvl w:ilvl="0" w:tentative="0">
      <w:start w:val="1"/>
      <w:numFmt w:val="decimal"/>
      <w:suff w:val="nothing"/>
      <w:lvlText w:val="（%1）"/>
      <w:lvlJc w:val="left"/>
    </w:lvl>
  </w:abstractNum>
  <w:abstractNum w:abstractNumId="7">
    <w:nsid w:val="DCF1308E"/>
    <w:multiLevelType w:val="singleLevel"/>
    <w:tmpl w:val="DCF1308E"/>
    <w:lvl w:ilvl="0" w:tentative="0">
      <w:start w:val="1"/>
      <w:numFmt w:val="decimal"/>
      <w:suff w:val="nothing"/>
      <w:lvlText w:val="（%1）"/>
      <w:lvlJc w:val="left"/>
    </w:lvl>
  </w:abstractNum>
  <w:abstractNum w:abstractNumId="8">
    <w:nsid w:val="E5CF62E8"/>
    <w:multiLevelType w:val="singleLevel"/>
    <w:tmpl w:val="E5CF62E8"/>
    <w:lvl w:ilvl="0" w:tentative="0">
      <w:start w:val="2"/>
      <w:numFmt w:val="decimal"/>
      <w:suff w:val="nothing"/>
      <w:lvlText w:val="%1、"/>
      <w:lvlJc w:val="left"/>
      <w:pPr>
        <w:ind w:left="630" w:leftChars="0" w:firstLine="0" w:firstLineChars="0"/>
      </w:pPr>
    </w:lvl>
  </w:abstractNum>
  <w:abstractNum w:abstractNumId="9">
    <w:nsid w:val="F68CEEAC"/>
    <w:multiLevelType w:val="singleLevel"/>
    <w:tmpl w:val="F68CEEAC"/>
    <w:lvl w:ilvl="0" w:tentative="0">
      <w:start w:val="1"/>
      <w:numFmt w:val="decimal"/>
      <w:suff w:val="nothing"/>
      <w:lvlText w:val="（%1）"/>
      <w:lvlJc w:val="left"/>
    </w:lvl>
  </w:abstractNum>
  <w:abstractNum w:abstractNumId="10">
    <w:nsid w:val="FD8FD96C"/>
    <w:multiLevelType w:val="singleLevel"/>
    <w:tmpl w:val="FD8FD96C"/>
    <w:lvl w:ilvl="0" w:tentative="0">
      <w:start w:val="1"/>
      <w:numFmt w:val="decimal"/>
      <w:suff w:val="nothing"/>
      <w:lvlText w:val="（%1）"/>
      <w:lvlJc w:val="left"/>
    </w:lvl>
  </w:abstractNum>
  <w:abstractNum w:abstractNumId="11">
    <w:nsid w:val="FEF466B1"/>
    <w:multiLevelType w:val="multilevel"/>
    <w:tmpl w:val="FEF466B1"/>
    <w:lvl w:ilvl="0" w:tentative="0">
      <w:start w:val="4"/>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2">
    <w:nsid w:val="055C0AA0"/>
    <w:multiLevelType w:val="singleLevel"/>
    <w:tmpl w:val="055C0AA0"/>
    <w:lvl w:ilvl="0" w:tentative="0">
      <w:start w:val="1"/>
      <w:numFmt w:val="decimal"/>
      <w:suff w:val="nothing"/>
      <w:lvlText w:val="（%1）"/>
      <w:lvlJc w:val="left"/>
    </w:lvl>
  </w:abstractNum>
  <w:abstractNum w:abstractNumId="13">
    <w:nsid w:val="0D382437"/>
    <w:multiLevelType w:val="singleLevel"/>
    <w:tmpl w:val="0D382437"/>
    <w:lvl w:ilvl="0" w:tentative="0">
      <w:start w:val="6"/>
      <w:numFmt w:val="decimal"/>
      <w:lvlText w:val="%1."/>
      <w:lvlJc w:val="left"/>
      <w:pPr>
        <w:tabs>
          <w:tab w:val="left" w:pos="312"/>
        </w:tabs>
      </w:pPr>
    </w:lvl>
  </w:abstractNum>
  <w:abstractNum w:abstractNumId="14">
    <w:nsid w:val="2DC7DFF3"/>
    <w:multiLevelType w:val="singleLevel"/>
    <w:tmpl w:val="2DC7DFF3"/>
    <w:lvl w:ilvl="0" w:tentative="0">
      <w:start w:val="1"/>
      <w:numFmt w:val="decimal"/>
      <w:suff w:val="nothing"/>
      <w:lvlText w:val="（%1）"/>
      <w:lvlJc w:val="left"/>
    </w:lvl>
  </w:abstractNum>
  <w:abstractNum w:abstractNumId="15">
    <w:nsid w:val="3871973A"/>
    <w:multiLevelType w:val="singleLevel"/>
    <w:tmpl w:val="3871973A"/>
    <w:lvl w:ilvl="0" w:tentative="0">
      <w:start w:val="1"/>
      <w:numFmt w:val="decimal"/>
      <w:suff w:val="nothing"/>
      <w:lvlText w:val="（%1）"/>
      <w:lvlJc w:val="left"/>
    </w:lvl>
  </w:abstractNum>
  <w:abstractNum w:abstractNumId="16">
    <w:nsid w:val="3EFAFA8C"/>
    <w:multiLevelType w:val="multilevel"/>
    <w:tmpl w:val="3EFAFA8C"/>
    <w:lvl w:ilvl="0" w:tentative="0">
      <w:start w:val="2"/>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7">
    <w:nsid w:val="533F843D"/>
    <w:multiLevelType w:val="singleLevel"/>
    <w:tmpl w:val="533F843D"/>
    <w:lvl w:ilvl="0" w:tentative="0">
      <w:start w:val="2"/>
      <w:numFmt w:val="decimal"/>
      <w:suff w:val="nothing"/>
      <w:lvlText w:val="（%1）"/>
      <w:lvlJc w:val="left"/>
    </w:lvl>
  </w:abstractNum>
  <w:abstractNum w:abstractNumId="18">
    <w:nsid w:val="5A4AD02D"/>
    <w:multiLevelType w:val="singleLevel"/>
    <w:tmpl w:val="5A4AD02D"/>
    <w:lvl w:ilvl="0" w:tentative="0">
      <w:start w:val="2"/>
      <w:numFmt w:val="chineseCounting"/>
      <w:suff w:val="nothing"/>
      <w:lvlText w:val="（%1）"/>
      <w:lvlJc w:val="left"/>
      <w:rPr>
        <w:rFonts w:hint="eastAsia"/>
      </w:rPr>
    </w:lvl>
  </w:abstractNum>
  <w:abstractNum w:abstractNumId="19">
    <w:nsid w:val="627E06AD"/>
    <w:multiLevelType w:val="singleLevel"/>
    <w:tmpl w:val="627E06AD"/>
    <w:lvl w:ilvl="0" w:tentative="0">
      <w:start w:val="1"/>
      <w:numFmt w:val="decimal"/>
      <w:lvlText w:val="%1."/>
      <w:lvlJc w:val="left"/>
      <w:pPr>
        <w:tabs>
          <w:tab w:val="left" w:pos="312"/>
        </w:tabs>
      </w:pPr>
    </w:lvl>
  </w:abstractNum>
  <w:abstractNum w:abstractNumId="20">
    <w:nsid w:val="7C00DA7F"/>
    <w:multiLevelType w:val="singleLevel"/>
    <w:tmpl w:val="7C00DA7F"/>
    <w:lvl w:ilvl="0" w:tentative="0">
      <w:start w:val="1"/>
      <w:numFmt w:val="decimal"/>
      <w:suff w:val="nothing"/>
      <w:lvlText w:val="（%1）"/>
      <w:lvlJc w:val="left"/>
    </w:lvl>
  </w:abstractNum>
  <w:abstractNum w:abstractNumId="21">
    <w:nsid w:val="7C39FB1C"/>
    <w:multiLevelType w:val="singleLevel"/>
    <w:tmpl w:val="7C39FB1C"/>
    <w:lvl w:ilvl="0" w:tentative="0">
      <w:start w:val="1"/>
      <w:numFmt w:val="decimal"/>
      <w:suff w:val="nothing"/>
      <w:lvlText w:val="（%1）"/>
      <w:lvlJc w:val="left"/>
      <w:pPr>
        <w:ind w:left="68"/>
      </w:pPr>
    </w:lvl>
  </w:abstractNum>
  <w:abstractNum w:abstractNumId="22">
    <w:nsid w:val="7F87FFD7"/>
    <w:multiLevelType w:val="multilevel"/>
    <w:tmpl w:val="7F87FFD7"/>
    <w:lvl w:ilvl="0" w:tentative="0">
      <w:start w:val="2"/>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23">
    <w:nsid w:val="7FFCFD5C"/>
    <w:multiLevelType w:val="singleLevel"/>
    <w:tmpl w:val="7FFCFD5C"/>
    <w:lvl w:ilvl="0" w:tentative="0">
      <w:start w:val="4"/>
      <w:numFmt w:val="chineseCounting"/>
      <w:suff w:val="nothing"/>
      <w:lvlText w:val="%1、"/>
      <w:lvlJc w:val="left"/>
      <w:rPr>
        <w:rFonts w:hint="eastAsia"/>
      </w:rPr>
    </w:lvl>
  </w:abstractNum>
  <w:num w:numId="1">
    <w:abstractNumId w:val="20"/>
  </w:num>
  <w:num w:numId="2">
    <w:abstractNumId w:val="6"/>
  </w:num>
  <w:num w:numId="3">
    <w:abstractNumId w:val="7"/>
  </w:num>
  <w:num w:numId="4">
    <w:abstractNumId w:val="21"/>
  </w:num>
  <w:num w:numId="5">
    <w:abstractNumId w:val="0"/>
  </w:num>
  <w:num w:numId="6">
    <w:abstractNumId w:val="1"/>
  </w:num>
  <w:num w:numId="7">
    <w:abstractNumId w:val="15"/>
  </w:num>
  <w:num w:numId="8">
    <w:abstractNumId w:val="14"/>
  </w:num>
  <w:num w:numId="9">
    <w:abstractNumId w:val="2"/>
  </w:num>
  <w:num w:numId="10">
    <w:abstractNumId w:val="12"/>
  </w:num>
  <w:num w:numId="11">
    <w:abstractNumId w:val="17"/>
  </w:num>
  <w:num w:numId="12">
    <w:abstractNumId w:val="10"/>
  </w:num>
  <w:num w:numId="13">
    <w:abstractNumId w:val="4"/>
  </w:num>
  <w:num w:numId="14">
    <w:abstractNumId w:val="18"/>
  </w:num>
  <w:num w:numId="15">
    <w:abstractNumId w:val="9"/>
  </w:num>
  <w:num w:numId="16">
    <w:abstractNumId w:val="11"/>
  </w:num>
  <w:num w:numId="17">
    <w:abstractNumId w:val="19"/>
  </w:num>
  <w:num w:numId="18">
    <w:abstractNumId w:val="3"/>
  </w:num>
  <w:num w:numId="19">
    <w:abstractNumId w:val="8"/>
  </w:num>
  <w:num w:numId="20">
    <w:abstractNumId w:val="23"/>
  </w:num>
  <w:num w:numId="21">
    <w:abstractNumId w:val="16"/>
  </w:num>
  <w:num w:numId="22">
    <w:abstractNumId w:val="22"/>
  </w:num>
  <w:num w:numId="23">
    <w:abstractNumId w:val="5"/>
  </w:num>
  <w:num w:numId="2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g5OGVlM2U3ODUyY2Y1MGUxNGMwZjk4MGMwOGRkYzcifQ=="/>
  </w:docVars>
  <w:rsids>
    <w:rsidRoot w:val="7DAE1049"/>
    <w:rsid w:val="00115F57"/>
    <w:rsid w:val="003C6623"/>
    <w:rsid w:val="0047618E"/>
    <w:rsid w:val="00701B20"/>
    <w:rsid w:val="007B3828"/>
    <w:rsid w:val="008F3ABB"/>
    <w:rsid w:val="00A77F1A"/>
    <w:rsid w:val="00B76F5D"/>
    <w:rsid w:val="00CD0D0D"/>
    <w:rsid w:val="00E52043"/>
    <w:rsid w:val="011F3036"/>
    <w:rsid w:val="013450DF"/>
    <w:rsid w:val="0166214D"/>
    <w:rsid w:val="018D6E46"/>
    <w:rsid w:val="01E51F6D"/>
    <w:rsid w:val="021C1B79"/>
    <w:rsid w:val="02424196"/>
    <w:rsid w:val="026F7C36"/>
    <w:rsid w:val="02A1518A"/>
    <w:rsid w:val="02D55A15"/>
    <w:rsid w:val="031F576F"/>
    <w:rsid w:val="03295A93"/>
    <w:rsid w:val="035C5045"/>
    <w:rsid w:val="036B30E3"/>
    <w:rsid w:val="037A4E6D"/>
    <w:rsid w:val="037F35ED"/>
    <w:rsid w:val="039A1194"/>
    <w:rsid w:val="03C73ACD"/>
    <w:rsid w:val="03DC06CB"/>
    <w:rsid w:val="03FD6BA3"/>
    <w:rsid w:val="042F7770"/>
    <w:rsid w:val="0431413F"/>
    <w:rsid w:val="04334AC6"/>
    <w:rsid w:val="043C356E"/>
    <w:rsid w:val="0443100D"/>
    <w:rsid w:val="0466617C"/>
    <w:rsid w:val="047D559A"/>
    <w:rsid w:val="04891DA6"/>
    <w:rsid w:val="04CC7841"/>
    <w:rsid w:val="04D7698C"/>
    <w:rsid w:val="051030E8"/>
    <w:rsid w:val="0510431C"/>
    <w:rsid w:val="05524241"/>
    <w:rsid w:val="055A775E"/>
    <w:rsid w:val="05706890"/>
    <w:rsid w:val="05A65CE6"/>
    <w:rsid w:val="05B10BD2"/>
    <w:rsid w:val="05B319C5"/>
    <w:rsid w:val="05DC12CF"/>
    <w:rsid w:val="05FE3CF9"/>
    <w:rsid w:val="06112304"/>
    <w:rsid w:val="06177933"/>
    <w:rsid w:val="06404870"/>
    <w:rsid w:val="06407EFD"/>
    <w:rsid w:val="066B04DE"/>
    <w:rsid w:val="06A210B4"/>
    <w:rsid w:val="06B12D4F"/>
    <w:rsid w:val="06BC241F"/>
    <w:rsid w:val="06E41454"/>
    <w:rsid w:val="06F33B13"/>
    <w:rsid w:val="06FB0EE1"/>
    <w:rsid w:val="071434E1"/>
    <w:rsid w:val="07156B52"/>
    <w:rsid w:val="071656FC"/>
    <w:rsid w:val="072027EB"/>
    <w:rsid w:val="073452E7"/>
    <w:rsid w:val="074241ED"/>
    <w:rsid w:val="076020F8"/>
    <w:rsid w:val="076C3E6F"/>
    <w:rsid w:val="07965DD9"/>
    <w:rsid w:val="07A2665B"/>
    <w:rsid w:val="07AA3F99"/>
    <w:rsid w:val="07B04353"/>
    <w:rsid w:val="07B136FD"/>
    <w:rsid w:val="07BC2341"/>
    <w:rsid w:val="07E12471"/>
    <w:rsid w:val="07E15B19"/>
    <w:rsid w:val="07F17B2F"/>
    <w:rsid w:val="07F644B6"/>
    <w:rsid w:val="081C2E66"/>
    <w:rsid w:val="081C78DC"/>
    <w:rsid w:val="082C3238"/>
    <w:rsid w:val="0830066F"/>
    <w:rsid w:val="085632FD"/>
    <w:rsid w:val="0865601B"/>
    <w:rsid w:val="08A31A0F"/>
    <w:rsid w:val="08A37957"/>
    <w:rsid w:val="08C20075"/>
    <w:rsid w:val="08E36EBE"/>
    <w:rsid w:val="08FD6BCC"/>
    <w:rsid w:val="09297AD1"/>
    <w:rsid w:val="094620D8"/>
    <w:rsid w:val="09475DA9"/>
    <w:rsid w:val="09573770"/>
    <w:rsid w:val="09B94E96"/>
    <w:rsid w:val="09F94F32"/>
    <w:rsid w:val="09FF6E63"/>
    <w:rsid w:val="0A4672DA"/>
    <w:rsid w:val="0A823B7F"/>
    <w:rsid w:val="0AC65706"/>
    <w:rsid w:val="0AE738E1"/>
    <w:rsid w:val="0AEB5943"/>
    <w:rsid w:val="0AEF248D"/>
    <w:rsid w:val="0B0C6ED5"/>
    <w:rsid w:val="0B375CD2"/>
    <w:rsid w:val="0B70239B"/>
    <w:rsid w:val="0B7D1FFD"/>
    <w:rsid w:val="0B7E4916"/>
    <w:rsid w:val="0B85103C"/>
    <w:rsid w:val="0BA3581B"/>
    <w:rsid w:val="0BB35BD3"/>
    <w:rsid w:val="0BB640A7"/>
    <w:rsid w:val="0BCA0D24"/>
    <w:rsid w:val="0BD459F5"/>
    <w:rsid w:val="0C5E1444"/>
    <w:rsid w:val="0C8E27D6"/>
    <w:rsid w:val="0C923886"/>
    <w:rsid w:val="0C932A61"/>
    <w:rsid w:val="0C9C1C4F"/>
    <w:rsid w:val="0C9C4FB2"/>
    <w:rsid w:val="0C9C7522"/>
    <w:rsid w:val="0CE439F6"/>
    <w:rsid w:val="0CFA1CB5"/>
    <w:rsid w:val="0D2110A9"/>
    <w:rsid w:val="0D2921C5"/>
    <w:rsid w:val="0D554FDF"/>
    <w:rsid w:val="0D5D0B67"/>
    <w:rsid w:val="0D636D5B"/>
    <w:rsid w:val="0D670AFF"/>
    <w:rsid w:val="0D684B6F"/>
    <w:rsid w:val="0D8356E0"/>
    <w:rsid w:val="0D900D60"/>
    <w:rsid w:val="0D904F10"/>
    <w:rsid w:val="0D984E01"/>
    <w:rsid w:val="0D9D0B89"/>
    <w:rsid w:val="0DA155BB"/>
    <w:rsid w:val="0DAC5E61"/>
    <w:rsid w:val="0DB23111"/>
    <w:rsid w:val="0DC263FD"/>
    <w:rsid w:val="0DC63158"/>
    <w:rsid w:val="0DEC0F91"/>
    <w:rsid w:val="0E171C69"/>
    <w:rsid w:val="0E4350A5"/>
    <w:rsid w:val="0E5F1C17"/>
    <w:rsid w:val="0E73697B"/>
    <w:rsid w:val="0E765DB5"/>
    <w:rsid w:val="0E9835E9"/>
    <w:rsid w:val="0EA90E2F"/>
    <w:rsid w:val="0EE92CC5"/>
    <w:rsid w:val="0F113188"/>
    <w:rsid w:val="0F120D81"/>
    <w:rsid w:val="0F420BC2"/>
    <w:rsid w:val="0F7E34C4"/>
    <w:rsid w:val="0F9D76B3"/>
    <w:rsid w:val="0FC15F44"/>
    <w:rsid w:val="100658BF"/>
    <w:rsid w:val="10154FF3"/>
    <w:rsid w:val="10224C75"/>
    <w:rsid w:val="1034712E"/>
    <w:rsid w:val="10391C57"/>
    <w:rsid w:val="105A4801"/>
    <w:rsid w:val="107B3206"/>
    <w:rsid w:val="109F1719"/>
    <w:rsid w:val="10B22195"/>
    <w:rsid w:val="10D00630"/>
    <w:rsid w:val="10E05B70"/>
    <w:rsid w:val="10E41021"/>
    <w:rsid w:val="10F629DB"/>
    <w:rsid w:val="11020E6A"/>
    <w:rsid w:val="11171AD3"/>
    <w:rsid w:val="116D4F09"/>
    <w:rsid w:val="11BF5935"/>
    <w:rsid w:val="11E63D45"/>
    <w:rsid w:val="123D339E"/>
    <w:rsid w:val="124E324C"/>
    <w:rsid w:val="1267302C"/>
    <w:rsid w:val="127F734D"/>
    <w:rsid w:val="12803665"/>
    <w:rsid w:val="13371B0E"/>
    <w:rsid w:val="13511280"/>
    <w:rsid w:val="13711232"/>
    <w:rsid w:val="13B13D2E"/>
    <w:rsid w:val="13DE1B6D"/>
    <w:rsid w:val="13DE5776"/>
    <w:rsid w:val="141D5F75"/>
    <w:rsid w:val="142A4E8C"/>
    <w:rsid w:val="14496BCE"/>
    <w:rsid w:val="144A28A6"/>
    <w:rsid w:val="145116DB"/>
    <w:rsid w:val="14611131"/>
    <w:rsid w:val="14811B15"/>
    <w:rsid w:val="14AF0572"/>
    <w:rsid w:val="14AF4E28"/>
    <w:rsid w:val="14EE6417"/>
    <w:rsid w:val="15575867"/>
    <w:rsid w:val="156A7011"/>
    <w:rsid w:val="158E6CC8"/>
    <w:rsid w:val="15985D6E"/>
    <w:rsid w:val="15B42ABF"/>
    <w:rsid w:val="15D424F6"/>
    <w:rsid w:val="15DA0CD1"/>
    <w:rsid w:val="15F41A8E"/>
    <w:rsid w:val="165C763F"/>
    <w:rsid w:val="166A3B9E"/>
    <w:rsid w:val="167236FA"/>
    <w:rsid w:val="16AA1935"/>
    <w:rsid w:val="16E139F2"/>
    <w:rsid w:val="16F45938"/>
    <w:rsid w:val="171848E4"/>
    <w:rsid w:val="171F1171"/>
    <w:rsid w:val="172C7CA2"/>
    <w:rsid w:val="174618E6"/>
    <w:rsid w:val="174C3A5B"/>
    <w:rsid w:val="175358C4"/>
    <w:rsid w:val="176014CF"/>
    <w:rsid w:val="17780B20"/>
    <w:rsid w:val="17A43C8F"/>
    <w:rsid w:val="17F744FA"/>
    <w:rsid w:val="18797325"/>
    <w:rsid w:val="18E176AF"/>
    <w:rsid w:val="1903209F"/>
    <w:rsid w:val="191A4987"/>
    <w:rsid w:val="19290803"/>
    <w:rsid w:val="192E3E7F"/>
    <w:rsid w:val="19307CEE"/>
    <w:rsid w:val="19477A22"/>
    <w:rsid w:val="196B33C5"/>
    <w:rsid w:val="19AA0579"/>
    <w:rsid w:val="19C117BA"/>
    <w:rsid w:val="19C62403"/>
    <w:rsid w:val="19D82B00"/>
    <w:rsid w:val="19DE415A"/>
    <w:rsid w:val="19E2585F"/>
    <w:rsid w:val="1A240C39"/>
    <w:rsid w:val="1A2879FD"/>
    <w:rsid w:val="1A2E7FA7"/>
    <w:rsid w:val="1A332734"/>
    <w:rsid w:val="1A347B51"/>
    <w:rsid w:val="1A644A70"/>
    <w:rsid w:val="1A72208B"/>
    <w:rsid w:val="1A8A6A62"/>
    <w:rsid w:val="1ACD53C0"/>
    <w:rsid w:val="1AFB1FF7"/>
    <w:rsid w:val="1B6A7659"/>
    <w:rsid w:val="1B7E2212"/>
    <w:rsid w:val="1B983EC4"/>
    <w:rsid w:val="1BB95709"/>
    <w:rsid w:val="1BD86101"/>
    <w:rsid w:val="1BE01532"/>
    <w:rsid w:val="1C5C2BBE"/>
    <w:rsid w:val="1C72452F"/>
    <w:rsid w:val="1C772C48"/>
    <w:rsid w:val="1C82774D"/>
    <w:rsid w:val="1CB90D00"/>
    <w:rsid w:val="1CEC12E7"/>
    <w:rsid w:val="1D141D5E"/>
    <w:rsid w:val="1D451CD1"/>
    <w:rsid w:val="1D5D6AC1"/>
    <w:rsid w:val="1D7646EC"/>
    <w:rsid w:val="1D7B6AD9"/>
    <w:rsid w:val="1D937035"/>
    <w:rsid w:val="1E02303D"/>
    <w:rsid w:val="1E46734E"/>
    <w:rsid w:val="1E4B71ED"/>
    <w:rsid w:val="1E574BEF"/>
    <w:rsid w:val="1EB97421"/>
    <w:rsid w:val="1ED6708C"/>
    <w:rsid w:val="1EE8749E"/>
    <w:rsid w:val="1EF328AA"/>
    <w:rsid w:val="1EFB4B54"/>
    <w:rsid w:val="1EFF60EB"/>
    <w:rsid w:val="1F080552"/>
    <w:rsid w:val="1F162656"/>
    <w:rsid w:val="1F2873CF"/>
    <w:rsid w:val="1F362A9C"/>
    <w:rsid w:val="1F380138"/>
    <w:rsid w:val="1F5C0762"/>
    <w:rsid w:val="1F791B5E"/>
    <w:rsid w:val="200013EA"/>
    <w:rsid w:val="20072D3A"/>
    <w:rsid w:val="200A0709"/>
    <w:rsid w:val="20155565"/>
    <w:rsid w:val="204D2966"/>
    <w:rsid w:val="204E60BC"/>
    <w:rsid w:val="20513205"/>
    <w:rsid w:val="20713546"/>
    <w:rsid w:val="20782CDC"/>
    <w:rsid w:val="20CF6796"/>
    <w:rsid w:val="20FD3C6E"/>
    <w:rsid w:val="211E0661"/>
    <w:rsid w:val="213742A2"/>
    <w:rsid w:val="213B28A7"/>
    <w:rsid w:val="217067C6"/>
    <w:rsid w:val="217348DC"/>
    <w:rsid w:val="218001A5"/>
    <w:rsid w:val="21906798"/>
    <w:rsid w:val="21947FB8"/>
    <w:rsid w:val="21AA5E0C"/>
    <w:rsid w:val="21B91100"/>
    <w:rsid w:val="21BE2ACA"/>
    <w:rsid w:val="21C07F15"/>
    <w:rsid w:val="21D13BFF"/>
    <w:rsid w:val="21E30ABF"/>
    <w:rsid w:val="220A1E1B"/>
    <w:rsid w:val="22203D1D"/>
    <w:rsid w:val="225E6D38"/>
    <w:rsid w:val="22760083"/>
    <w:rsid w:val="22975EBE"/>
    <w:rsid w:val="22AB687B"/>
    <w:rsid w:val="22B24A9F"/>
    <w:rsid w:val="22B84B1A"/>
    <w:rsid w:val="22C60FB4"/>
    <w:rsid w:val="22C777B6"/>
    <w:rsid w:val="22D17EEC"/>
    <w:rsid w:val="22E928FF"/>
    <w:rsid w:val="22EC62C9"/>
    <w:rsid w:val="22F40A50"/>
    <w:rsid w:val="23380D77"/>
    <w:rsid w:val="2344451A"/>
    <w:rsid w:val="23537C5A"/>
    <w:rsid w:val="23821456"/>
    <w:rsid w:val="239B2030"/>
    <w:rsid w:val="24072378"/>
    <w:rsid w:val="24202AD7"/>
    <w:rsid w:val="24726B41"/>
    <w:rsid w:val="2480629D"/>
    <w:rsid w:val="24852508"/>
    <w:rsid w:val="24B12449"/>
    <w:rsid w:val="24E03F15"/>
    <w:rsid w:val="24E12552"/>
    <w:rsid w:val="25184E18"/>
    <w:rsid w:val="25191F0A"/>
    <w:rsid w:val="252554E7"/>
    <w:rsid w:val="252A66CF"/>
    <w:rsid w:val="253F68B2"/>
    <w:rsid w:val="25484EFE"/>
    <w:rsid w:val="256E196C"/>
    <w:rsid w:val="25821A7C"/>
    <w:rsid w:val="25897094"/>
    <w:rsid w:val="25911727"/>
    <w:rsid w:val="259C70AE"/>
    <w:rsid w:val="259D3595"/>
    <w:rsid w:val="26130C68"/>
    <w:rsid w:val="261D4B16"/>
    <w:rsid w:val="26263604"/>
    <w:rsid w:val="265A40CC"/>
    <w:rsid w:val="26764B20"/>
    <w:rsid w:val="26D74074"/>
    <w:rsid w:val="26E552C6"/>
    <w:rsid w:val="26EB718C"/>
    <w:rsid w:val="271B7F98"/>
    <w:rsid w:val="27383B2C"/>
    <w:rsid w:val="273D613B"/>
    <w:rsid w:val="274447F5"/>
    <w:rsid w:val="275F4DC6"/>
    <w:rsid w:val="276F4738"/>
    <w:rsid w:val="27841D48"/>
    <w:rsid w:val="278F6E9B"/>
    <w:rsid w:val="27A36981"/>
    <w:rsid w:val="27AA1099"/>
    <w:rsid w:val="27AC2B4D"/>
    <w:rsid w:val="27F773F2"/>
    <w:rsid w:val="281C1EB2"/>
    <w:rsid w:val="281D771C"/>
    <w:rsid w:val="282B7100"/>
    <w:rsid w:val="28617156"/>
    <w:rsid w:val="286F08F6"/>
    <w:rsid w:val="28862E78"/>
    <w:rsid w:val="288C0D0C"/>
    <w:rsid w:val="28A26EAA"/>
    <w:rsid w:val="290F3FCA"/>
    <w:rsid w:val="291D6057"/>
    <w:rsid w:val="29777235"/>
    <w:rsid w:val="29851F5A"/>
    <w:rsid w:val="298C0816"/>
    <w:rsid w:val="29C72969"/>
    <w:rsid w:val="29EA3EDA"/>
    <w:rsid w:val="2A0E3097"/>
    <w:rsid w:val="2A2A3D49"/>
    <w:rsid w:val="2A32107D"/>
    <w:rsid w:val="2A35229D"/>
    <w:rsid w:val="2A484260"/>
    <w:rsid w:val="2A514855"/>
    <w:rsid w:val="2A535591"/>
    <w:rsid w:val="2A835477"/>
    <w:rsid w:val="2A8E54EC"/>
    <w:rsid w:val="2A943159"/>
    <w:rsid w:val="2AAB107A"/>
    <w:rsid w:val="2AD27D16"/>
    <w:rsid w:val="2AEB60B2"/>
    <w:rsid w:val="2AF14B40"/>
    <w:rsid w:val="2B2A6E06"/>
    <w:rsid w:val="2B302209"/>
    <w:rsid w:val="2B366408"/>
    <w:rsid w:val="2B3C12D9"/>
    <w:rsid w:val="2B5D2937"/>
    <w:rsid w:val="2B604B9B"/>
    <w:rsid w:val="2B80080B"/>
    <w:rsid w:val="2B832259"/>
    <w:rsid w:val="2BCA74E6"/>
    <w:rsid w:val="2BD63A08"/>
    <w:rsid w:val="2BD91805"/>
    <w:rsid w:val="2BEA257F"/>
    <w:rsid w:val="2BFC1F7A"/>
    <w:rsid w:val="2BFD0751"/>
    <w:rsid w:val="2C0A4101"/>
    <w:rsid w:val="2C174065"/>
    <w:rsid w:val="2C22261B"/>
    <w:rsid w:val="2C493E65"/>
    <w:rsid w:val="2C6742F0"/>
    <w:rsid w:val="2C6F17C6"/>
    <w:rsid w:val="2C7F56C9"/>
    <w:rsid w:val="2C887BD1"/>
    <w:rsid w:val="2CA874F7"/>
    <w:rsid w:val="2CAA7A08"/>
    <w:rsid w:val="2CB9798C"/>
    <w:rsid w:val="2CE34FB0"/>
    <w:rsid w:val="2CF90598"/>
    <w:rsid w:val="2D016272"/>
    <w:rsid w:val="2D1070E4"/>
    <w:rsid w:val="2D121B91"/>
    <w:rsid w:val="2D245BAC"/>
    <w:rsid w:val="2D3209E2"/>
    <w:rsid w:val="2D656E94"/>
    <w:rsid w:val="2D8062D2"/>
    <w:rsid w:val="2D841F6E"/>
    <w:rsid w:val="2DAE7B28"/>
    <w:rsid w:val="2DB35C30"/>
    <w:rsid w:val="2DDB20EF"/>
    <w:rsid w:val="2E142D7E"/>
    <w:rsid w:val="2E213D11"/>
    <w:rsid w:val="2E286D77"/>
    <w:rsid w:val="2E344E42"/>
    <w:rsid w:val="2E623916"/>
    <w:rsid w:val="2E762591"/>
    <w:rsid w:val="2E9B617F"/>
    <w:rsid w:val="2EAC0B01"/>
    <w:rsid w:val="2ECD295B"/>
    <w:rsid w:val="2F367314"/>
    <w:rsid w:val="2F48152F"/>
    <w:rsid w:val="2F5A04A5"/>
    <w:rsid w:val="2F857512"/>
    <w:rsid w:val="2F935CD4"/>
    <w:rsid w:val="2FBB1EDA"/>
    <w:rsid w:val="2FBB2AD1"/>
    <w:rsid w:val="2FFB31E0"/>
    <w:rsid w:val="300179CB"/>
    <w:rsid w:val="3031343F"/>
    <w:rsid w:val="309D5F4E"/>
    <w:rsid w:val="30B65F1A"/>
    <w:rsid w:val="30D77936"/>
    <w:rsid w:val="30DC3B50"/>
    <w:rsid w:val="31024148"/>
    <w:rsid w:val="311B52EC"/>
    <w:rsid w:val="31316C6A"/>
    <w:rsid w:val="3162722B"/>
    <w:rsid w:val="31933806"/>
    <w:rsid w:val="31971FD4"/>
    <w:rsid w:val="31992BC5"/>
    <w:rsid w:val="31B37795"/>
    <w:rsid w:val="31C80AD3"/>
    <w:rsid w:val="32184707"/>
    <w:rsid w:val="322F7E73"/>
    <w:rsid w:val="324244FE"/>
    <w:rsid w:val="325D35FE"/>
    <w:rsid w:val="327225A3"/>
    <w:rsid w:val="32AD749D"/>
    <w:rsid w:val="32D71DF2"/>
    <w:rsid w:val="32E27836"/>
    <w:rsid w:val="32F740B4"/>
    <w:rsid w:val="3315322A"/>
    <w:rsid w:val="33347D4C"/>
    <w:rsid w:val="333702C6"/>
    <w:rsid w:val="334B19E8"/>
    <w:rsid w:val="33592ED0"/>
    <w:rsid w:val="33626A8D"/>
    <w:rsid w:val="33912011"/>
    <w:rsid w:val="33AB32FB"/>
    <w:rsid w:val="33AE140B"/>
    <w:rsid w:val="33AE717E"/>
    <w:rsid w:val="33C60055"/>
    <w:rsid w:val="33EC4191"/>
    <w:rsid w:val="33F704F2"/>
    <w:rsid w:val="3402290D"/>
    <w:rsid w:val="341177CD"/>
    <w:rsid w:val="34144E7F"/>
    <w:rsid w:val="34254E5C"/>
    <w:rsid w:val="342C1EFC"/>
    <w:rsid w:val="343A10EC"/>
    <w:rsid w:val="34675413"/>
    <w:rsid w:val="34C86210"/>
    <w:rsid w:val="34D25FA9"/>
    <w:rsid w:val="34E8703E"/>
    <w:rsid w:val="3502073B"/>
    <w:rsid w:val="351278FB"/>
    <w:rsid w:val="35155F0D"/>
    <w:rsid w:val="351F7C4C"/>
    <w:rsid w:val="355461A7"/>
    <w:rsid w:val="358F6F79"/>
    <w:rsid w:val="35CB605B"/>
    <w:rsid w:val="35D86C2A"/>
    <w:rsid w:val="35DB7BFC"/>
    <w:rsid w:val="35FB6002"/>
    <w:rsid w:val="35FE50CF"/>
    <w:rsid w:val="3620770F"/>
    <w:rsid w:val="36254B04"/>
    <w:rsid w:val="36273E31"/>
    <w:rsid w:val="364E1EBF"/>
    <w:rsid w:val="36751BB9"/>
    <w:rsid w:val="36753C04"/>
    <w:rsid w:val="36AD5A21"/>
    <w:rsid w:val="36B140D7"/>
    <w:rsid w:val="36EF52AD"/>
    <w:rsid w:val="36F22113"/>
    <w:rsid w:val="370136F2"/>
    <w:rsid w:val="370943E5"/>
    <w:rsid w:val="371535BC"/>
    <w:rsid w:val="37252385"/>
    <w:rsid w:val="372A3ADD"/>
    <w:rsid w:val="372A6D69"/>
    <w:rsid w:val="374D34F5"/>
    <w:rsid w:val="376A062D"/>
    <w:rsid w:val="378E6F5B"/>
    <w:rsid w:val="379B0BEE"/>
    <w:rsid w:val="37AA2E3B"/>
    <w:rsid w:val="37BB2C81"/>
    <w:rsid w:val="37BE5320"/>
    <w:rsid w:val="37CC74C2"/>
    <w:rsid w:val="37CD6D34"/>
    <w:rsid w:val="37FD4D6F"/>
    <w:rsid w:val="38095042"/>
    <w:rsid w:val="3815326B"/>
    <w:rsid w:val="383E2013"/>
    <w:rsid w:val="384A6679"/>
    <w:rsid w:val="38522FB0"/>
    <w:rsid w:val="3867193A"/>
    <w:rsid w:val="38B45A78"/>
    <w:rsid w:val="392C621E"/>
    <w:rsid w:val="395B5158"/>
    <w:rsid w:val="3962717C"/>
    <w:rsid w:val="397E4020"/>
    <w:rsid w:val="398B5D0A"/>
    <w:rsid w:val="39B9342F"/>
    <w:rsid w:val="39BF18AF"/>
    <w:rsid w:val="39F56002"/>
    <w:rsid w:val="3A660DB9"/>
    <w:rsid w:val="3B155E9D"/>
    <w:rsid w:val="3B1A4D20"/>
    <w:rsid w:val="3B2742E1"/>
    <w:rsid w:val="3B307AB2"/>
    <w:rsid w:val="3B655A6A"/>
    <w:rsid w:val="3B841C89"/>
    <w:rsid w:val="3BA2172E"/>
    <w:rsid w:val="3BA30141"/>
    <w:rsid w:val="3BE63123"/>
    <w:rsid w:val="3BF2263E"/>
    <w:rsid w:val="3BFB5DFE"/>
    <w:rsid w:val="3C1E6966"/>
    <w:rsid w:val="3C615CE5"/>
    <w:rsid w:val="3CB460B2"/>
    <w:rsid w:val="3CCA2CEB"/>
    <w:rsid w:val="3CE965FF"/>
    <w:rsid w:val="3D0C3984"/>
    <w:rsid w:val="3D5A1DC5"/>
    <w:rsid w:val="3D615DE1"/>
    <w:rsid w:val="3D6B24BE"/>
    <w:rsid w:val="3D6F01B9"/>
    <w:rsid w:val="3D730362"/>
    <w:rsid w:val="3D735788"/>
    <w:rsid w:val="3D811B98"/>
    <w:rsid w:val="3DA55C4A"/>
    <w:rsid w:val="3DCD511F"/>
    <w:rsid w:val="3E0D45C2"/>
    <w:rsid w:val="3E790B05"/>
    <w:rsid w:val="3EFB42ED"/>
    <w:rsid w:val="3F132F1D"/>
    <w:rsid w:val="3F2315CA"/>
    <w:rsid w:val="3F674035"/>
    <w:rsid w:val="3F8732AF"/>
    <w:rsid w:val="3F8C5F3A"/>
    <w:rsid w:val="3F903FC5"/>
    <w:rsid w:val="3F9A5A69"/>
    <w:rsid w:val="3F9A7E10"/>
    <w:rsid w:val="3FB0644D"/>
    <w:rsid w:val="3FBA7E3D"/>
    <w:rsid w:val="3FBE4A85"/>
    <w:rsid w:val="3FC95BB0"/>
    <w:rsid w:val="3FD01D37"/>
    <w:rsid w:val="3FD53B42"/>
    <w:rsid w:val="3FD716EA"/>
    <w:rsid w:val="3FF603F1"/>
    <w:rsid w:val="40133719"/>
    <w:rsid w:val="403751B3"/>
    <w:rsid w:val="40413B77"/>
    <w:rsid w:val="40454B56"/>
    <w:rsid w:val="404B2046"/>
    <w:rsid w:val="40605AE0"/>
    <w:rsid w:val="406458EE"/>
    <w:rsid w:val="406805AA"/>
    <w:rsid w:val="40BF0DB3"/>
    <w:rsid w:val="40E352C3"/>
    <w:rsid w:val="40FB24C8"/>
    <w:rsid w:val="4102130E"/>
    <w:rsid w:val="416A711C"/>
    <w:rsid w:val="418B44F0"/>
    <w:rsid w:val="41A15EF5"/>
    <w:rsid w:val="41A7046F"/>
    <w:rsid w:val="41AA2EA1"/>
    <w:rsid w:val="41AE2A7E"/>
    <w:rsid w:val="41D37266"/>
    <w:rsid w:val="41E20B9D"/>
    <w:rsid w:val="41E35C7E"/>
    <w:rsid w:val="420508C9"/>
    <w:rsid w:val="4252745E"/>
    <w:rsid w:val="427670F6"/>
    <w:rsid w:val="428D0FCA"/>
    <w:rsid w:val="429377CC"/>
    <w:rsid w:val="429F3A9C"/>
    <w:rsid w:val="42A7428E"/>
    <w:rsid w:val="42C00D6A"/>
    <w:rsid w:val="42E4308E"/>
    <w:rsid w:val="432A79DC"/>
    <w:rsid w:val="433A606A"/>
    <w:rsid w:val="434E4D2D"/>
    <w:rsid w:val="435F30B8"/>
    <w:rsid w:val="436D5618"/>
    <w:rsid w:val="438F3B7A"/>
    <w:rsid w:val="43E91B7F"/>
    <w:rsid w:val="43FC2DEA"/>
    <w:rsid w:val="44017F56"/>
    <w:rsid w:val="441D1278"/>
    <w:rsid w:val="445B2087"/>
    <w:rsid w:val="445F69DB"/>
    <w:rsid w:val="446B4680"/>
    <w:rsid w:val="448E326A"/>
    <w:rsid w:val="449A19B0"/>
    <w:rsid w:val="44C17D8A"/>
    <w:rsid w:val="44D2693A"/>
    <w:rsid w:val="44D77C75"/>
    <w:rsid w:val="44EA330B"/>
    <w:rsid w:val="45055D1F"/>
    <w:rsid w:val="450A26E3"/>
    <w:rsid w:val="45155F11"/>
    <w:rsid w:val="452516FA"/>
    <w:rsid w:val="45367EA2"/>
    <w:rsid w:val="45524BFE"/>
    <w:rsid w:val="45600A5F"/>
    <w:rsid w:val="456A0DA5"/>
    <w:rsid w:val="45874054"/>
    <w:rsid w:val="458B6585"/>
    <w:rsid w:val="45910066"/>
    <w:rsid w:val="45942105"/>
    <w:rsid w:val="45B11F74"/>
    <w:rsid w:val="45CC15DB"/>
    <w:rsid w:val="460B726F"/>
    <w:rsid w:val="460F24C7"/>
    <w:rsid w:val="464760B0"/>
    <w:rsid w:val="464D5C2E"/>
    <w:rsid w:val="467200D0"/>
    <w:rsid w:val="467A3836"/>
    <w:rsid w:val="46AE38C4"/>
    <w:rsid w:val="46C5555E"/>
    <w:rsid w:val="46C66A4A"/>
    <w:rsid w:val="46E445CE"/>
    <w:rsid w:val="46EA6E41"/>
    <w:rsid w:val="47013264"/>
    <w:rsid w:val="47406724"/>
    <w:rsid w:val="476B5315"/>
    <w:rsid w:val="47921353"/>
    <w:rsid w:val="47AB6AEB"/>
    <w:rsid w:val="47C72E81"/>
    <w:rsid w:val="47D46D08"/>
    <w:rsid w:val="47DA1A85"/>
    <w:rsid w:val="47DC7A4B"/>
    <w:rsid w:val="47E17952"/>
    <w:rsid w:val="47F816E1"/>
    <w:rsid w:val="481262AA"/>
    <w:rsid w:val="481653DB"/>
    <w:rsid w:val="483C4695"/>
    <w:rsid w:val="48424DC1"/>
    <w:rsid w:val="4867740A"/>
    <w:rsid w:val="487474EA"/>
    <w:rsid w:val="48917569"/>
    <w:rsid w:val="48AE7323"/>
    <w:rsid w:val="48CC0DE5"/>
    <w:rsid w:val="493D4BD1"/>
    <w:rsid w:val="497D7E71"/>
    <w:rsid w:val="49802745"/>
    <w:rsid w:val="49917B43"/>
    <w:rsid w:val="49BF3572"/>
    <w:rsid w:val="49F972A3"/>
    <w:rsid w:val="4A173DAB"/>
    <w:rsid w:val="4A176B9D"/>
    <w:rsid w:val="4A1E152D"/>
    <w:rsid w:val="4A6E0B41"/>
    <w:rsid w:val="4A79392D"/>
    <w:rsid w:val="4AF957EB"/>
    <w:rsid w:val="4B651CDD"/>
    <w:rsid w:val="4B95205F"/>
    <w:rsid w:val="4B9C1B89"/>
    <w:rsid w:val="4BA07574"/>
    <w:rsid w:val="4BA6084D"/>
    <w:rsid w:val="4BB94C68"/>
    <w:rsid w:val="4BD22B2D"/>
    <w:rsid w:val="4BF16402"/>
    <w:rsid w:val="4C0D2989"/>
    <w:rsid w:val="4C1E4683"/>
    <w:rsid w:val="4C207957"/>
    <w:rsid w:val="4C4B02CE"/>
    <w:rsid w:val="4C7F246C"/>
    <w:rsid w:val="4C841F58"/>
    <w:rsid w:val="4D037CC0"/>
    <w:rsid w:val="4D082E15"/>
    <w:rsid w:val="4D461F8F"/>
    <w:rsid w:val="4D481407"/>
    <w:rsid w:val="4D5B416F"/>
    <w:rsid w:val="4D5D75B1"/>
    <w:rsid w:val="4D812239"/>
    <w:rsid w:val="4D890C74"/>
    <w:rsid w:val="4DA54F4C"/>
    <w:rsid w:val="4DBB0AFD"/>
    <w:rsid w:val="4DC62E65"/>
    <w:rsid w:val="4DD65096"/>
    <w:rsid w:val="4DE1616B"/>
    <w:rsid w:val="4DF4059E"/>
    <w:rsid w:val="4E6063DF"/>
    <w:rsid w:val="4E9B4DFB"/>
    <w:rsid w:val="4E9D49E8"/>
    <w:rsid w:val="4EA4264A"/>
    <w:rsid w:val="4EAB417C"/>
    <w:rsid w:val="4EB04218"/>
    <w:rsid w:val="4EBD473D"/>
    <w:rsid w:val="4ECB4AAF"/>
    <w:rsid w:val="4EDD108C"/>
    <w:rsid w:val="4EDF7D5C"/>
    <w:rsid w:val="4EF349BE"/>
    <w:rsid w:val="4EFE220D"/>
    <w:rsid w:val="4F09196E"/>
    <w:rsid w:val="4F0F471B"/>
    <w:rsid w:val="4F320ED5"/>
    <w:rsid w:val="4F6B186D"/>
    <w:rsid w:val="4F8768A8"/>
    <w:rsid w:val="4F892683"/>
    <w:rsid w:val="4F9B7EE0"/>
    <w:rsid w:val="4FA037D0"/>
    <w:rsid w:val="4FAA5EA0"/>
    <w:rsid w:val="4FCE333A"/>
    <w:rsid w:val="501F2830"/>
    <w:rsid w:val="50244245"/>
    <w:rsid w:val="5033354A"/>
    <w:rsid w:val="50585D74"/>
    <w:rsid w:val="507B6278"/>
    <w:rsid w:val="50924B8E"/>
    <w:rsid w:val="50974594"/>
    <w:rsid w:val="50A7676D"/>
    <w:rsid w:val="50B242D6"/>
    <w:rsid w:val="50C85901"/>
    <w:rsid w:val="50EF5A38"/>
    <w:rsid w:val="50F41BCA"/>
    <w:rsid w:val="510417B5"/>
    <w:rsid w:val="511950DE"/>
    <w:rsid w:val="511D3707"/>
    <w:rsid w:val="51276714"/>
    <w:rsid w:val="514C35D0"/>
    <w:rsid w:val="51674A94"/>
    <w:rsid w:val="517677C1"/>
    <w:rsid w:val="51A566C4"/>
    <w:rsid w:val="51A95408"/>
    <w:rsid w:val="51AD2EC3"/>
    <w:rsid w:val="51E430CB"/>
    <w:rsid w:val="520665B9"/>
    <w:rsid w:val="521B5850"/>
    <w:rsid w:val="523433FF"/>
    <w:rsid w:val="52731BC1"/>
    <w:rsid w:val="527E416E"/>
    <w:rsid w:val="528A3477"/>
    <w:rsid w:val="528B23FB"/>
    <w:rsid w:val="529B3E25"/>
    <w:rsid w:val="52A93ECA"/>
    <w:rsid w:val="52C27013"/>
    <w:rsid w:val="52C90471"/>
    <w:rsid w:val="52F16ED2"/>
    <w:rsid w:val="530716DC"/>
    <w:rsid w:val="530F7645"/>
    <w:rsid w:val="534426C4"/>
    <w:rsid w:val="53452E16"/>
    <w:rsid w:val="5380624C"/>
    <w:rsid w:val="538323A7"/>
    <w:rsid w:val="5397047B"/>
    <w:rsid w:val="53A26408"/>
    <w:rsid w:val="53B23D8C"/>
    <w:rsid w:val="53DC5D60"/>
    <w:rsid w:val="53E73208"/>
    <w:rsid w:val="53F20EB1"/>
    <w:rsid w:val="54256E0C"/>
    <w:rsid w:val="54287302"/>
    <w:rsid w:val="549666F7"/>
    <w:rsid w:val="54A84B01"/>
    <w:rsid w:val="54AF64E1"/>
    <w:rsid w:val="54D9093D"/>
    <w:rsid w:val="55035773"/>
    <w:rsid w:val="550C788C"/>
    <w:rsid w:val="553C1278"/>
    <w:rsid w:val="554F7188"/>
    <w:rsid w:val="556C24FF"/>
    <w:rsid w:val="557B5BA4"/>
    <w:rsid w:val="55CB6942"/>
    <w:rsid w:val="55CD2AFB"/>
    <w:rsid w:val="55E30092"/>
    <w:rsid w:val="56903C85"/>
    <w:rsid w:val="56D60DED"/>
    <w:rsid w:val="56DD42E0"/>
    <w:rsid w:val="56ED3D15"/>
    <w:rsid w:val="571747C3"/>
    <w:rsid w:val="57271A99"/>
    <w:rsid w:val="57541CA2"/>
    <w:rsid w:val="57565A72"/>
    <w:rsid w:val="577F5CD2"/>
    <w:rsid w:val="57937196"/>
    <w:rsid w:val="57AA0B11"/>
    <w:rsid w:val="57E74CBC"/>
    <w:rsid w:val="583E01E1"/>
    <w:rsid w:val="5893474B"/>
    <w:rsid w:val="589970C2"/>
    <w:rsid w:val="58B93310"/>
    <w:rsid w:val="58C37FA6"/>
    <w:rsid w:val="5910595F"/>
    <w:rsid w:val="59126D91"/>
    <w:rsid w:val="5917733A"/>
    <w:rsid w:val="593C5561"/>
    <w:rsid w:val="5943061C"/>
    <w:rsid w:val="59492926"/>
    <w:rsid w:val="594F42FC"/>
    <w:rsid w:val="596D69EF"/>
    <w:rsid w:val="59887179"/>
    <w:rsid w:val="59906C04"/>
    <w:rsid w:val="599B6EA3"/>
    <w:rsid w:val="59E611EC"/>
    <w:rsid w:val="59ED32C2"/>
    <w:rsid w:val="59FA2A7D"/>
    <w:rsid w:val="5A08515C"/>
    <w:rsid w:val="5A0D209A"/>
    <w:rsid w:val="5A581F59"/>
    <w:rsid w:val="5A625A77"/>
    <w:rsid w:val="5AAA1679"/>
    <w:rsid w:val="5AB766E5"/>
    <w:rsid w:val="5ADB54AD"/>
    <w:rsid w:val="5AE939C8"/>
    <w:rsid w:val="5B080BFF"/>
    <w:rsid w:val="5B213C30"/>
    <w:rsid w:val="5B412515"/>
    <w:rsid w:val="5B7258C7"/>
    <w:rsid w:val="5BBC0B13"/>
    <w:rsid w:val="5BBC250D"/>
    <w:rsid w:val="5BD811D2"/>
    <w:rsid w:val="5BF506CB"/>
    <w:rsid w:val="5BF65788"/>
    <w:rsid w:val="5C1456A0"/>
    <w:rsid w:val="5C1E706E"/>
    <w:rsid w:val="5C6D286D"/>
    <w:rsid w:val="5C877545"/>
    <w:rsid w:val="5C8A15D7"/>
    <w:rsid w:val="5CD75442"/>
    <w:rsid w:val="5CF12931"/>
    <w:rsid w:val="5CFD2C07"/>
    <w:rsid w:val="5D01537C"/>
    <w:rsid w:val="5D3011A4"/>
    <w:rsid w:val="5D456679"/>
    <w:rsid w:val="5D4A0516"/>
    <w:rsid w:val="5D542FB7"/>
    <w:rsid w:val="5D6C4DCF"/>
    <w:rsid w:val="5D6F1B48"/>
    <w:rsid w:val="5DA80289"/>
    <w:rsid w:val="5DA92A7C"/>
    <w:rsid w:val="5DE03ACC"/>
    <w:rsid w:val="5E051AA4"/>
    <w:rsid w:val="5E2E1F59"/>
    <w:rsid w:val="5E56121C"/>
    <w:rsid w:val="5E761210"/>
    <w:rsid w:val="5E9C5C16"/>
    <w:rsid w:val="5EAF1EF2"/>
    <w:rsid w:val="5EB7733F"/>
    <w:rsid w:val="5EC339E2"/>
    <w:rsid w:val="5EE1044B"/>
    <w:rsid w:val="5EF07C91"/>
    <w:rsid w:val="5F281398"/>
    <w:rsid w:val="5F2F2E93"/>
    <w:rsid w:val="5F3C2E64"/>
    <w:rsid w:val="5F512B2A"/>
    <w:rsid w:val="5F5639F3"/>
    <w:rsid w:val="5F580886"/>
    <w:rsid w:val="5F6963EB"/>
    <w:rsid w:val="5F9D2371"/>
    <w:rsid w:val="5FA859A3"/>
    <w:rsid w:val="6021043C"/>
    <w:rsid w:val="602B5E49"/>
    <w:rsid w:val="602D140D"/>
    <w:rsid w:val="60340051"/>
    <w:rsid w:val="60362092"/>
    <w:rsid w:val="60532FFE"/>
    <w:rsid w:val="60575DFF"/>
    <w:rsid w:val="606E629D"/>
    <w:rsid w:val="60BD30D6"/>
    <w:rsid w:val="61240004"/>
    <w:rsid w:val="616441F3"/>
    <w:rsid w:val="61911727"/>
    <w:rsid w:val="61BF5A56"/>
    <w:rsid w:val="61DC0CC4"/>
    <w:rsid w:val="61F145A1"/>
    <w:rsid w:val="620432B2"/>
    <w:rsid w:val="624C516F"/>
    <w:rsid w:val="62595B9E"/>
    <w:rsid w:val="62615CB8"/>
    <w:rsid w:val="628E3ED1"/>
    <w:rsid w:val="62B146E0"/>
    <w:rsid w:val="62B3060D"/>
    <w:rsid w:val="62BB59AD"/>
    <w:rsid w:val="62C44B39"/>
    <w:rsid w:val="6336065D"/>
    <w:rsid w:val="633A5C45"/>
    <w:rsid w:val="63742F15"/>
    <w:rsid w:val="638D254A"/>
    <w:rsid w:val="63B07D18"/>
    <w:rsid w:val="63D31F4F"/>
    <w:rsid w:val="63DB5438"/>
    <w:rsid w:val="63E05375"/>
    <w:rsid w:val="63E51DBD"/>
    <w:rsid w:val="64061D04"/>
    <w:rsid w:val="640626A7"/>
    <w:rsid w:val="64286BA8"/>
    <w:rsid w:val="64782E80"/>
    <w:rsid w:val="64885606"/>
    <w:rsid w:val="64B43C27"/>
    <w:rsid w:val="64BC2B6D"/>
    <w:rsid w:val="64FC6BBB"/>
    <w:rsid w:val="651D47D2"/>
    <w:rsid w:val="65495822"/>
    <w:rsid w:val="65735178"/>
    <w:rsid w:val="65740016"/>
    <w:rsid w:val="65790383"/>
    <w:rsid w:val="65993500"/>
    <w:rsid w:val="65A56560"/>
    <w:rsid w:val="65DF2572"/>
    <w:rsid w:val="65E92863"/>
    <w:rsid w:val="660758C0"/>
    <w:rsid w:val="662A67CB"/>
    <w:rsid w:val="662C5C72"/>
    <w:rsid w:val="66815F38"/>
    <w:rsid w:val="66827744"/>
    <w:rsid w:val="668942D2"/>
    <w:rsid w:val="66AD74AA"/>
    <w:rsid w:val="66BE7EDA"/>
    <w:rsid w:val="66C87580"/>
    <w:rsid w:val="66D149A0"/>
    <w:rsid w:val="67712F2F"/>
    <w:rsid w:val="678319C8"/>
    <w:rsid w:val="679A6D2A"/>
    <w:rsid w:val="679D12D9"/>
    <w:rsid w:val="67A338A5"/>
    <w:rsid w:val="67A908D6"/>
    <w:rsid w:val="67AF2B13"/>
    <w:rsid w:val="67DF70C2"/>
    <w:rsid w:val="67F30311"/>
    <w:rsid w:val="680B485F"/>
    <w:rsid w:val="68391D94"/>
    <w:rsid w:val="68456DAE"/>
    <w:rsid w:val="68555562"/>
    <w:rsid w:val="687E4357"/>
    <w:rsid w:val="6897664C"/>
    <w:rsid w:val="68AF3F11"/>
    <w:rsid w:val="68B952F9"/>
    <w:rsid w:val="68F17260"/>
    <w:rsid w:val="69022B52"/>
    <w:rsid w:val="690462CD"/>
    <w:rsid w:val="690C0DFD"/>
    <w:rsid w:val="69385890"/>
    <w:rsid w:val="69497782"/>
    <w:rsid w:val="69562773"/>
    <w:rsid w:val="695F723D"/>
    <w:rsid w:val="696077C1"/>
    <w:rsid w:val="69660724"/>
    <w:rsid w:val="696F28CA"/>
    <w:rsid w:val="69AB3159"/>
    <w:rsid w:val="69B20E06"/>
    <w:rsid w:val="69B65F00"/>
    <w:rsid w:val="69B80272"/>
    <w:rsid w:val="69C544E7"/>
    <w:rsid w:val="6A082C53"/>
    <w:rsid w:val="6A120094"/>
    <w:rsid w:val="6A1212D3"/>
    <w:rsid w:val="6A2F303E"/>
    <w:rsid w:val="6A6A357E"/>
    <w:rsid w:val="6A874D7B"/>
    <w:rsid w:val="6AB01A57"/>
    <w:rsid w:val="6ACB67C9"/>
    <w:rsid w:val="6AE83CE9"/>
    <w:rsid w:val="6B071A14"/>
    <w:rsid w:val="6B383583"/>
    <w:rsid w:val="6B4F7C84"/>
    <w:rsid w:val="6B670B48"/>
    <w:rsid w:val="6BAB5425"/>
    <w:rsid w:val="6BC15379"/>
    <w:rsid w:val="6BE237BC"/>
    <w:rsid w:val="6BF16D7F"/>
    <w:rsid w:val="6BF75A53"/>
    <w:rsid w:val="6C13202A"/>
    <w:rsid w:val="6C2F7D10"/>
    <w:rsid w:val="6C5F4E2F"/>
    <w:rsid w:val="6C6A4749"/>
    <w:rsid w:val="6C861715"/>
    <w:rsid w:val="6C8F32BF"/>
    <w:rsid w:val="6C9730C9"/>
    <w:rsid w:val="6CCE17E2"/>
    <w:rsid w:val="6CE23EFA"/>
    <w:rsid w:val="6CE54F6C"/>
    <w:rsid w:val="6D06244D"/>
    <w:rsid w:val="6D0E28FC"/>
    <w:rsid w:val="6D1674E8"/>
    <w:rsid w:val="6D30594E"/>
    <w:rsid w:val="6D397D25"/>
    <w:rsid w:val="6D5B1ED7"/>
    <w:rsid w:val="6D700A44"/>
    <w:rsid w:val="6D730BE4"/>
    <w:rsid w:val="6D861231"/>
    <w:rsid w:val="6DAE5CF6"/>
    <w:rsid w:val="6DEC06CD"/>
    <w:rsid w:val="6E1B4F88"/>
    <w:rsid w:val="6EA81C83"/>
    <w:rsid w:val="6EB460F7"/>
    <w:rsid w:val="6ECA34AB"/>
    <w:rsid w:val="6F231935"/>
    <w:rsid w:val="6F31521A"/>
    <w:rsid w:val="6F4739C4"/>
    <w:rsid w:val="6F4A56F6"/>
    <w:rsid w:val="6F635652"/>
    <w:rsid w:val="6F907626"/>
    <w:rsid w:val="6FCD52EC"/>
    <w:rsid w:val="6FD97A78"/>
    <w:rsid w:val="6FDF3812"/>
    <w:rsid w:val="6FEF3A73"/>
    <w:rsid w:val="702B7C3F"/>
    <w:rsid w:val="703273F5"/>
    <w:rsid w:val="706871E4"/>
    <w:rsid w:val="707845FC"/>
    <w:rsid w:val="708838F2"/>
    <w:rsid w:val="709A1050"/>
    <w:rsid w:val="70BA78B2"/>
    <w:rsid w:val="70BC352C"/>
    <w:rsid w:val="70D016D0"/>
    <w:rsid w:val="70D35BB7"/>
    <w:rsid w:val="70EC120B"/>
    <w:rsid w:val="70EF2C64"/>
    <w:rsid w:val="710801D2"/>
    <w:rsid w:val="71150BB4"/>
    <w:rsid w:val="71211E28"/>
    <w:rsid w:val="7141517B"/>
    <w:rsid w:val="71573D4A"/>
    <w:rsid w:val="71623250"/>
    <w:rsid w:val="71656B95"/>
    <w:rsid w:val="71707963"/>
    <w:rsid w:val="717A44B3"/>
    <w:rsid w:val="718E3858"/>
    <w:rsid w:val="718E77F9"/>
    <w:rsid w:val="71AB060A"/>
    <w:rsid w:val="71B17CA4"/>
    <w:rsid w:val="71C97594"/>
    <w:rsid w:val="71CC3B51"/>
    <w:rsid w:val="71D14691"/>
    <w:rsid w:val="71DD2DA0"/>
    <w:rsid w:val="71E12886"/>
    <w:rsid w:val="71F609BF"/>
    <w:rsid w:val="72340586"/>
    <w:rsid w:val="7236337F"/>
    <w:rsid w:val="729500BD"/>
    <w:rsid w:val="72C33591"/>
    <w:rsid w:val="72E0060A"/>
    <w:rsid w:val="72E8103D"/>
    <w:rsid w:val="72F45D61"/>
    <w:rsid w:val="73127431"/>
    <w:rsid w:val="73636B96"/>
    <w:rsid w:val="739567EB"/>
    <w:rsid w:val="73A41D8F"/>
    <w:rsid w:val="73A53630"/>
    <w:rsid w:val="73C35287"/>
    <w:rsid w:val="74012C3D"/>
    <w:rsid w:val="74046D61"/>
    <w:rsid w:val="741039F1"/>
    <w:rsid w:val="74143FCA"/>
    <w:rsid w:val="741B50CE"/>
    <w:rsid w:val="743A665B"/>
    <w:rsid w:val="74427545"/>
    <w:rsid w:val="745E220D"/>
    <w:rsid w:val="74A42EB7"/>
    <w:rsid w:val="74AC119D"/>
    <w:rsid w:val="74AD7D02"/>
    <w:rsid w:val="74AE4923"/>
    <w:rsid w:val="74B869D8"/>
    <w:rsid w:val="74C85C76"/>
    <w:rsid w:val="750B62D4"/>
    <w:rsid w:val="751C45F9"/>
    <w:rsid w:val="75216009"/>
    <w:rsid w:val="75313C49"/>
    <w:rsid w:val="75466F1A"/>
    <w:rsid w:val="754C0F48"/>
    <w:rsid w:val="754D67B1"/>
    <w:rsid w:val="756C5253"/>
    <w:rsid w:val="757317E9"/>
    <w:rsid w:val="757D3280"/>
    <w:rsid w:val="75822602"/>
    <w:rsid w:val="75CE0B15"/>
    <w:rsid w:val="75D06CAB"/>
    <w:rsid w:val="75F42BD2"/>
    <w:rsid w:val="75F65DE5"/>
    <w:rsid w:val="75FF4B05"/>
    <w:rsid w:val="760F0F22"/>
    <w:rsid w:val="762E2B7A"/>
    <w:rsid w:val="76357CDA"/>
    <w:rsid w:val="763A64CA"/>
    <w:rsid w:val="76414375"/>
    <w:rsid w:val="76451AC1"/>
    <w:rsid w:val="76675D0D"/>
    <w:rsid w:val="767869F1"/>
    <w:rsid w:val="767F5125"/>
    <w:rsid w:val="769E7409"/>
    <w:rsid w:val="76DF1182"/>
    <w:rsid w:val="76FD7FCE"/>
    <w:rsid w:val="7743089A"/>
    <w:rsid w:val="7753658B"/>
    <w:rsid w:val="77B74C6D"/>
    <w:rsid w:val="77B87920"/>
    <w:rsid w:val="77E04C04"/>
    <w:rsid w:val="77F92BBE"/>
    <w:rsid w:val="78003562"/>
    <w:rsid w:val="780E2DC1"/>
    <w:rsid w:val="782E6B28"/>
    <w:rsid w:val="78356C49"/>
    <w:rsid w:val="78403734"/>
    <w:rsid w:val="7863107C"/>
    <w:rsid w:val="787E670D"/>
    <w:rsid w:val="78BA5854"/>
    <w:rsid w:val="790233E1"/>
    <w:rsid w:val="79045E84"/>
    <w:rsid w:val="79132166"/>
    <w:rsid w:val="793F19F1"/>
    <w:rsid w:val="797101CC"/>
    <w:rsid w:val="79823BE7"/>
    <w:rsid w:val="799A1FF7"/>
    <w:rsid w:val="79C26155"/>
    <w:rsid w:val="79DA5E36"/>
    <w:rsid w:val="7A173ECC"/>
    <w:rsid w:val="7A4A3EEF"/>
    <w:rsid w:val="7A4C3A0A"/>
    <w:rsid w:val="7A9170AC"/>
    <w:rsid w:val="7AA46113"/>
    <w:rsid w:val="7AAB748D"/>
    <w:rsid w:val="7AC414F7"/>
    <w:rsid w:val="7AD36305"/>
    <w:rsid w:val="7ADB1730"/>
    <w:rsid w:val="7B02267C"/>
    <w:rsid w:val="7BC81D50"/>
    <w:rsid w:val="7BD659F1"/>
    <w:rsid w:val="7BD85A7C"/>
    <w:rsid w:val="7C186306"/>
    <w:rsid w:val="7C20594C"/>
    <w:rsid w:val="7C3E644D"/>
    <w:rsid w:val="7C5B7BC1"/>
    <w:rsid w:val="7C6B4C5B"/>
    <w:rsid w:val="7C901C1E"/>
    <w:rsid w:val="7C91051C"/>
    <w:rsid w:val="7CBC73A2"/>
    <w:rsid w:val="7CC35417"/>
    <w:rsid w:val="7CDB188C"/>
    <w:rsid w:val="7CF902CD"/>
    <w:rsid w:val="7D0F2F84"/>
    <w:rsid w:val="7D1312EB"/>
    <w:rsid w:val="7D1B090B"/>
    <w:rsid w:val="7D530CC0"/>
    <w:rsid w:val="7D5A202C"/>
    <w:rsid w:val="7D6B240A"/>
    <w:rsid w:val="7D6E04BA"/>
    <w:rsid w:val="7D7C45A7"/>
    <w:rsid w:val="7D830E57"/>
    <w:rsid w:val="7D8D62F1"/>
    <w:rsid w:val="7D8E1483"/>
    <w:rsid w:val="7D961286"/>
    <w:rsid w:val="7DAE1049"/>
    <w:rsid w:val="7DC17F0F"/>
    <w:rsid w:val="7DCA14D8"/>
    <w:rsid w:val="7DF86055"/>
    <w:rsid w:val="7E000794"/>
    <w:rsid w:val="7E042E92"/>
    <w:rsid w:val="7E161DDE"/>
    <w:rsid w:val="7E470D44"/>
    <w:rsid w:val="7E562A76"/>
    <w:rsid w:val="7E592469"/>
    <w:rsid w:val="7E717993"/>
    <w:rsid w:val="7E826132"/>
    <w:rsid w:val="7E8329A3"/>
    <w:rsid w:val="7E8337E6"/>
    <w:rsid w:val="7E840FB8"/>
    <w:rsid w:val="7EA21038"/>
    <w:rsid w:val="7EB01862"/>
    <w:rsid w:val="7ED31952"/>
    <w:rsid w:val="7EEF5417"/>
    <w:rsid w:val="7FAC13C1"/>
    <w:rsid w:val="7FB2169E"/>
    <w:rsid w:val="7FE87F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1"/>
    <w:unhideWhenUsed/>
    <w:qFormat/>
    <w:uiPriority w:val="0"/>
    <w:pPr>
      <w:spacing w:after="120"/>
      <w:ind w:left="420" w:leftChars="200" w:firstLine="420" w:firstLineChars="200"/>
    </w:pPr>
    <w:rPr>
      <w:sz w:val="21"/>
      <w:szCs w:val="24"/>
    </w:rPr>
  </w:style>
  <w:style w:type="paragraph" w:styleId="3">
    <w:name w:val="Body Text Indent"/>
    <w:basedOn w:val="1"/>
    <w:next w:val="1"/>
    <w:qFormat/>
    <w:uiPriority w:val="0"/>
    <w:pPr>
      <w:spacing w:after="120" w:afterLines="0"/>
      <w:ind w:left="420" w:leftChars="200"/>
    </w:pPr>
  </w:style>
  <w:style w:type="paragraph" w:styleId="4">
    <w:name w:val="Normal Indent"/>
    <w:basedOn w:val="1"/>
    <w:qFormat/>
    <w:uiPriority w:val="0"/>
    <w:pPr>
      <w:ind w:firstLine="420"/>
    </w:pPr>
    <w:rPr>
      <w:sz w:val="28"/>
    </w:rPr>
  </w:style>
  <w:style w:type="paragraph" w:styleId="5">
    <w:name w:val="Body Text"/>
    <w:basedOn w:val="1"/>
    <w:qFormat/>
    <w:uiPriority w:val="0"/>
    <w:pPr>
      <w:spacing w:after="120" w:afterLines="0"/>
    </w:pPr>
  </w:style>
  <w:style w:type="paragraph" w:styleId="6">
    <w:name w:val="toc 3"/>
    <w:basedOn w:val="1"/>
    <w:next w:val="1"/>
    <w:qFormat/>
    <w:uiPriority w:val="0"/>
    <w:pPr>
      <w:ind w:left="840" w:leftChars="400"/>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next w:val="3"/>
    <w:qFormat/>
    <w:uiPriority w:val="0"/>
    <w:pPr>
      <w:pBdr>
        <w:bottom w:val="single" w:color="auto" w:sz="6" w:space="1"/>
      </w:pBdr>
      <w:tabs>
        <w:tab w:val="center" w:pos="4153"/>
        <w:tab w:val="right" w:pos="8306"/>
      </w:tabs>
      <w:snapToGrid w:val="0"/>
      <w:jc w:val="center"/>
    </w:pPr>
    <w:rPr>
      <w:sz w:val="18"/>
      <w:szCs w:val="18"/>
    </w:rPr>
  </w:style>
  <w:style w:type="paragraph" w:styleId="9">
    <w:name w:val="toc 1"/>
    <w:basedOn w:val="1"/>
    <w:next w:val="1"/>
    <w:qFormat/>
    <w:uiPriority w:val="0"/>
  </w:style>
  <w:style w:type="paragraph" w:styleId="10">
    <w:name w:val="toc 2"/>
    <w:basedOn w:val="1"/>
    <w:next w:val="1"/>
    <w:qFormat/>
    <w:uiPriority w:val="0"/>
    <w:pPr>
      <w:spacing w:line="500" w:lineRule="exact"/>
      <w:ind w:left="420" w:leftChars="200" w:firstLine="480" w:firstLineChars="200"/>
    </w:pPr>
    <w:rPr>
      <w:rFonts w:ascii="Calibri" w:hAnsi="Calibri" w:eastAsia="宋体"/>
      <w:sz w:val="28"/>
    </w:rPr>
  </w:style>
  <w:style w:type="paragraph" w:styleId="11">
    <w:name w:val="Normal (Web)"/>
    <w:basedOn w:val="1"/>
    <w:qFormat/>
    <w:uiPriority w:val="0"/>
    <w:pPr>
      <w:keepNext w:val="0"/>
      <w:keepLines w:val="0"/>
      <w:widowControl w:val="0"/>
      <w:suppressLineNumbers w:val="0"/>
      <w:spacing w:before="0" w:beforeAutospacing="0" w:after="0" w:afterAutospacing="0"/>
      <w:ind w:left="0" w:right="0"/>
      <w:jc w:val="both"/>
    </w:pPr>
    <w:rPr>
      <w:rFonts w:hint="default" w:ascii="Calibri" w:hAnsi="Calibri" w:eastAsia="宋体" w:cs="Times New Roman"/>
      <w:kern w:val="2"/>
      <w:sz w:val="24"/>
      <w:szCs w:val="24"/>
      <w:lang w:val="en-US" w:eastAsia="zh-CN" w:bidi="ar"/>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0"/>
    <w:rPr>
      <w:color w:val="0000FF"/>
      <w:u w:val="single"/>
    </w:rPr>
  </w:style>
  <w:style w:type="paragraph" w:customStyle="1" w:styleId="16">
    <w:name w:val="p0"/>
    <w:next w:val="8"/>
    <w:qFormat/>
    <w:uiPriority w:val="0"/>
    <w:rPr>
      <w:rFonts w:ascii="Calibri" w:hAnsi="Calibri" w:eastAsia="宋体" w:cs="Times New Roman"/>
      <w:sz w:val="21"/>
      <w:szCs w:val="21"/>
      <w:lang w:val="en-US" w:eastAsia="zh-CN" w:bidi="ar-SA"/>
    </w:rPr>
  </w:style>
  <w:style w:type="paragraph" w:customStyle="1" w:styleId="17">
    <w:name w:val="样式9"/>
    <w:basedOn w:val="1"/>
    <w:next w:val="1"/>
    <w:link w:val="19"/>
    <w:qFormat/>
    <w:uiPriority w:val="0"/>
    <w:pPr>
      <w:keepNext/>
      <w:keepLines/>
      <w:spacing w:before="260" w:beforeLines="0" w:after="260" w:afterLines="0" w:line="413" w:lineRule="auto"/>
      <w:jc w:val="center"/>
      <w:outlineLvl w:val="2"/>
    </w:pPr>
    <w:rPr>
      <w:rFonts w:eastAsia="仿宋"/>
      <w:b/>
      <w:sz w:val="36"/>
    </w:rPr>
  </w:style>
  <w:style w:type="paragraph" w:customStyle="1" w:styleId="18">
    <w:name w:val="NormalIndent"/>
    <w:basedOn w:val="1"/>
    <w:qFormat/>
    <w:uiPriority w:val="0"/>
    <w:pPr>
      <w:ind w:firstLine="420"/>
      <w:textAlignment w:val="baseline"/>
    </w:pPr>
    <w:rPr>
      <w:rFonts w:ascii="Times New Roman" w:hAnsi="Times New Roman" w:eastAsia="宋体"/>
      <w:szCs w:val="20"/>
    </w:rPr>
  </w:style>
  <w:style w:type="character" w:customStyle="1" w:styleId="19">
    <w:name w:val="样式9 Char"/>
    <w:link w:val="17"/>
    <w:qFormat/>
    <w:uiPriority w:val="0"/>
    <w:rPr>
      <w:rFonts w:eastAsia="仿宋"/>
      <w:b/>
      <w:sz w:val="36"/>
    </w:rPr>
  </w:style>
  <w:style w:type="paragraph" w:customStyle="1" w:styleId="20">
    <w:name w:val="WPSOffice手动目录 1"/>
    <w:qFormat/>
    <w:uiPriority w:val="0"/>
    <w:pPr>
      <w:ind w:leftChars="0"/>
    </w:pPr>
    <w:rPr>
      <w:rFonts w:asciiTheme="minorHAnsi" w:hAnsiTheme="minorHAnsi" w:eastAsiaTheme="minorEastAsia" w:cstheme="minorBidi"/>
      <w:sz w:val="20"/>
      <w:szCs w:val="20"/>
    </w:rPr>
  </w:style>
  <w:style w:type="paragraph" w:customStyle="1" w:styleId="21">
    <w:name w:val="WPSOffice手动目录 2"/>
    <w:qFormat/>
    <w:uiPriority w:val="0"/>
    <w:pPr>
      <w:ind w:leftChars="20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631</Pages>
  <Words>24524</Words>
  <Characters>25227</Characters>
  <Lines>0</Lines>
  <Paragraphs>0</Paragraphs>
  <TotalTime>24</TotalTime>
  <ScaleCrop>false</ScaleCrop>
  <LinksUpToDate>false</LinksUpToDate>
  <CharactersWithSpaces>25319</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2022-02-12T02:29:00Z</dcterms:created>
  <dc:creator>肖永生</dc:creator>
  <cp:lastModifiedBy>哎呦</cp:lastModifiedBy>
  <cp:lastPrinted>2023-10-05T08:16:00Z</cp:lastPrinted>
  <dcterms:modified xsi:type="dcterms:W3CDTF">2025-12-10T08:38:37Z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7E4272A9424B4E4983F038121E7FD771</vt:lpwstr>
  </property>
  <property fmtid="{D5CDD505-2E9C-101B-9397-08002B2CF9AE}" pid="4" name="5B77E7CEEC58BC6AFAE8886BEB80DBEB">
    <vt:lpwstr>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</vt:lpwstr>
  </property>
  <property fmtid="{D5CDD505-2E9C-101B-9397-08002B2CF9AE}" pid="5" name="KSOTemplateDocerSaveRecord">
    <vt:lpwstr>eyJoZGlkIjoiOTlhOTNmOGU2MjE2ODMwODVhY2E3NDgyNmVjMWI4MzIiLCJ1c2VySWQiOiI2NTUwMjMyOTEifQ==</vt:lpwstr>
  </property>
</Properties>
</file>